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D7FA79">
      <w:pPr>
        <w:spacing w:before="0" w:beforeLines="0" w:after="0" w:afterLines="0" w:line="360" w:lineRule="auto"/>
        <w:ind w:right="0" w:rightChars="0" w:firstLine="4400" w:firstLineChars="1000"/>
        <w:jc w:val="both"/>
        <w:rPr>
          <w:rFonts w:hint="eastAsia" w:ascii="黑体" w:hAnsi="黑体" w:eastAsia="黑体" w:cs="黑体"/>
          <w:sz w:val="44"/>
          <w:szCs w:val="44"/>
        </w:rPr>
        <w:sectPr>
          <w:pgSz w:w="11910" w:h="16840"/>
          <w:pgMar w:top="1740" w:right="1220" w:bottom="1660" w:left="1240" w:header="720" w:footer="720" w:gutter="0"/>
          <w:pgBorders>
            <w:top w:val="none" w:sz="0" w:space="0"/>
            <w:left w:val="none" w:sz="0" w:space="0"/>
            <w:bottom w:val="none" w:sz="0" w:space="0"/>
            <w:right w:val="none" w:sz="0" w:space="0"/>
          </w:pgBorders>
          <w:cols w:space="720" w:num="1"/>
        </w:sectPr>
      </w:pPr>
      <w:r>
        <w:rPr>
          <w:rFonts w:hint="eastAsia" w:ascii="黑体" w:hAnsi="黑体" w:eastAsia="黑体" w:cs="黑体"/>
          <w:sz w:val="44"/>
          <w:szCs w:val="44"/>
        </w:rPr>
        <w:drawing>
          <wp:anchor distT="0" distB="0" distL="114300" distR="114300" simplePos="0" relativeHeight="251689984" behindDoc="1" locked="0" layoutInCell="1" allowOverlap="1">
            <wp:simplePos x="0" y="0"/>
            <wp:positionH relativeFrom="column">
              <wp:posOffset>-923290</wp:posOffset>
            </wp:positionH>
            <wp:positionV relativeFrom="paragraph">
              <wp:posOffset>-1168400</wp:posOffset>
            </wp:positionV>
            <wp:extent cx="7921625" cy="10735310"/>
            <wp:effectExtent l="0" t="0" r="3175" b="8890"/>
            <wp:wrapNone/>
            <wp:docPr id="49" name="图片 49" descr="964d12790c5754d07fb0f2d9fc0dd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964d12790c5754d07fb0f2d9fc0dd59"/>
                    <pic:cNvPicPr>
                      <a:picLocks noChangeAspect="1"/>
                    </pic:cNvPicPr>
                  </pic:nvPicPr>
                  <pic:blipFill>
                    <a:blip r:embed="rId18"/>
                    <a:srcRect l="-104" t="1970" r="104" b="1633"/>
                    <a:stretch>
                      <a:fillRect/>
                    </a:stretch>
                  </pic:blipFill>
                  <pic:spPr>
                    <a:xfrm>
                      <a:off x="0" y="0"/>
                      <a:ext cx="7921625" cy="10735310"/>
                    </a:xfrm>
                    <a:prstGeom prst="rect">
                      <a:avLst/>
                    </a:prstGeom>
                  </pic:spPr>
                </pic:pic>
              </a:graphicData>
            </a:graphic>
          </wp:anchor>
        </w:drawing>
      </w:r>
    </w:p>
    <w:p w14:paraId="6A1DEEF4">
      <w:pPr>
        <w:spacing w:before="0" w:beforeLines="0" w:after="0" w:afterLines="0" w:line="360" w:lineRule="auto"/>
        <w:ind w:right="0" w:rightChars="0" w:firstLine="4400" w:firstLineChars="1000"/>
        <w:jc w:val="both"/>
        <w:rPr>
          <w:rFonts w:hint="eastAsia" w:ascii="黑体" w:hAnsi="黑体" w:eastAsia="黑体" w:cs="黑体"/>
          <w:sz w:val="44"/>
          <w:szCs w:val="44"/>
          <w:lang w:eastAsia="zh-CN"/>
        </w:rPr>
        <w:sectPr>
          <w:pgSz w:w="11910" w:h="16840"/>
          <w:pgMar w:top="1740" w:right="1220" w:bottom="1660" w:left="1240" w:header="720" w:footer="720" w:gutter="0"/>
          <w:pgBorders>
            <w:top w:val="none" w:sz="0" w:space="0"/>
            <w:left w:val="none" w:sz="0" w:space="0"/>
            <w:bottom w:val="none" w:sz="0" w:space="0"/>
            <w:right w:val="none" w:sz="0" w:space="0"/>
          </w:pgBorders>
          <w:cols w:space="720" w:num="1"/>
        </w:sectPr>
      </w:pPr>
      <w:r>
        <w:rPr>
          <w:rFonts w:hint="eastAsia" w:ascii="黑体" w:hAnsi="黑体" w:eastAsia="黑体" w:cs="黑体"/>
          <w:sz w:val="44"/>
          <w:szCs w:val="44"/>
          <w:lang w:eastAsia="zh-CN"/>
        </w:rPr>
        <w:drawing>
          <wp:anchor distT="0" distB="0" distL="114300" distR="114300" simplePos="0" relativeHeight="251689984" behindDoc="1" locked="0" layoutInCell="1" allowOverlap="1">
            <wp:simplePos x="0" y="0"/>
            <wp:positionH relativeFrom="column">
              <wp:posOffset>-101600</wp:posOffset>
            </wp:positionH>
            <wp:positionV relativeFrom="paragraph">
              <wp:posOffset>-161925</wp:posOffset>
            </wp:positionV>
            <wp:extent cx="5952490" cy="8631555"/>
            <wp:effectExtent l="0" t="0" r="10160" b="17145"/>
            <wp:wrapNone/>
            <wp:docPr id="14" name="图片 14" descr="1748932307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748932307505"/>
                    <pic:cNvPicPr>
                      <a:picLocks noChangeAspect="1"/>
                    </pic:cNvPicPr>
                  </pic:nvPicPr>
                  <pic:blipFill>
                    <a:blip r:embed="rId19"/>
                    <a:stretch>
                      <a:fillRect/>
                    </a:stretch>
                  </pic:blipFill>
                  <pic:spPr>
                    <a:xfrm>
                      <a:off x="0" y="0"/>
                      <a:ext cx="5952490" cy="8631555"/>
                    </a:xfrm>
                    <a:prstGeom prst="rect">
                      <a:avLst/>
                    </a:prstGeom>
                  </pic:spPr>
                </pic:pic>
              </a:graphicData>
            </a:graphic>
          </wp:anchor>
        </w:drawing>
      </w:r>
    </w:p>
    <w:p w14:paraId="66066B65">
      <w:pPr>
        <w:spacing w:before="0" w:beforeLines="0" w:after="0" w:afterLines="0" w:line="360" w:lineRule="auto"/>
        <w:ind w:right="0" w:rightChars="0" w:firstLine="4400" w:firstLineChars="1000"/>
        <w:jc w:val="both"/>
        <w:rPr>
          <w:rFonts w:hint="eastAsia" w:ascii="黑体" w:hAnsi="黑体" w:eastAsia="黑体" w:cs="黑体"/>
          <w:sz w:val="44"/>
          <w:szCs w:val="44"/>
        </w:rPr>
      </w:pPr>
      <w:r>
        <w:rPr>
          <w:rFonts w:hint="eastAsia" w:ascii="黑体" w:hAnsi="黑体" w:eastAsia="黑体" w:cs="黑体"/>
          <w:sz w:val="44"/>
          <w:szCs w:val="44"/>
        </w:rPr>
        <w:t>目</w:t>
      </w:r>
      <w:r>
        <w:rPr>
          <w:rFonts w:hint="eastAsia" w:ascii="黑体" w:hAnsi="黑体" w:eastAsia="黑体" w:cs="黑体"/>
          <w:sz w:val="44"/>
          <w:szCs w:val="44"/>
          <w:lang w:val="en-US" w:eastAsia="zh-CN"/>
        </w:rPr>
        <w:t xml:space="preserve">  </w:t>
      </w:r>
      <w:r>
        <w:rPr>
          <w:rFonts w:hint="eastAsia" w:ascii="黑体" w:hAnsi="黑体" w:eastAsia="黑体" w:cs="黑体"/>
          <w:sz w:val="44"/>
          <w:szCs w:val="44"/>
        </w:rPr>
        <w:t>录</w:t>
      </w:r>
    </w:p>
    <w:p w14:paraId="6878195F">
      <w:pPr>
        <w:pStyle w:val="110"/>
        <w:tabs>
          <w:tab w:val="right" w:leader="dot" w:pos="9450"/>
        </w:tabs>
        <w:spacing w:line="360" w:lineRule="auto"/>
        <w:rPr>
          <w:rFonts w:hint="eastAsia" w:ascii="黑体" w:hAnsi="黑体" w:eastAsia="黑体" w:cs="黑体"/>
          <w:sz w:val="30"/>
          <w:szCs w:val="30"/>
        </w:rPr>
      </w:pPr>
      <w:r>
        <w:rPr>
          <w:rFonts w:hint="eastAsia" w:ascii="黑体" w:hAnsi="黑体" w:eastAsia="黑体" w:cs="黑体"/>
          <w:sz w:val="30"/>
          <w:szCs w:val="30"/>
        </w:rPr>
        <w:fldChar w:fldCharType="begin"/>
      </w:r>
      <w:r>
        <w:rPr>
          <w:rFonts w:hint="eastAsia" w:ascii="黑体" w:hAnsi="黑体" w:eastAsia="黑体" w:cs="黑体"/>
          <w:sz w:val="30"/>
          <w:szCs w:val="30"/>
        </w:rPr>
        <w:instrText xml:space="preserve">TOC \o "1-1" \h \u </w:instrText>
      </w:r>
      <w:r>
        <w:rPr>
          <w:rFonts w:hint="eastAsia" w:ascii="黑体" w:hAnsi="黑体" w:eastAsia="黑体" w:cs="黑体"/>
          <w:sz w:val="30"/>
          <w:szCs w:val="30"/>
        </w:rPr>
        <w:fldChar w:fldCharType="separate"/>
      </w:r>
      <w:r>
        <w:rPr>
          <w:rFonts w:hint="eastAsia" w:ascii="黑体" w:hAnsi="黑体" w:eastAsia="黑体" w:cs="黑体"/>
          <w:sz w:val="30"/>
          <w:szCs w:val="30"/>
        </w:rPr>
        <w:fldChar w:fldCharType="begin"/>
      </w:r>
      <w:r>
        <w:rPr>
          <w:rFonts w:hint="eastAsia" w:ascii="黑体" w:hAnsi="黑体" w:eastAsia="黑体" w:cs="黑体"/>
          <w:sz w:val="30"/>
          <w:szCs w:val="30"/>
        </w:rPr>
        <w:instrText xml:space="preserve"> HYPERLINK \l _Toc1355 </w:instrText>
      </w:r>
      <w:r>
        <w:rPr>
          <w:rFonts w:hint="eastAsia" w:ascii="黑体" w:hAnsi="黑体" w:eastAsia="黑体" w:cs="黑体"/>
          <w:sz w:val="30"/>
          <w:szCs w:val="30"/>
        </w:rPr>
        <w:fldChar w:fldCharType="separate"/>
      </w:r>
      <w:r>
        <w:rPr>
          <w:rFonts w:hint="eastAsia" w:ascii="黑体" w:hAnsi="黑体" w:eastAsia="黑体" w:cs="黑体"/>
          <w:sz w:val="30"/>
          <w:szCs w:val="30"/>
        </w:rPr>
        <w:t>一、建设项目基本情况</w:t>
      </w:r>
      <w:r>
        <w:rPr>
          <w:rFonts w:hint="eastAsia" w:ascii="黑体" w:hAnsi="黑体" w:eastAsia="黑体" w:cs="黑体"/>
          <w:sz w:val="30"/>
          <w:szCs w:val="30"/>
        </w:rPr>
        <w:tab/>
      </w:r>
      <w:r>
        <w:rPr>
          <w:rFonts w:hint="eastAsia" w:ascii="黑体" w:hAnsi="黑体" w:eastAsia="黑体" w:cs="黑体"/>
          <w:sz w:val="30"/>
          <w:szCs w:val="30"/>
        </w:rPr>
        <w:fldChar w:fldCharType="begin"/>
      </w:r>
      <w:r>
        <w:rPr>
          <w:rFonts w:hint="eastAsia" w:ascii="黑体" w:hAnsi="黑体" w:eastAsia="黑体" w:cs="黑体"/>
          <w:sz w:val="30"/>
          <w:szCs w:val="30"/>
        </w:rPr>
        <w:instrText xml:space="preserve"> PAGEREF _Toc1355 \h </w:instrText>
      </w:r>
      <w:r>
        <w:rPr>
          <w:rFonts w:hint="eastAsia" w:ascii="黑体" w:hAnsi="黑体" w:eastAsia="黑体" w:cs="黑体"/>
          <w:sz w:val="30"/>
          <w:szCs w:val="30"/>
        </w:rPr>
        <w:fldChar w:fldCharType="separate"/>
      </w:r>
      <w:r>
        <w:rPr>
          <w:rFonts w:hint="eastAsia" w:ascii="黑体" w:hAnsi="黑体" w:eastAsia="黑体" w:cs="黑体"/>
          <w:sz w:val="30"/>
          <w:szCs w:val="30"/>
        </w:rPr>
        <w:t>1</w:t>
      </w:r>
      <w:r>
        <w:rPr>
          <w:rFonts w:hint="eastAsia" w:ascii="黑体" w:hAnsi="黑体" w:eastAsia="黑体" w:cs="黑体"/>
          <w:sz w:val="30"/>
          <w:szCs w:val="30"/>
        </w:rPr>
        <w:fldChar w:fldCharType="end"/>
      </w:r>
      <w:r>
        <w:rPr>
          <w:rFonts w:hint="eastAsia" w:ascii="黑体" w:hAnsi="黑体" w:eastAsia="黑体" w:cs="黑体"/>
          <w:sz w:val="30"/>
          <w:szCs w:val="30"/>
        </w:rPr>
        <w:fldChar w:fldCharType="end"/>
      </w:r>
    </w:p>
    <w:p w14:paraId="2A144A0D">
      <w:pPr>
        <w:pStyle w:val="110"/>
        <w:tabs>
          <w:tab w:val="right" w:leader="dot" w:pos="9450"/>
        </w:tabs>
        <w:spacing w:line="360" w:lineRule="auto"/>
        <w:rPr>
          <w:rFonts w:hint="eastAsia" w:ascii="黑体" w:hAnsi="黑体" w:eastAsia="黑体" w:cs="黑体"/>
          <w:sz w:val="30"/>
          <w:szCs w:val="30"/>
        </w:rPr>
      </w:pPr>
      <w:r>
        <w:rPr>
          <w:rFonts w:hint="eastAsia" w:ascii="黑体" w:hAnsi="黑体" w:eastAsia="黑体" w:cs="黑体"/>
          <w:sz w:val="30"/>
          <w:szCs w:val="30"/>
        </w:rPr>
        <w:fldChar w:fldCharType="begin"/>
      </w:r>
      <w:r>
        <w:rPr>
          <w:rFonts w:hint="eastAsia" w:ascii="黑体" w:hAnsi="黑体" w:eastAsia="黑体" w:cs="黑体"/>
          <w:sz w:val="30"/>
          <w:szCs w:val="30"/>
        </w:rPr>
        <w:instrText xml:space="preserve"> HYPERLINK \l _Toc24506 </w:instrText>
      </w:r>
      <w:r>
        <w:rPr>
          <w:rFonts w:hint="eastAsia" w:ascii="黑体" w:hAnsi="黑体" w:eastAsia="黑体" w:cs="黑体"/>
          <w:sz w:val="30"/>
          <w:szCs w:val="30"/>
        </w:rPr>
        <w:fldChar w:fldCharType="separate"/>
      </w:r>
      <w:r>
        <w:rPr>
          <w:rFonts w:hint="eastAsia" w:ascii="黑体" w:hAnsi="黑体" w:eastAsia="黑体" w:cs="黑体"/>
          <w:sz w:val="30"/>
          <w:szCs w:val="30"/>
        </w:rPr>
        <w:t>二、建设内容</w:t>
      </w:r>
      <w:r>
        <w:rPr>
          <w:rFonts w:hint="eastAsia" w:ascii="黑体" w:hAnsi="黑体" w:eastAsia="黑体" w:cs="黑体"/>
          <w:sz w:val="30"/>
          <w:szCs w:val="30"/>
        </w:rPr>
        <w:tab/>
      </w:r>
      <w:r>
        <w:rPr>
          <w:rFonts w:hint="eastAsia" w:ascii="黑体" w:hAnsi="黑体" w:eastAsia="黑体" w:cs="黑体"/>
          <w:sz w:val="30"/>
          <w:szCs w:val="30"/>
        </w:rPr>
        <w:fldChar w:fldCharType="begin"/>
      </w:r>
      <w:r>
        <w:rPr>
          <w:rFonts w:hint="eastAsia" w:ascii="黑体" w:hAnsi="黑体" w:eastAsia="黑体" w:cs="黑体"/>
          <w:sz w:val="30"/>
          <w:szCs w:val="30"/>
        </w:rPr>
        <w:instrText xml:space="preserve"> PAGEREF _Toc24506 \h </w:instrText>
      </w:r>
      <w:r>
        <w:rPr>
          <w:rFonts w:hint="eastAsia" w:ascii="黑体" w:hAnsi="黑体" w:eastAsia="黑体" w:cs="黑体"/>
          <w:sz w:val="30"/>
          <w:szCs w:val="30"/>
        </w:rPr>
        <w:fldChar w:fldCharType="separate"/>
      </w:r>
      <w:r>
        <w:rPr>
          <w:rFonts w:hint="eastAsia" w:ascii="黑体" w:hAnsi="黑体" w:eastAsia="黑体" w:cs="黑体"/>
          <w:sz w:val="30"/>
          <w:szCs w:val="30"/>
        </w:rPr>
        <w:t>18</w:t>
      </w:r>
      <w:r>
        <w:rPr>
          <w:rFonts w:hint="eastAsia" w:ascii="黑体" w:hAnsi="黑体" w:eastAsia="黑体" w:cs="黑体"/>
          <w:sz w:val="30"/>
          <w:szCs w:val="30"/>
        </w:rPr>
        <w:fldChar w:fldCharType="end"/>
      </w:r>
      <w:r>
        <w:rPr>
          <w:rFonts w:hint="eastAsia" w:ascii="黑体" w:hAnsi="黑体" w:eastAsia="黑体" w:cs="黑体"/>
          <w:sz w:val="30"/>
          <w:szCs w:val="30"/>
        </w:rPr>
        <w:fldChar w:fldCharType="end"/>
      </w:r>
    </w:p>
    <w:p w14:paraId="2932733D">
      <w:pPr>
        <w:pStyle w:val="110"/>
        <w:tabs>
          <w:tab w:val="right" w:leader="dot" w:pos="9450"/>
        </w:tabs>
        <w:spacing w:line="360" w:lineRule="auto"/>
        <w:rPr>
          <w:rFonts w:hint="eastAsia" w:ascii="黑体" w:hAnsi="黑体" w:eastAsia="黑体" w:cs="黑体"/>
          <w:sz w:val="30"/>
          <w:szCs w:val="30"/>
        </w:rPr>
      </w:pPr>
      <w:r>
        <w:rPr>
          <w:rFonts w:hint="eastAsia" w:ascii="黑体" w:hAnsi="黑体" w:eastAsia="黑体" w:cs="黑体"/>
          <w:sz w:val="30"/>
          <w:szCs w:val="30"/>
        </w:rPr>
        <w:fldChar w:fldCharType="begin"/>
      </w:r>
      <w:r>
        <w:rPr>
          <w:rFonts w:hint="eastAsia" w:ascii="黑体" w:hAnsi="黑体" w:eastAsia="黑体" w:cs="黑体"/>
          <w:sz w:val="30"/>
          <w:szCs w:val="30"/>
        </w:rPr>
        <w:instrText xml:space="preserve"> HYPERLINK \l _Toc20790 </w:instrText>
      </w:r>
      <w:r>
        <w:rPr>
          <w:rFonts w:hint="eastAsia" w:ascii="黑体" w:hAnsi="黑体" w:eastAsia="黑体" w:cs="黑体"/>
          <w:sz w:val="30"/>
          <w:szCs w:val="30"/>
        </w:rPr>
        <w:fldChar w:fldCharType="separate"/>
      </w:r>
      <w:r>
        <w:rPr>
          <w:rFonts w:hint="eastAsia" w:ascii="黑体" w:hAnsi="黑体" w:eastAsia="黑体" w:cs="黑体"/>
          <w:snapToGrid w:val="0"/>
          <w:sz w:val="30"/>
          <w:szCs w:val="30"/>
        </w:rPr>
        <w:t>三、生态环境现状、保护目标及评价标准</w:t>
      </w:r>
      <w:r>
        <w:rPr>
          <w:rFonts w:hint="eastAsia" w:ascii="黑体" w:hAnsi="黑体" w:eastAsia="黑体" w:cs="黑体"/>
          <w:sz w:val="30"/>
          <w:szCs w:val="30"/>
        </w:rPr>
        <w:tab/>
      </w:r>
      <w:r>
        <w:rPr>
          <w:rFonts w:hint="eastAsia" w:ascii="黑体" w:hAnsi="黑体" w:eastAsia="黑体" w:cs="黑体"/>
          <w:sz w:val="30"/>
          <w:szCs w:val="30"/>
        </w:rPr>
        <w:fldChar w:fldCharType="begin"/>
      </w:r>
      <w:r>
        <w:rPr>
          <w:rFonts w:hint="eastAsia" w:ascii="黑体" w:hAnsi="黑体" w:eastAsia="黑体" w:cs="黑体"/>
          <w:sz w:val="30"/>
          <w:szCs w:val="30"/>
        </w:rPr>
        <w:instrText xml:space="preserve"> PAGEREF _Toc20790 \h </w:instrText>
      </w:r>
      <w:r>
        <w:rPr>
          <w:rFonts w:hint="eastAsia" w:ascii="黑体" w:hAnsi="黑体" w:eastAsia="黑体" w:cs="黑体"/>
          <w:sz w:val="30"/>
          <w:szCs w:val="30"/>
        </w:rPr>
        <w:fldChar w:fldCharType="separate"/>
      </w:r>
      <w:r>
        <w:rPr>
          <w:rFonts w:hint="eastAsia" w:ascii="黑体" w:hAnsi="黑体" w:eastAsia="黑体" w:cs="黑体"/>
          <w:sz w:val="30"/>
          <w:szCs w:val="30"/>
        </w:rPr>
        <w:t>38</w:t>
      </w:r>
      <w:r>
        <w:rPr>
          <w:rFonts w:hint="eastAsia" w:ascii="黑体" w:hAnsi="黑体" w:eastAsia="黑体" w:cs="黑体"/>
          <w:sz w:val="30"/>
          <w:szCs w:val="30"/>
        </w:rPr>
        <w:fldChar w:fldCharType="end"/>
      </w:r>
      <w:r>
        <w:rPr>
          <w:rFonts w:hint="eastAsia" w:ascii="黑体" w:hAnsi="黑体" w:eastAsia="黑体" w:cs="黑体"/>
          <w:sz w:val="30"/>
          <w:szCs w:val="30"/>
        </w:rPr>
        <w:fldChar w:fldCharType="end"/>
      </w:r>
    </w:p>
    <w:p w14:paraId="1998E0C1">
      <w:pPr>
        <w:pStyle w:val="110"/>
        <w:tabs>
          <w:tab w:val="right" w:leader="dot" w:pos="9450"/>
        </w:tabs>
        <w:spacing w:line="360" w:lineRule="auto"/>
        <w:rPr>
          <w:rFonts w:hint="eastAsia" w:ascii="黑体" w:hAnsi="黑体" w:eastAsia="黑体" w:cs="黑体"/>
          <w:sz w:val="30"/>
          <w:szCs w:val="30"/>
        </w:rPr>
      </w:pPr>
      <w:r>
        <w:rPr>
          <w:rFonts w:hint="eastAsia" w:ascii="黑体" w:hAnsi="黑体" w:eastAsia="黑体" w:cs="黑体"/>
          <w:sz w:val="30"/>
          <w:szCs w:val="30"/>
        </w:rPr>
        <w:fldChar w:fldCharType="begin"/>
      </w:r>
      <w:r>
        <w:rPr>
          <w:rFonts w:hint="eastAsia" w:ascii="黑体" w:hAnsi="黑体" w:eastAsia="黑体" w:cs="黑体"/>
          <w:sz w:val="30"/>
          <w:szCs w:val="30"/>
        </w:rPr>
        <w:instrText xml:space="preserve"> HYPERLINK \l _Toc27168 </w:instrText>
      </w:r>
      <w:r>
        <w:rPr>
          <w:rFonts w:hint="eastAsia" w:ascii="黑体" w:hAnsi="黑体" w:eastAsia="黑体" w:cs="黑体"/>
          <w:sz w:val="30"/>
          <w:szCs w:val="30"/>
        </w:rPr>
        <w:fldChar w:fldCharType="separate"/>
      </w:r>
      <w:r>
        <w:rPr>
          <w:rFonts w:hint="eastAsia" w:ascii="黑体" w:hAnsi="黑体" w:eastAsia="黑体" w:cs="黑体"/>
          <w:snapToGrid w:val="0"/>
          <w:sz w:val="30"/>
          <w:szCs w:val="30"/>
        </w:rPr>
        <w:t>四、生态环境影响分析</w:t>
      </w:r>
      <w:r>
        <w:rPr>
          <w:rFonts w:hint="eastAsia" w:ascii="黑体" w:hAnsi="黑体" w:eastAsia="黑体" w:cs="黑体"/>
          <w:sz w:val="30"/>
          <w:szCs w:val="30"/>
        </w:rPr>
        <w:tab/>
      </w:r>
      <w:r>
        <w:rPr>
          <w:rFonts w:hint="eastAsia" w:ascii="黑体" w:hAnsi="黑体" w:eastAsia="黑体" w:cs="黑体"/>
          <w:sz w:val="30"/>
          <w:szCs w:val="30"/>
        </w:rPr>
        <w:fldChar w:fldCharType="begin"/>
      </w:r>
      <w:r>
        <w:rPr>
          <w:rFonts w:hint="eastAsia" w:ascii="黑体" w:hAnsi="黑体" w:eastAsia="黑体" w:cs="黑体"/>
          <w:sz w:val="30"/>
          <w:szCs w:val="30"/>
        </w:rPr>
        <w:instrText xml:space="preserve"> PAGEREF _Toc27168 \h </w:instrText>
      </w:r>
      <w:r>
        <w:rPr>
          <w:rFonts w:hint="eastAsia" w:ascii="黑体" w:hAnsi="黑体" w:eastAsia="黑体" w:cs="黑体"/>
          <w:sz w:val="30"/>
          <w:szCs w:val="30"/>
        </w:rPr>
        <w:fldChar w:fldCharType="separate"/>
      </w:r>
      <w:r>
        <w:rPr>
          <w:rFonts w:hint="eastAsia" w:ascii="黑体" w:hAnsi="黑体" w:eastAsia="黑体" w:cs="黑体"/>
          <w:sz w:val="30"/>
          <w:szCs w:val="30"/>
        </w:rPr>
        <w:t>70</w:t>
      </w:r>
      <w:r>
        <w:rPr>
          <w:rFonts w:hint="eastAsia" w:ascii="黑体" w:hAnsi="黑体" w:eastAsia="黑体" w:cs="黑体"/>
          <w:sz w:val="30"/>
          <w:szCs w:val="30"/>
        </w:rPr>
        <w:fldChar w:fldCharType="end"/>
      </w:r>
      <w:r>
        <w:rPr>
          <w:rFonts w:hint="eastAsia" w:ascii="黑体" w:hAnsi="黑体" w:eastAsia="黑体" w:cs="黑体"/>
          <w:sz w:val="30"/>
          <w:szCs w:val="30"/>
        </w:rPr>
        <w:fldChar w:fldCharType="end"/>
      </w:r>
    </w:p>
    <w:p w14:paraId="33BA3EF3">
      <w:pPr>
        <w:pStyle w:val="110"/>
        <w:tabs>
          <w:tab w:val="right" w:leader="dot" w:pos="9450"/>
        </w:tabs>
        <w:spacing w:line="360" w:lineRule="auto"/>
        <w:rPr>
          <w:rFonts w:hint="eastAsia" w:ascii="黑体" w:hAnsi="黑体" w:eastAsia="黑体" w:cs="黑体"/>
          <w:sz w:val="30"/>
          <w:szCs w:val="30"/>
        </w:rPr>
      </w:pPr>
      <w:r>
        <w:rPr>
          <w:rFonts w:hint="eastAsia" w:ascii="黑体" w:hAnsi="黑体" w:eastAsia="黑体" w:cs="黑体"/>
          <w:sz w:val="30"/>
          <w:szCs w:val="30"/>
        </w:rPr>
        <w:fldChar w:fldCharType="begin"/>
      </w:r>
      <w:r>
        <w:rPr>
          <w:rFonts w:hint="eastAsia" w:ascii="黑体" w:hAnsi="黑体" w:eastAsia="黑体" w:cs="黑体"/>
          <w:sz w:val="30"/>
          <w:szCs w:val="30"/>
        </w:rPr>
        <w:instrText xml:space="preserve"> HYPERLINK \l _Toc20923 </w:instrText>
      </w:r>
      <w:r>
        <w:rPr>
          <w:rFonts w:hint="eastAsia" w:ascii="黑体" w:hAnsi="黑体" w:eastAsia="黑体" w:cs="黑体"/>
          <w:sz w:val="30"/>
          <w:szCs w:val="30"/>
        </w:rPr>
        <w:fldChar w:fldCharType="separate"/>
      </w:r>
      <w:r>
        <w:rPr>
          <w:rFonts w:hint="eastAsia" w:ascii="黑体" w:hAnsi="黑体" w:eastAsia="黑体" w:cs="黑体"/>
          <w:sz w:val="30"/>
          <w:szCs w:val="30"/>
        </w:rPr>
        <w:t>五、主要生态环境保护措施</w:t>
      </w:r>
      <w:r>
        <w:rPr>
          <w:rFonts w:hint="eastAsia" w:ascii="黑体" w:hAnsi="黑体" w:eastAsia="黑体" w:cs="黑体"/>
          <w:sz w:val="30"/>
          <w:szCs w:val="30"/>
        </w:rPr>
        <w:tab/>
      </w:r>
      <w:r>
        <w:rPr>
          <w:rFonts w:hint="eastAsia" w:ascii="黑体" w:hAnsi="黑体" w:eastAsia="黑体" w:cs="黑体"/>
          <w:sz w:val="30"/>
          <w:szCs w:val="30"/>
        </w:rPr>
        <w:fldChar w:fldCharType="begin"/>
      </w:r>
      <w:r>
        <w:rPr>
          <w:rFonts w:hint="eastAsia" w:ascii="黑体" w:hAnsi="黑体" w:eastAsia="黑体" w:cs="黑体"/>
          <w:sz w:val="30"/>
          <w:szCs w:val="30"/>
        </w:rPr>
        <w:instrText xml:space="preserve"> PAGEREF _Toc20923 \h </w:instrText>
      </w:r>
      <w:r>
        <w:rPr>
          <w:rFonts w:hint="eastAsia" w:ascii="黑体" w:hAnsi="黑体" w:eastAsia="黑体" w:cs="黑体"/>
          <w:sz w:val="30"/>
          <w:szCs w:val="30"/>
        </w:rPr>
        <w:fldChar w:fldCharType="separate"/>
      </w:r>
      <w:r>
        <w:rPr>
          <w:rFonts w:hint="eastAsia" w:ascii="黑体" w:hAnsi="黑体" w:eastAsia="黑体" w:cs="黑体"/>
          <w:sz w:val="30"/>
          <w:szCs w:val="30"/>
        </w:rPr>
        <w:t>112</w:t>
      </w:r>
      <w:r>
        <w:rPr>
          <w:rFonts w:hint="eastAsia" w:ascii="黑体" w:hAnsi="黑体" w:eastAsia="黑体" w:cs="黑体"/>
          <w:sz w:val="30"/>
          <w:szCs w:val="30"/>
        </w:rPr>
        <w:fldChar w:fldCharType="end"/>
      </w:r>
      <w:r>
        <w:rPr>
          <w:rFonts w:hint="eastAsia" w:ascii="黑体" w:hAnsi="黑体" w:eastAsia="黑体" w:cs="黑体"/>
          <w:sz w:val="30"/>
          <w:szCs w:val="30"/>
        </w:rPr>
        <w:fldChar w:fldCharType="end"/>
      </w:r>
    </w:p>
    <w:p w14:paraId="476BE8A2">
      <w:pPr>
        <w:pStyle w:val="110"/>
        <w:tabs>
          <w:tab w:val="right" w:leader="dot" w:pos="9450"/>
        </w:tabs>
        <w:spacing w:line="360" w:lineRule="auto"/>
        <w:rPr>
          <w:rFonts w:hint="eastAsia" w:ascii="黑体" w:hAnsi="黑体" w:eastAsia="黑体" w:cs="黑体"/>
          <w:sz w:val="30"/>
          <w:szCs w:val="30"/>
        </w:rPr>
      </w:pPr>
      <w:r>
        <w:rPr>
          <w:rFonts w:hint="eastAsia" w:ascii="黑体" w:hAnsi="黑体" w:eastAsia="黑体" w:cs="黑体"/>
          <w:sz w:val="30"/>
          <w:szCs w:val="30"/>
        </w:rPr>
        <w:fldChar w:fldCharType="begin"/>
      </w:r>
      <w:r>
        <w:rPr>
          <w:rFonts w:hint="eastAsia" w:ascii="黑体" w:hAnsi="黑体" w:eastAsia="黑体" w:cs="黑体"/>
          <w:sz w:val="30"/>
          <w:szCs w:val="30"/>
        </w:rPr>
        <w:instrText xml:space="preserve"> HYPERLINK \l _Toc17554 </w:instrText>
      </w:r>
      <w:r>
        <w:rPr>
          <w:rFonts w:hint="eastAsia" w:ascii="黑体" w:hAnsi="黑体" w:eastAsia="黑体" w:cs="黑体"/>
          <w:sz w:val="30"/>
          <w:szCs w:val="30"/>
        </w:rPr>
        <w:fldChar w:fldCharType="separate"/>
      </w:r>
      <w:r>
        <w:rPr>
          <w:rFonts w:hint="eastAsia" w:ascii="黑体" w:hAnsi="黑体" w:eastAsia="黑体" w:cs="黑体"/>
          <w:sz w:val="30"/>
          <w:szCs w:val="30"/>
        </w:rPr>
        <w:t>六、生态环境保护措施监督检查清单</w:t>
      </w:r>
      <w:r>
        <w:rPr>
          <w:rFonts w:hint="eastAsia" w:ascii="黑体" w:hAnsi="黑体" w:eastAsia="黑体" w:cs="黑体"/>
          <w:sz w:val="30"/>
          <w:szCs w:val="30"/>
        </w:rPr>
        <w:tab/>
      </w:r>
      <w:r>
        <w:rPr>
          <w:rFonts w:hint="eastAsia" w:ascii="黑体" w:hAnsi="黑体" w:eastAsia="黑体" w:cs="黑体"/>
          <w:sz w:val="30"/>
          <w:szCs w:val="30"/>
        </w:rPr>
        <w:fldChar w:fldCharType="begin"/>
      </w:r>
      <w:r>
        <w:rPr>
          <w:rFonts w:hint="eastAsia" w:ascii="黑体" w:hAnsi="黑体" w:eastAsia="黑体" w:cs="黑体"/>
          <w:sz w:val="30"/>
          <w:szCs w:val="30"/>
        </w:rPr>
        <w:instrText xml:space="preserve"> PAGEREF _Toc17554 \h </w:instrText>
      </w:r>
      <w:r>
        <w:rPr>
          <w:rFonts w:hint="eastAsia" w:ascii="黑体" w:hAnsi="黑体" w:eastAsia="黑体" w:cs="黑体"/>
          <w:sz w:val="30"/>
          <w:szCs w:val="30"/>
        </w:rPr>
        <w:fldChar w:fldCharType="separate"/>
      </w:r>
      <w:r>
        <w:rPr>
          <w:rFonts w:hint="eastAsia" w:ascii="黑体" w:hAnsi="黑体" w:eastAsia="黑体" w:cs="黑体"/>
          <w:sz w:val="30"/>
          <w:szCs w:val="30"/>
        </w:rPr>
        <w:t>144</w:t>
      </w:r>
      <w:r>
        <w:rPr>
          <w:rFonts w:hint="eastAsia" w:ascii="黑体" w:hAnsi="黑体" w:eastAsia="黑体" w:cs="黑体"/>
          <w:sz w:val="30"/>
          <w:szCs w:val="30"/>
        </w:rPr>
        <w:fldChar w:fldCharType="end"/>
      </w:r>
      <w:r>
        <w:rPr>
          <w:rFonts w:hint="eastAsia" w:ascii="黑体" w:hAnsi="黑体" w:eastAsia="黑体" w:cs="黑体"/>
          <w:sz w:val="30"/>
          <w:szCs w:val="30"/>
        </w:rPr>
        <w:fldChar w:fldCharType="end"/>
      </w:r>
    </w:p>
    <w:p w14:paraId="1DECD588">
      <w:pPr>
        <w:pStyle w:val="110"/>
        <w:tabs>
          <w:tab w:val="right" w:leader="dot" w:pos="9450"/>
        </w:tabs>
        <w:spacing w:line="360" w:lineRule="auto"/>
        <w:rPr>
          <w:rFonts w:hint="eastAsia" w:ascii="黑体" w:hAnsi="黑体" w:eastAsia="黑体" w:cs="黑体"/>
          <w:sz w:val="30"/>
          <w:szCs w:val="30"/>
        </w:rPr>
        <w:sectPr>
          <w:pgSz w:w="11910" w:h="16840"/>
          <w:pgMar w:top="1740" w:right="1220" w:bottom="1660" w:left="1240" w:header="720" w:footer="720" w:gutter="0"/>
          <w:pgBorders>
            <w:top w:val="none" w:sz="0" w:space="0"/>
            <w:left w:val="none" w:sz="0" w:space="0"/>
            <w:bottom w:val="none" w:sz="0" w:space="0"/>
            <w:right w:val="none" w:sz="0" w:space="0"/>
          </w:pgBorders>
          <w:cols w:space="720" w:num="1"/>
        </w:sectPr>
      </w:pPr>
      <w:r>
        <w:rPr>
          <w:rFonts w:hint="eastAsia" w:ascii="黑体" w:hAnsi="黑体" w:eastAsia="黑体" w:cs="黑体"/>
          <w:sz w:val="30"/>
          <w:szCs w:val="30"/>
        </w:rPr>
        <w:fldChar w:fldCharType="begin"/>
      </w:r>
      <w:r>
        <w:rPr>
          <w:rFonts w:hint="eastAsia" w:ascii="黑体" w:hAnsi="黑体" w:eastAsia="黑体" w:cs="黑体"/>
          <w:sz w:val="30"/>
          <w:szCs w:val="30"/>
        </w:rPr>
        <w:instrText xml:space="preserve"> HYPERLINK \l _Toc27911 </w:instrText>
      </w:r>
      <w:r>
        <w:rPr>
          <w:rFonts w:hint="eastAsia" w:ascii="黑体" w:hAnsi="黑体" w:eastAsia="黑体" w:cs="黑体"/>
          <w:sz w:val="30"/>
          <w:szCs w:val="30"/>
        </w:rPr>
        <w:fldChar w:fldCharType="separate"/>
      </w:r>
      <w:r>
        <w:rPr>
          <w:rFonts w:hint="eastAsia" w:ascii="黑体" w:hAnsi="黑体" w:eastAsia="黑体" w:cs="黑体"/>
          <w:snapToGrid w:val="0"/>
          <w:sz w:val="30"/>
          <w:szCs w:val="30"/>
        </w:rPr>
        <w:t>七、结论</w:t>
      </w:r>
      <w:r>
        <w:rPr>
          <w:rFonts w:hint="eastAsia" w:ascii="黑体" w:hAnsi="黑体" w:eastAsia="黑体" w:cs="黑体"/>
          <w:sz w:val="30"/>
          <w:szCs w:val="30"/>
        </w:rPr>
        <w:tab/>
      </w:r>
      <w:r>
        <w:rPr>
          <w:rFonts w:hint="eastAsia" w:ascii="黑体" w:hAnsi="黑体" w:eastAsia="黑体" w:cs="黑体"/>
          <w:sz w:val="30"/>
          <w:szCs w:val="30"/>
        </w:rPr>
        <w:fldChar w:fldCharType="begin"/>
      </w:r>
      <w:r>
        <w:rPr>
          <w:rFonts w:hint="eastAsia" w:ascii="黑体" w:hAnsi="黑体" w:eastAsia="黑体" w:cs="黑体"/>
          <w:sz w:val="30"/>
          <w:szCs w:val="30"/>
        </w:rPr>
        <w:instrText xml:space="preserve"> PAGEREF _Toc27911 \h </w:instrText>
      </w:r>
      <w:r>
        <w:rPr>
          <w:rFonts w:hint="eastAsia" w:ascii="黑体" w:hAnsi="黑体" w:eastAsia="黑体" w:cs="黑体"/>
          <w:sz w:val="30"/>
          <w:szCs w:val="30"/>
        </w:rPr>
        <w:fldChar w:fldCharType="separate"/>
      </w:r>
      <w:r>
        <w:rPr>
          <w:rFonts w:hint="eastAsia" w:ascii="黑体" w:hAnsi="黑体" w:eastAsia="黑体" w:cs="黑体"/>
          <w:sz w:val="30"/>
          <w:szCs w:val="30"/>
        </w:rPr>
        <w:t>147</w:t>
      </w:r>
      <w:r>
        <w:rPr>
          <w:rFonts w:hint="eastAsia" w:ascii="黑体" w:hAnsi="黑体" w:eastAsia="黑体" w:cs="黑体"/>
          <w:sz w:val="30"/>
          <w:szCs w:val="30"/>
        </w:rPr>
        <w:fldChar w:fldCharType="end"/>
      </w:r>
      <w:r>
        <w:rPr>
          <w:rFonts w:hint="eastAsia" w:ascii="黑体" w:hAnsi="黑体" w:eastAsia="黑体" w:cs="黑体"/>
          <w:sz w:val="30"/>
          <w:szCs w:val="30"/>
        </w:rPr>
        <w:fldChar w:fldCharType="end"/>
      </w:r>
    </w:p>
    <w:p w14:paraId="77EE4960">
      <w:pPr>
        <w:spacing w:line="360" w:lineRule="auto"/>
        <w:rPr>
          <w:rFonts w:eastAsia="Times New Roman"/>
          <w:sz w:val="4"/>
          <w:szCs w:val="4"/>
        </w:rPr>
      </w:pPr>
      <w:r>
        <w:rPr>
          <w:rFonts w:hint="eastAsia" w:eastAsia="黑体"/>
          <w:lang w:eastAsia="zh-CN"/>
        </w:rPr>
        <w:drawing>
          <wp:anchor distT="0" distB="0" distL="114300" distR="114300" simplePos="0" relativeHeight="251689984" behindDoc="1" locked="0" layoutInCell="1" allowOverlap="1">
            <wp:simplePos x="0" y="0"/>
            <wp:positionH relativeFrom="column">
              <wp:posOffset>-431800</wp:posOffset>
            </wp:positionH>
            <wp:positionV relativeFrom="paragraph">
              <wp:posOffset>-694690</wp:posOffset>
            </wp:positionV>
            <wp:extent cx="6328410" cy="9084310"/>
            <wp:effectExtent l="0" t="0" r="11430" b="13970"/>
            <wp:wrapNone/>
            <wp:docPr id="48" name="图片 48" descr="1782495155a42e1b65bff734d9096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1782495155a42e1b65bff734d90967f"/>
                    <pic:cNvPicPr>
                      <a:picLocks noChangeAspect="1"/>
                    </pic:cNvPicPr>
                  </pic:nvPicPr>
                  <pic:blipFill>
                    <a:blip r:embed="rId20"/>
                    <a:srcRect l="7534" r="3032" b="6770"/>
                    <a:stretch>
                      <a:fillRect/>
                    </a:stretch>
                  </pic:blipFill>
                  <pic:spPr>
                    <a:xfrm>
                      <a:off x="0" y="0"/>
                      <a:ext cx="6328410" cy="9084310"/>
                    </a:xfrm>
                    <a:prstGeom prst="rect">
                      <a:avLst/>
                    </a:prstGeom>
                  </pic:spPr>
                </pic:pic>
              </a:graphicData>
            </a:graphic>
          </wp:anchor>
        </w:drawing>
      </w:r>
      <w:r>
        <w:rPr>
          <w:rFonts w:hint="eastAsia" w:ascii="黑体" w:hAnsi="黑体" w:eastAsia="黑体" w:cs="黑体"/>
          <w:sz w:val="30"/>
          <w:szCs w:val="30"/>
        </w:rPr>
        <w:fldChar w:fldCharType="end"/>
      </w:r>
    </w:p>
    <w:p w14:paraId="5EB8AF34">
      <w:pPr>
        <w:pStyle w:val="2"/>
        <w:bidi w:val="0"/>
        <w:jc w:val="left"/>
        <w:rPr>
          <w:rFonts w:hint="eastAsia" w:eastAsia="黑体"/>
          <w:lang w:eastAsia="zh-CN"/>
        </w:rPr>
        <w:sectPr>
          <w:headerReference r:id="rId5" w:type="default"/>
          <w:footerReference r:id="rId6" w:type="default"/>
          <w:footerReference r:id="rId7" w:type="even"/>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bookmarkStart w:id="0" w:name="_Toc1355"/>
    </w:p>
    <w:p w14:paraId="2FC4A705">
      <w:pPr>
        <w:pStyle w:val="2"/>
        <w:bidi w:val="0"/>
        <w:jc w:val="left"/>
        <w:rPr>
          <w:rFonts w:hint="eastAsia" w:eastAsia="黑体"/>
          <w:lang w:eastAsia="zh-CN"/>
        </w:rPr>
        <w:sectPr>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r>
        <w:rPr>
          <w:rFonts w:hint="eastAsia" w:eastAsia="黑体"/>
          <w:lang w:eastAsia="zh-CN"/>
        </w:rPr>
        <w:drawing>
          <wp:inline distT="0" distB="0" distL="114300" distR="114300">
            <wp:extent cx="5349240" cy="8394065"/>
            <wp:effectExtent l="0" t="0" r="0" b="3175"/>
            <wp:docPr id="64" name="图片 64" descr="a3e4ee3bc5139873c65605aae8bae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a3e4ee3bc5139873c65605aae8bae55"/>
                    <pic:cNvPicPr>
                      <a:picLocks noChangeAspect="1"/>
                    </pic:cNvPicPr>
                  </pic:nvPicPr>
                  <pic:blipFill>
                    <a:blip r:embed="rId21"/>
                    <a:srcRect l="12251"/>
                    <a:stretch>
                      <a:fillRect/>
                    </a:stretch>
                  </pic:blipFill>
                  <pic:spPr>
                    <a:xfrm>
                      <a:off x="0" y="0"/>
                      <a:ext cx="5349240" cy="8394065"/>
                    </a:xfrm>
                    <a:prstGeom prst="rect">
                      <a:avLst/>
                    </a:prstGeom>
                  </pic:spPr>
                </pic:pic>
              </a:graphicData>
            </a:graphic>
          </wp:inline>
        </w:drawing>
      </w:r>
    </w:p>
    <w:p w14:paraId="6C121540">
      <w:pPr>
        <w:pStyle w:val="2"/>
        <w:bidi w:val="0"/>
        <w:ind w:firstLine="3000" w:firstLineChars="1000"/>
        <w:jc w:val="left"/>
        <w:rPr>
          <w:rFonts w:hint="eastAsia" w:eastAsia="黑体"/>
          <w:lang w:eastAsia="zh-CN"/>
        </w:rPr>
        <w:sectPr>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r>
        <w:rPr>
          <w:rFonts w:hint="eastAsia" w:eastAsia="黑体"/>
          <w:lang w:eastAsia="zh-CN"/>
        </w:rPr>
        <w:drawing>
          <wp:anchor distT="0" distB="0" distL="114300" distR="114300" simplePos="0" relativeHeight="251689984" behindDoc="1" locked="0" layoutInCell="1" allowOverlap="1">
            <wp:simplePos x="0" y="0"/>
            <wp:positionH relativeFrom="column">
              <wp:posOffset>-593090</wp:posOffset>
            </wp:positionH>
            <wp:positionV relativeFrom="paragraph">
              <wp:posOffset>-618490</wp:posOffset>
            </wp:positionV>
            <wp:extent cx="6454775" cy="8888095"/>
            <wp:effectExtent l="0" t="0" r="6985" b="12065"/>
            <wp:wrapNone/>
            <wp:docPr id="65" name="图片 65" descr="c899044b2b681ea99539203d6e126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c899044b2b681ea99539203d6e1262d"/>
                    <pic:cNvPicPr>
                      <a:picLocks noChangeAspect="1"/>
                    </pic:cNvPicPr>
                  </pic:nvPicPr>
                  <pic:blipFill>
                    <a:blip r:embed="rId22"/>
                    <a:stretch>
                      <a:fillRect/>
                    </a:stretch>
                  </pic:blipFill>
                  <pic:spPr>
                    <a:xfrm>
                      <a:off x="0" y="0"/>
                      <a:ext cx="6454775" cy="8888095"/>
                    </a:xfrm>
                    <a:prstGeom prst="rect">
                      <a:avLst/>
                    </a:prstGeom>
                  </pic:spPr>
                </pic:pic>
              </a:graphicData>
            </a:graphic>
          </wp:anchor>
        </w:drawing>
      </w:r>
    </w:p>
    <w:p w14:paraId="0D525E5C">
      <w:pPr>
        <w:pStyle w:val="2"/>
        <w:bidi w:val="0"/>
        <w:ind w:firstLine="3000" w:firstLineChars="1000"/>
        <w:jc w:val="left"/>
      </w:pPr>
      <w:r>
        <w:t>一、建设项目基本情况</w:t>
      </w:r>
      <w:bookmarkEnd w:id="0"/>
    </w:p>
    <w:tbl>
      <w:tblPr>
        <w:tblStyle w:val="26"/>
        <w:tblW w:w="923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299"/>
        <w:gridCol w:w="1504"/>
        <w:gridCol w:w="2810"/>
        <w:gridCol w:w="15"/>
        <w:gridCol w:w="3608"/>
      </w:tblGrid>
      <w:tr w14:paraId="565631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jc w:val="center"/>
        </w:trPr>
        <w:tc>
          <w:tcPr>
            <w:tcW w:w="1299" w:type="dxa"/>
            <w:tcMar>
              <w:top w:w="16" w:type="dxa"/>
              <w:left w:w="57" w:type="dxa"/>
              <w:right w:w="57" w:type="dxa"/>
            </w:tcMar>
            <w:vAlign w:val="center"/>
          </w:tcPr>
          <w:p w14:paraId="3292F500">
            <w:pPr>
              <w:adjustRightInd w:val="0"/>
              <w:snapToGrid w:val="0"/>
              <w:spacing w:line="240" w:lineRule="auto"/>
              <w:ind w:right="-14" w:rightChars="-6"/>
              <w:jc w:val="center"/>
            </w:pPr>
            <w:r>
              <w:t>建设项目名称</w:t>
            </w:r>
          </w:p>
        </w:tc>
        <w:tc>
          <w:tcPr>
            <w:tcW w:w="7937" w:type="dxa"/>
            <w:gridSpan w:val="4"/>
            <w:tcMar>
              <w:left w:w="57" w:type="dxa"/>
              <w:right w:w="57" w:type="dxa"/>
            </w:tcMar>
            <w:vAlign w:val="center"/>
          </w:tcPr>
          <w:p w14:paraId="591CA5A0">
            <w:pPr>
              <w:adjustRightInd w:val="0"/>
              <w:snapToGrid w:val="0"/>
              <w:spacing w:line="240" w:lineRule="auto"/>
              <w:jc w:val="center"/>
              <w:rPr>
                <w:rFonts w:hint="eastAsia" w:eastAsia="宋体"/>
                <w:lang w:eastAsia="zh-CN"/>
              </w:rPr>
            </w:pPr>
            <w:r>
              <w:rPr>
                <w:rFonts w:hint="eastAsia"/>
                <w:lang w:eastAsia="zh-CN"/>
              </w:rPr>
              <w:t>湖南华电通道太平山风电场项目</w:t>
            </w:r>
          </w:p>
        </w:tc>
      </w:tr>
      <w:tr w14:paraId="3C127D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jc w:val="center"/>
        </w:trPr>
        <w:tc>
          <w:tcPr>
            <w:tcW w:w="1299" w:type="dxa"/>
            <w:tcMar>
              <w:top w:w="16" w:type="dxa"/>
              <w:left w:w="57" w:type="dxa"/>
              <w:right w:w="57" w:type="dxa"/>
            </w:tcMar>
            <w:vAlign w:val="center"/>
          </w:tcPr>
          <w:p w14:paraId="57FB5347">
            <w:pPr>
              <w:adjustRightInd w:val="0"/>
              <w:snapToGrid w:val="0"/>
              <w:spacing w:line="240" w:lineRule="auto"/>
              <w:jc w:val="center"/>
            </w:pPr>
            <w:r>
              <w:t>项目代码</w:t>
            </w:r>
          </w:p>
        </w:tc>
        <w:tc>
          <w:tcPr>
            <w:tcW w:w="7937" w:type="dxa"/>
            <w:gridSpan w:val="4"/>
            <w:tcMar>
              <w:left w:w="57" w:type="dxa"/>
              <w:right w:w="57" w:type="dxa"/>
            </w:tcMar>
            <w:vAlign w:val="center"/>
          </w:tcPr>
          <w:p w14:paraId="4F1E1F1D">
            <w:pPr>
              <w:adjustRightInd w:val="0"/>
              <w:snapToGrid w:val="0"/>
              <w:spacing w:line="240" w:lineRule="auto"/>
              <w:jc w:val="center"/>
              <w:rPr>
                <w:rFonts w:hint="default" w:eastAsia="宋体"/>
                <w:lang w:val="en-US" w:eastAsia="zh-CN"/>
              </w:rPr>
            </w:pPr>
            <w:r>
              <w:rPr>
                <w:rFonts w:hint="eastAsia"/>
                <w:color w:val="000000" w:themeColor="text1"/>
                <w:lang w:val="en-US" w:eastAsia="zh-CN"/>
                <w14:textFill>
                  <w14:solidFill>
                    <w14:schemeClr w14:val="tx1"/>
                  </w14:solidFill>
                </w14:textFill>
              </w:rPr>
              <w:t>/</w:t>
            </w:r>
          </w:p>
        </w:tc>
      </w:tr>
      <w:tr w14:paraId="6B820D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jc w:val="center"/>
        </w:trPr>
        <w:tc>
          <w:tcPr>
            <w:tcW w:w="1299" w:type="dxa"/>
            <w:tcMar>
              <w:top w:w="16" w:type="dxa"/>
              <w:left w:w="57" w:type="dxa"/>
              <w:right w:w="57" w:type="dxa"/>
            </w:tcMar>
            <w:vAlign w:val="center"/>
          </w:tcPr>
          <w:p w14:paraId="40EFED2D">
            <w:pPr>
              <w:adjustRightInd w:val="0"/>
              <w:snapToGrid w:val="0"/>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建设单位联系人</w:t>
            </w:r>
          </w:p>
        </w:tc>
        <w:tc>
          <w:tcPr>
            <w:tcW w:w="1504" w:type="dxa"/>
            <w:tcMar>
              <w:left w:w="57" w:type="dxa"/>
              <w:right w:w="57" w:type="dxa"/>
            </w:tcMar>
            <w:vAlign w:val="center"/>
          </w:tcPr>
          <w:p w14:paraId="18CB1C57">
            <w:pPr>
              <w:adjustRightInd w:val="0"/>
              <w:snapToGrid w:val="0"/>
              <w:spacing w:line="240" w:lineRule="auto"/>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郭世祺</w:t>
            </w:r>
          </w:p>
        </w:tc>
        <w:tc>
          <w:tcPr>
            <w:tcW w:w="2825" w:type="dxa"/>
            <w:gridSpan w:val="2"/>
            <w:tcMar>
              <w:left w:w="57" w:type="dxa"/>
              <w:right w:w="57" w:type="dxa"/>
            </w:tcMar>
            <w:vAlign w:val="center"/>
          </w:tcPr>
          <w:p w14:paraId="7EF39E4B">
            <w:pPr>
              <w:adjustRightInd w:val="0"/>
              <w:snapToGrid w:val="0"/>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联系方式</w:t>
            </w:r>
          </w:p>
        </w:tc>
        <w:tc>
          <w:tcPr>
            <w:tcW w:w="3608" w:type="dxa"/>
            <w:tcMar>
              <w:left w:w="57" w:type="dxa"/>
              <w:right w:w="57" w:type="dxa"/>
            </w:tcMar>
            <w:vAlign w:val="center"/>
          </w:tcPr>
          <w:p w14:paraId="281B65EA">
            <w:pPr>
              <w:adjustRightInd w:val="0"/>
              <w:snapToGrid w:val="0"/>
              <w:spacing w:line="240" w:lineRule="auto"/>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18874819051</w:t>
            </w:r>
          </w:p>
        </w:tc>
      </w:tr>
      <w:tr w14:paraId="3F5A8F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jc w:val="center"/>
        </w:trPr>
        <w:tc>
          <w:tcPr>
            <w:tcW w:w="1299" w:type="dxa"/>
            <w:tcMar>
              <w:top w:w="16" w:type="dxa"/>
              <w:left w:w="57" w:type="dxa"/>
              <w:right w:w="57" w:type="dxa"/>
            </w:tcMar>
            <w:vAlign w:val="center"/>
          </w:tcPr>
          <w:p w14:paraId="0F93BEA1">
            <w:pPr>
              <w:adjustRightInd w:val="0"/>
              <w:snapToGrid w:val="0"/>
              <w:spacing w:line="240" w:lineRule="auto"/>
              <w:jc w:val="center"/>
              <w:rPr>
                <w:color w:val="auto"/>
              </w:rPr>
            </w:pPr>
            <w:r>
              <w:rPr>
                <w:color w:val="auto"/>
              </w:rPr>
              <w:t>建设地点</w:t>
            </w:r>
          </w:p>
        </w:tc>
        <w:tc>
          <w:tcPr>
            <w:tcW w:w="7937" w:type="dxa"/>
            <w:gridSpan w:val="4"/>
            <w:tcMar>
              <w:left w:w="57" w:type="dxa"/>
              <w:right w:w="57" w:type="dxa"/>
            </w:tcMar>
            <w:vAlign w:val="center"/>
          </w:tcPr>
          <w:p w14:paraId="63CA83B7">
            <w:pPr>
              <w:adjustRightInd w:val="0"/>
              <w:snapToGrid w:val="0"/>
              <w:spacing w:line="240" w:lineRule="auto"/>
              <w:jc w:val="center"/>
              <w:rPr>
                <w:rFonts w:hint="default" w:eastAsia="宋体"/>
                <w:color w:val="auto"/>
                <w:lang w:val="en-US" w:eastAsia="zh-CN"/>
              </w:rPr>
            </w:pPr>
            <w:r>
              <w:rPr>
                <w:rFonts w:hint="eastAsia"/>
                <w:color w:val="auto"/>
                <w:lang w:eastAsia="zh-CN"/>
              </w:rPr>
              <w:t>怀化市通道侗族自治县</w:t>
            </w:r>
            <w:r>
              <w:rPr>
                <w:rFonts w:hint="eastAsia"/>
                <w:color w:val="auto"/>
                <w:lang w:val="en-US" w:eastAsia="zh-CN"/>
              </w:rPr>
              <w:t>牙屯堡镇、坦坪乡、双江镇境内</w:t>
            </w:r>
          </w:p>
        </w:tc>
      </w:tr>
      <w:tr w14:paraId="5AC652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jc w:val="center"/>
        </w:trPr>
        <w:tc>
          <w:tcPr>
            <w:tcW w:w="1299" w:type="dxa"/>
            <w:tcMar>
              <w:top w:w="16" w:type="dxa"/>
              <w:left w:w="57" w:type="dxa"/>
              <w:right w:w="57" w:type="dxa"/>
            </w:tcMar>
            <w:vAlign w:val="center"/>
          </w:tcPr>
          <w:p w14:paraId="4DD155C1">
            <w:pPr>
              <w:adjustRightInd w:val="0"/>
              <w:snapToGrid w:val="0"/>
              <w:spacing w:line="240" w:lineRule="auto"/>
              <w:jc w:val="center"/>
              <w:rPr>
                <w:color w:val="auto"/>
              </w:rPr>
            </w:pPr>
            <w:r>
              <w:rPr>
                <w:color w:val="auto"/>
              </w:rPr>
              <w:t>地理坐标</w:t>
            </w:r>
          </w:p>
        </w:tc>
        <w:tc>
          <w:tcPr>
            <w:tcW w:w="7937" w:type="dxa"/>
            <w:gridSpan w:val="4"/>
            <w:tcMar>
              <w:left w:w="57" w:type="dxa"/>
              <w:right w:w="57" w:type="dxa"/>
            </w:tcMar>
            <w:vAlign w:val="center"/>
          </w:tcPr>
          <w:p w14:paraId="405CA3AE">
            <w:pPr>
              <w:pStyle w:val="10"/>
              <w:spacing w:before="0" w:after="0" w:line="240" w:lineRule="auto"/>
              <w:ind w:right="0"/>
              <w:jc w:val="center"/>
              <w:rPr>
                <w:color w:val="auto"/>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 xml:space="preserve">北纬 26°25′41″～26°31′7″，东经 </w:t>
            </w:r>
            <w:r>
              <w:rPr>
                <w:rFonts w:hint="default"/>
                <w:color w:val="000000" w:themeColor="text1"/>
                <w:kern w:val="2"/>
                <w:sz w:val="24"/>
                <w:szCs w:val="24"/>
                <w:lang w:eastAsia="zh-CN"/>
                <w14:textFill>
                  <w14:solidFill>
                    <w14:schemeClr w14:val="tx1"/>
                  </w14:solidFill>
                </w14:textFill>
              </w:rPr>
              <w:t>109°38′23″～1</w:t>
            </w:r>
            <w:r>
              <w:rPr>
                <w:rFonts w:hint="default"/>
                <w:color w:val="000000" w:themeColor="text1"/>
                <w:kern w:val="2"/>
                <w:sz w:val="24"/>
                <w:szCs w:val="24"/>
                <w:lang w:val="en-US" w:eastAsia="zh-CN"/>
                <w14:textFill>
                  <w14:solidFill>
                    <w14:schemeClr w14:val="tx1"/>
                  </w14:solidFill>
                </w14:textFill>
              </w:rPr>
              <w:t>09</w:t>
            </w:r>
            <w:r>
              <w:rPr>
                <w:rFonts w:hint="default"/>
                <w:color w:val="000000" w:themeColor="text1"/>
                <w:kern w:val="2"/>
                <w:sz w:val="24"/>
                <w:szCs w:val="24"/>
                <w:lang w:eastAsia="zh-CN"/>
                <w14:textFill>
                  <w14:solidFill>
                    <w14:schemeClr w14:val="tx1"/>
                  </w14:solidFill>
                </w14:textFill>
              </w:rPr>
              <w:t>°</w:t>
            </w:r>
            <w:r>
              <w:rPr>
                <w:rFonts w:hint="default"/>
                <w:color w:val="000000" w:themeColor="text1"/>
                <w:kern w:val="2"/>
                <w:sz w:val="24"/>
                <w:szCs w:val="24"/>
                <w:lang w:val="en-US" w:eastAsia="zh-CN"/>
                <w14:textFill>
                  <w14:solidFill>
                    <w14:schemeClr w14:val="tx1"/>
                  </w14:solidFill>
                </w14:textFill>
              </w:rPr>
              <w:t>47</w:t>
            </w:r>
            <w:r>
              <w:rPr>
                <w:rFonts w:hint="default"/>
                <w:color w:val="000000" w:themeColor="text1"/>
                <w:kern w:val="2"/>
                <w:sz w:val="24"/>
                <w:szCs w:val="24"/>
                <w:lang w:eastAsia="zh-CN"/>
                <w14:textFill>
                  <w14:solidFill>
                    <w14:schemeClr w14:val="tx1"/>
                  </w14:solidFill>
                </w14:textFill>
              </w:rPr>
              <w:t>′</w:t>
            </w:r>
            <w:r>
              <w:rPr>
                <w:rFonts w:hint="default"/>
                <w:color w:val="000000" w:themeColor="text1"/>
                <w:kern w:val="2"/>
                <w:sz w:val="24"/>
                <w:szCs w:val="24"/>
                <w:lang w:val="en-US" w:eastAsia="zh-CN"/>
                <w14:textFill>
                  <w14:solidFill>
                    <w14:schemeClr w14:val="tx1"/>
                  </w14:solidFill>
                </w14:textFill>
              </w:rPr>
              <w:t>4</w:t>
            </w:r>
            <w:r>
              <w:rPr>
                <w:rFonts w:hint="default"/>
                <w:color w:val="000000" w:themeColor="text1"/>
                <w:kern w:val="2"/>
                <w:sz w:val="24"/>
                <w:szCs w:val="24"/>
                <w:lang w:eastAsia="zh-CN"/>
                <w14:textFill>
                  <w14:solidFill>
                    <w14:schemeClr w14:val="tx1"/>
                  </w14:solidFill>
                </w14:textFill>
              </w:rPr>
              <w:t>″</w:t>
            </w:r>
          </w:p>
        </w:tc>
      </w:tr>
      <w:tr w14:paraId="1ECCA4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15" w:hRule="atLeast"/>
          <w:jc w:val="center"/>
        </w:trPr>
        <w:tc>
          <w:tcPr>
            <w:tcW w:w="1299" w:type="dxa"/>
            <w:tcMar>
              <w:top w:w="16" w:type="dxa"/>
              <w:left w:w="57" w:type="dxa"/>
              <w:right w:w="57" w:type="dxa"/>
            </w:tcMar>
            <w:vAlign w:val="center"/>
          </w:tcPr>
          <w:p w14:paraId="5A3A203A">
            <w:pPr>
              <w:adjustRightInd w:val="0"/>
              <w:snapToGrid w:val="0"/>
              <w:spacing w:line="240" w:lineRule="auto"/>
              <w:jc w:val="center"/>
              <w:rPr>
                <w:color w:val="auto"/>
              </w:rPr>
            </w:pPr>
            <w:r>
              <w:rPr>
                <w:color w:val="auto"/>
              </w:rPr>
              <w:t>建设项目</w:t>
            </w:r>
          </w:p>
          <w:p w14:paraId="7505FAA6">
            <w:pPr>
              <w:adjustRightInd w:val="0"/>
              <w:snapToGrid w:val="0"/>
              <w:spacing w:line="240" w:lineRule="auto"/>
              <w:jc w:val="center"/>
              <w:rPr>
                <w:color w:val="auto"/>
              </w:rPr>
            </w:pPr>
            <w:r>
              <w:rPr>
                <w:color w:val="auto"/>
              </w:rPr>
              <w:t>行业类别</w:t>
            </w:r>
          </w:p>
        </w:tc>
        <w:tc>
          <w:tcPr>
            <w:tcW w:w="1504" w:type="dxa"/>
            <w:tcMar>
              <w:left w:w="57" w:type="dxa"/>
              <w:right w:w="57" w:type="dxa"/>
            </w:tcMar>
            <w:vAlign w:val="center"/>
          </w:tcPr>
          <w:p w14:paraId="41705271">
            <w:pPr>
              <w:adjustRightInd w:val="0"/>
              <w:snapToGrid w:val="0"/>
              <w:spacing w:line="240" w:lineRule="auto"/>
              <w:jc w:val="center"/>
              <w:rPr>
                <w:color w:val="auto"/>
              </w:rPr>
            </w:pPr>
            <w:r>
              <w:rPr>
                <w:rFonts w:hint="eastAsia"/>
                <w:color w:val="auto"/>
              </w:rPr>
              <w:t>4415陆上风力发电</w:t>
            </w:r>
          </w:p>
        </w:tc>
        <w:tc>
          <w:tcPr>
            <w:tcW w:w="2810" w:type="dxa"/>
            <w:tcMar>
              <w:left w:w="57" w:type="dxa"/>
              <w:right w:w="57" w:type="dxa"/>
            </w:tcMar>
            <w:vAlign w:val="center"/>
          </w:tcPr>
          <w:p w14:paraId="1D77DD0D">
            <w:pPr>
              <w:adjustRightInd w:val="0"/>
              <w:snapToGrid w:val="0"/>
              <w:spacing w:line="240" w:lineRule="auto"/>
              <w:jc w:val="center"/>
              <w:rPr>
                <w:color w:val="auto"/>
              </w:rPr>
            </w:pPr>
            <w:r>
              <w:rPr>
                <w:color w:val="auto"/>
              </w:rPr>
              <w:t>用地面积（m</w:t>
            </w:r>
            <w:r>
              <w:rPr>
                <w:color w:val="auto"/>
                <w:vertAlign w:val="superscript"/>
              </w:rPr>
              <w:t>2</w:t>
            </w:r>
            <w:r>
              <w:rPr>
                <w:color w:val="auto"/>
              </w:rPr>
              <w:t>）/长度（km）</w:t>
            </w:r>
          </w:p>
        </w:tc>
        <w:tc>
          <w:tcPr>
            <w:tcW w:w="3623" w:type="dxa"/>
            <w:gridSpan w:val="2"/>
            <w:tcMar>
              <w:left w:w="57" w:type="dxa"/>
              <w:right w:w="57" w:type="dxa"/>
            </w:tcMar>
            <w:vAlign w:val="center"/>
          </w:tcPr>
          <w:p w14:paraId="580878F3">
            <w:pPr>
              <w:adjustRightInd w:val="0"/>
              <w:snapToGrid w:val="0"/>
              <w:spacing w:line="240" w:lineRule="auto"/>
              <w:jc w:val="center"/>
              <w:rPr>
                <w:color w:val="auto"/>
                <w:vertAlign w:val="superscript"/>
              </w:rPr>
            </w:pPr>
            <w:r>
              <w:rPr>
                <w:color w:val="auto"/>
                <w:sz w:val="24"/>
                <w:szCs w:val="24"/>
              </w:rPr>
              <w:t>总</w:t>
            </w:r>
            <w:r>
              <w:rPr>
                <w:rFonts w:hint="eastAsia"/>
                <w:color w:val="auto"/>
                <w:sz w:val="24"/>
                <w:szCs w:val="24"/>
                <w:lang w:val="en-US" w:eastAsia="zh-CN"/>
              </w:rPr>
              <w:t>用地面积44.01万</w:t>
            </w:r>
            <w:r>
              <w:rPr>
                <w:color w:val="auto"/>
                <w:sz w:val="24"/>
                <w:szCs w:val="24"/>
              </w:rPr>
              <w:t>m</w:t>
            </w:r>
            <w:r>
              <w:rPr>
                <w:color w:val="auto"/>
                <w:sz w:val="24"/>
                <w:szCs w:val="24"/>
                <w:vertAlign w:val="superscript"/>
              </w:rPr>
              <w:t>2</w:t>
            </w:r>
            <w:r>
              <w:rPr>
                <w:color w:val="auto"/>
                <w:sz w:val="24"/>
                <w:szCs w:val="24"/>
              </w:rPr>
              <w:t>（永久</w:t>
            </w:r>
            <w:r>
              <w:rPr>
                <w:rFonts w:hint="eastAsia"/>
                <w:color w:val="auto"/>
                <w:sz w:val="24"/>
                <w:szCs w:val="24"/>
                <w:lang w:val="en-US" w:eastAsia="zh-CN"/>
              </w:rPr>
              <w:t>用地1.61万</w:t>
            </w:r>
            <w:r>
              <w:rPr>
                <w:color w:val="auto"/>
                <w:sz w:val="24"/>
                <w:szCs w:val="24"/>
              </w:rPr>
              <w:t>m</w:t>
            </w:r>
            <w:r>
              <w:rPr>
                <w:color w:val="auto"/>
                <w:sz w:val="24"/>
                <w:szCs w:val="24"/>
                <w:vertAlign w:val="superscript"/>
              </w:rPr>
              <w:t>2</w:t>
            </w:r>
            <w:r>
              <w:rPr>
                <w:color w:val="auto"/>
                <w:sz w:val="24"/>
                <w:szCs w:val="24"/>
              </w:rPr>
              <w:t>，临时</w:t>
            </w:r>
            <w:r>
              <w:rPr>
                <w:rFonts w:hint="eastAsia"/>
                <w:color w:val="auto"/>
                <w:sz w:val="24"/>
                <w:szCs w:val="24"/>
                <w:lang w:val="en-US" w:eastAsia="zh-CN"/>
              </w:rPr>
              <w:t>用地42.4万</w:t>
            </w:r>
            <w:r>
              <w:rPr>
                <w:color w:val="auto"/>
                <w:sz w:val="24"/>
                <w:szCs w:val="24"/>
              </w:rPr>
              <w:t>m</w:t>
            </w:r>
            <w:r>
              <w:rPr>
                <w:color w:val="auto"/>
                <w:sz w:val="24"/>
                <w:szCs w:val="24"/>
                <w:vertAlign w:val="superscript"/>
              </w:rPr>
              <w:t>2</w:t>
            </w:r>
            <w:r>
              <w:rPr>
                <w:color w:val="auto"/>
                <w:sz w:val="24"/>
                <w:szCs w:val="24"/>
              </w:rPr>
              <w:t>）</w:t>
            </w:r>
          </w:p>
        </w:tc>
      </w:tr>
      <w:tr w14:paraId="433081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4" w:hRule="atLeast"/>
          <w:jc w:val="center"/>
        </w:trPr>
        <w:tc>
          <w:tcPr>
            <w:tcW w:w="1299" w:type="dxa"/>
            <w:tcMar>
              <w:top w:w="16" w:type="dxa"/>
              <w:left w:w="57" w:type="dxa"/>
              <w:right w:w="57" w:type="dxa"/>
            </w:tcMar>
            <w:vAlign w:val="center"/>
          </w:tcPr>
          <w:p w14:paraId="46D48EF8">
            <w:pPr>
              <w:adjustRightInd w:val="0"/>
              <w:snapToGrid w:val="0"/>
              <w:spacing w:line="240" w:lineRule="auto"/>
              <w:jc w:val="center"/>
              <w:rPr>
                <w:color w:val="auto"/>
              </w:rPr>
            </w:pPr>
            <w:r>
              <w:rPr>
                <w:color w:val="auto"/>
              </w:rPr>
              <w:t>建设性质</w:t>
            </w:r>
          </w:p>
        </w:tc>
        <w:tc>
          <w:tcPr>
            <w:tcW w:w="1504" w:type="dxa"/>
            <w:tcMar>
              <w:left w:w="57" w:type="dxa"/>
              <w:right w:w="57" w:type="dxa"/>
            </w:tcMar>
            <w:vAlign w:val="center"/>
          </w:tcPr>
          <w:p w14:paraId="183645BC">
            <w:pPr>
              <w:adjustRightInd w:val="0"/>
              <w:snapToGrid w:val="0"/>
              <w:spacing w:line="240" w:lineRule="auto"/>
              <w:jc w:val="left"/>
              <w:rPr>
                <w:color w:val="auto"/>
              </w:rPr>
            </w:pPr>
            <w:r>
              <w:rPr>
                <w:color w:val="auto"/>
              </w:rPr>
              <w:sym w:font="Wingdings" w:char="00FE"/>
            </w:r>
            <w:r>
              <w:rPr>
                <w:color w:val="auto"/>
              </w:rPr>
              <w:t>新建（迁建）</w:t>
            </w:r>
          </w:p>
          <w:p w14:paraId="2F5B743C">
            <w:pPr>
              <w:adjustRightInd w:val="0"/>
              <w:snapToGrid w:val="0"/>
              <w:spacing w:line="240" w:lineRule="auto"/>
              <w:jc w:val="left"/>
              <w:rPr>
                <w:color w:val="auto"/>
              </w:rPr>
            </w:pPr>
            <w:r>
              <w:rPr>
                <w:color w:val="auto"/>
              </w:rPr>
              <w:sym w:font="Wingdings" w:char="00A8"/>
            </w:r>
            <w:r>
              <w:rPr>
                <w:color w:val="auto"/>
              </w:rPr>
              <w:t>改建</w:t>
            </w:r>
          </w:p>
          <w:p w14:paraId="419EA822">
            <w:pPr>
              <w:adjustRightInd w:val="0"/>
              <w:snapToGrid w:val="0"/>
              <w:spacing w:line="240" w:lineRule="auto"/>
              <w:jc w:val="left"/>
              <w:rPr>
                <w:color w:val="auto"/>
              </w:rPr>
            </w:pPr>
            <w:r>
              <w:rPr>
                <w:color w:val="auto"/>
              </w:rPr>
              <w:sym w:font="Wingdings" w:char="00A8"/>
            </w:r>
            <w:r>
              <w:rPr>
                <w:color w:val="auto"/>
              </w:rPr>
              <w:t>扩建</w:t>
            </w:r>
          </w:p>
          <w:p w14:paraId="1B45708B">
            <w:pPr>
              <w:adjustRightInd w:val="0"/>
              <w:snapToGrid w:val="0"/>
              <w:spacing w:line="240" w:lineRule="auto"/>
              <w:jc w:val="left"/>
              <w:rPr>
                <w:color w:val="auto"/>
              </w:rPr>
            </w:pPr>
            <w:r>
              <w:rPr>
                <w:color w:val="auto"/>
              </w:rPr>
              <w:sym w:font="Wingdings" w:char="00A8"/>
            </w:r>
            <w:r>
              <w:rPr>
                <w:color w:val="auto"/>
              </w:rPr>
              <w:t>技术改造</w:t>
            </w:r>
          </w:p>
        </w:tc>
        <w:tc>
          <w:tcPr>
            <w:tcW w:w="2810" w:type="dxa"/>
            <w:tcMar>
              <w:left w:w="57" w:type="dxa"/>
              <w:right w:w="57" w:type="dxa"/>
            </w:tcMar>
            <w:vAlign w:val="center"/>
          </w:tcPr>
          <w:p w14:paraId="4AEC2574">
            <w:pPr>
              <w:adjustRightInd w:val="0"/>
              <w:snapToGrid w:val="0"/>
              <w:spacing w:line="240" w:lineRule="auto"/>
              <w:jc w:val="center"/>
              <w:rPr>
                <w:color w:val="auto"/>
              </w:rPr>
            </w:pPr>
            <w:r>
              <w:rPr>
                <w:color w:val="auto"/>
              </w:rPr>
              <w:t>建设项目</w:t>
            </w:r>
          </w:p>
          <w:p w14:paraId="53E8C721">
            <w:pPr>
              <w:adjustRightInd w:val="0"/>
              <w:snapToGrid w:val="0"/>
              <w:spacing w:line="240" w:lineRule="auto"/>
              <w:jc w:val="center"/>
              <w:rPr>
                <w:color w:val="auto"/>
              </w:rPr>
            </w:pPr>
            <w:r>
              <w:rPr>
                <w:color w:val="auto"/>
              </w:rPr>
              <w:t>申报情形</w:t>
            </w:r>
          </w:p>
        </w:tc>
        <w:tc>
          <w:tcPr>
            <w:tcW w:w="3623" w:type="dxa"/>
            <w:gridSpan w:val="2"/>
            <w:tcMar>
              <w:left w:w="57" w:type="dxa"/>
              <w:right w:w="57" w:type="dxa"/>
            </w:tcMar>
            <w:vAlign w:val="center"/>
          </w:tcPr>
          <w:p w14:paraId="0CE0E902">
            <w:pPr>
              <w:adjustRightInd w:val="0"/>
              <w:snapToGrid w:val="0"/>
              <w:spacing w:line="240" w:lineRule="auto"/>
              <w:jc w:val="left"/>
              <w:rPr>
                <w:color w:val="auto"/>
              </w:rPr>
            </w:pPr>
            <w:r>
              <w:rPr>
                <w:color w:val="auto"/>
              </w:rPr>
              <w:sym w:font="Wingdings" w:char="F0FE"/>
            </w:r>
            <w:r>
              <w:rPr>
                <w:color w:val="auto"/>
              </w:rPr>
              <w:t>首次申报项目</w:t>
            </w:r>
          </w:p>
          <w:p w14:paraId="2469C126">
            <w:pPr>
              <w:adjustRightInd w:val="0"/>
              <w:snapToGrid w:val="0"/>
              <w:spacing w:line="240" w:lineRule="auto"/>
              <w:jc w:val="left"/>
              <w:rPr>
                <w:color w:val="auto"/>
              </w:rPr>
            </w:pPr>
            <w:r>
              <w:rPr>
                <w:color w:val="auto"/>
              </w:rPr>
              <w:sym w:font="Wingdings" w:char="00A8"/>
            </w:r>
            <w:r>
              <w:rPr>
                <w:color w:val="auto"/>
              </w:rPr>
              <w:t>不予批准后再次申报项目</w:t>
            </w:r>
          </w:p>
          <w:p w14:paraId="1D1BE926">
            <w:pPr>
              <w:adjustRightInd w:val="0"/>
              <w:snapToGrid w:val="0"/>
              <w:spacing w:line="240" w:lineRule="auto"/>
              <w:jc w:val="left"/>
              <w:rPr>
                <w:color w:val="auto"/>
              </w:rPr>
            </w:pPr>
            <w:r>
              <w:rPr>
                <w:color w:val="auto"/>
              </w:rPr>
              <w:sym w:font="Wingdings" w:char="00A8"/>
            </w:r>
            <w:r>
              <w:rPr>
                <w:color w:val="auto"/>
              </w:rPr>
              <w:t>超五年重新审核项目</w:t>
            </w:r>
          </w:p>
          <w:p w14:paraId="53D82F2F">
            <w:pPr>
              <w:adjustRightInd w:val="0"/>
              <w:snapToGrid w:val="0"/>
              <w:spacing w:line="240" w:lineRule="auto"/>
              <w:rPr>
                <w:color w:val="auto"/>
              </w:rPr>
            </w:pPr>
            <w:r>
              <w:rPr>
                <w:color w:val="auto"/>
              </w:rPr>
              <w:sym w:font="Wingdings" w:char="00A8"/>
            </w:r>
            <w:r>
              <w:rPr>
                <w:color w:val="auto"/>
              </w:rPr>
              <w:t>重大变动重新报批项目</w:t>
            </w:r>
          </w:p>
        </w:tc>
      </w:tr>
      <w:tr w14:paraId="64F8F2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62" w:hRule="atLeast"/>
          <w:jc w:val="center"/>
        </w:trPr>
        <w:tc>
          <w:tcPr>
            <w:tcW w:w="1299" w:type="dxa"/>
            <w:tcMar>
              <w:top w:w="16" w:type="dxa"/>
              <w:left w:w="57" w:type="dxa"/>
              <w:right w:w="57" w:type="dxa"/>
            </w:tcMar>
            <w:vAlign w:val="center"/>
          </w:tcPr>
          <w:p w14:paraId="3BBB4981">
            <w:pPr>
              <w:adjustRightInd w:val="0"/>
              <w:snapToGrid w:val="0"/>
              <w:spacing w:line="240" w:lineRule="auto"/>
              <w:jc w:val="center"/>
              <w:rPr>
                <w:color w:val="auto"/>
              </w:rPr>
            </w:pPr>
            <w:r>
              <w:rPr>
                <w:color w:val="auto"/>
              </w:rPr>
              <w:t>项目审批（核准/备案）部门（选填）</w:t>
            </w:r>
          </w:p>
        </w:tc>
        <w:tc>
          <w:tcPr>
            <w:tcW w:w="1504" w:type="dxa"/>
            <w:tcMar>
              <w:left w:w="57" w:type="dxa"/>
              <w:right w:w="57" w:type="dxa"/>
            </w:tcMar>
            <w:vAlign w:val="center"/>
          </w:tcPr>
          <w:p w14:paraId="3341B9AB">
            <w:pPr>
              <w:adjustRightInd w:val="0"/>
              <w:snapToGrid w:val="0"/>
              <w:spacing w:line="240" w:lineRule="auto"/>
              <w:jc w:val="center"/>
              <w:rPr>
                <w:color w:val="auto"/>
              </w:rPr>
            </w:pPr>
            <w:r>
              <w:rPr>
                <w:rFonts w:hint="eastAsia"/>
                <w:color w:val="auto"/>
              </w:rPr>
              <w:t>湖南省发展和改革委员会</w:t>
            </w:r>
          </w:p>
        </w:tc>
        <w:tc>
          <w:tcPr>
            <w:tcW w:w="2810" w:type="dxa"/>
            <w:tcMar>
              <w:left w:w="57" w:type="dxa"/>
              <w:right w:w="57" w:type="dxa"/>
            </w:tcMar>
            <w:vAlign w:val="center"/>
          </w:tcPr>
          <w:p w14:paraId="41597A9F">
            <w:pPr>
              <w:adjustRightInd w:val="0"/>
              <w:snapToGrid w:val="0"/>
              <w:spacing w:line="240" w:lineRule="auto"/>
              <w:jc w:val="center"/>
              <w:rPr>
                <w:color w:val="auto"/>
              </w:rPr>
            </w:pPr>
            <w:r>
              <w:rPr>
                <w:color w:val="auto"/>
              </w:rPr>
              <w:t>项目审批（核准/</w:t>
            </w:r>
          </w:p>
          <w:p w14:paraId="0A8FE03A">
            <w:pPr>
              <w:adjustRightInd w:val="0"/>
              <w:snapToGrid w:val="0"/>
              <w:spacing w:line="240" w:lineRule="auto"/>
              <w:jc w:val="center"/>
              <w:rPr>
                <w:color w:val="auto"/>
              </w:rPr>
            </w:pPr>
            <w:r>
              <w:rPr>
                <w:color w:val="auto"/>
              </w:rPr>
              <w:t>备案）文号（选填）</w:t>
            </w:r>
          </w:p>
        </w:tc>
        <w:tc>
          <w:tcPr>
            <w:tcW w:w="3623" w:type="dxa"/>
            <w:gridSpan w:val="2"/>
            <w:tcMar>
              <w:left w:w="57" w:type="dxa"/>
              <w:right w:w="57" w:type="dxa"/>
            </w:tcMar>
            <w:vAlign w:val="center"/>
          </w:tcPr>
          <w:p w14:paraId="28A533D0">
            <w:pPr>
              <w:adjustRightInd w:val="0"/>
              <w:snapToGrid w:val="0"/>
              <w:spacing w:line="240" w:lineRule="auto"/>
              <w:jc w:val="center"/>
              <w:rPr>
                <w:rFonts w:hint="eastAsia" w:eastAsia="宋体"/>
                <w:color w:val="FF0000"/>
                <w:lang w:eastAsia="zh-CN"/>
              </w:rPr>
            </w:pPr>
            <w:r>
              <w:rPr>
                <w:rFonts w:hint="eastAsia"/>
                <w:color w:val="000000" w:themeColor="text1"/>
                <w:lang w:val="en-US" w:eastAsia="zh-CN"/>
                <w14:textFill>
                  <w14:solidFill>
                    <w14:schemeClr w14:val="tx1"/>
                  </w14:solidFill>
                </w14:textFill>
              </w:rPr>
              <w:t>湘发改函[2022]52号</w:t>
            </w:r>
          </w:p>
        </w:tc>
      </w:tr>
      <w:tr w14:paraId="391AA6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jc w:val="center"/>
        </w:trPr>
        <w:tc>
          <w:tcPr>
            <w:tcW w:w="1299" w:type="dxa"/>
            <w:tcMar>
              <w:top w:w="16" w:type="dxa"/>
              <w:left w:w="57" w:type="dxa"/>
              <w:right w:w="57" w:type="dxa"/>
            </w:tcMar>
            <w:vAlign w:val="center"/>
          </w:tcPr>
          <w:p w14:paraId="56CBD3B2">
            <w:pPr>
              <w:adjustRightInd w:val="0"/>
              <w:snapToGrid w:val="0"/>
              <w:spacing w:line="240" w:lineRule="auto"/>
              <w:jc w:val="center"/>
              <w:rPr>
                <w:color w:val="auto"/>
              </w:rPr>
            </w:pPr>
            <w:r>
              <w:rPr>
                <w:color w:val="auto"/>
              </w:rPr>
              <w:t>总投资（万元）</w:t>
            </w:r>
          </w:p>
        </w:tc>
        <w:tc>
          <w:tcPr>
            <w:tcW w:w="1504" w:type="dxa"/>
            <w:tcMar>
              <w:left w:w="57" w:type="dxa"/>
              <w:right w:w="57" w:type="dxa"/>
            </w:tcMar>
            <w:vAlign w:val="center"/>
          </w:tcPr>
          <w:p w14:paraId="4CBE9EA1">
            <w:pPr>
              <w:adjustRightInd w:val="0"/>
              <w:snapToGrid w:val="0"/>
              <w:spacing w:line="240" w:lineRule="auto"/>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57077.19</w:t>
            </w:r>
          </w:p>
        </w:tc>
        <w:tc>
          <w:tcPr>
            <w:tcW w:w="2810" w:type="dxa"/>
            <w:tcMar>
              <w:top w:w="16" w:type="dxa"/>
              <w:left w:w="57" w:type="dxa"/>
              <w:right w:w="57" w:type="dxa"/>
            </w:tcMar>
            <w:vAlign w:val="center"/>
          </w:tcPr>
          <w:p w14:paraId="7CADB26C">
            <w:pPr>
              <w:adjustRightInd w:val="0"/>
              <w:snapToGrid w:val="0"/>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环保投资（万元）</w:t>
            </w:r>
          </w:p>
        </w:tc>
        <w:tc>
          <w:tcPr>
            <w:tcW w:w="3623" w:type="dxa"/>
            <w:gridSpan w:val="2"/>
            <w:tcMar>
              <w:left w:w="57" w:type="dxa"/>
              <w:right w:w="57" w:type="dxa"/>
            </w:tcMar>
            <w:vAlign w:val="center"/>
          </w:tcPr>
          <w:p w14:paraId="6E55C71B">
            <w:pPr>
              <w:adjustRightInd w:val="0"/>
              <w:snapToGrid w:val="0"/>
              <w:spacing w:line="240" w:lineRule="auto"/>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480</w:t>
            </w:r>
          </w:p>
        </w:tc>
      </w:tr>
      <w:tr w14:paraId="75BDE6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4" w:hRule="atLeast"/>
          <w:jc w:val="center"/>
        </w:trPr>
        <w:tc>
          <w:tcPr>
            <w:tcW w:w="1299" w:type="dxa"/>
            <w:tcMar>
              <w:top w:w="16" w:type="dxa"/>
              <w:left w:w="57" w:type="dxa"/>
              <w:right w:w="57" w:type="dxa"/>
            </w:tcMar>
            <w:vAlign w:val="center"/>
          </w:tcPr>
          <w:p w14:paraId="7D6E827F">
            <w:pPr>
              <w:adjustRightInd w:val="0"/>
              <w:snapToGrid w:val="0"/>
              <w:spacing w:line="240" w:lineRule="auto"/>
              <w:jc w:val="center"/>
              <w:rPr>
                <w:color w:val="auto"/>
              </w:rPr>
            </w:pPr>
            <w:r>
              <w:rPr>
                <w:color w:val="auto"/>
              </w:rPr>
              <w:t>环保投资占比（%）</w:t>
            </w:r>
          </w:p>
        </w:tc>
        <w:tc>
          <w:tcPr>
            <w:tcW w:w="1504" w:type="dxa"/>
            <w:tcMar>
              <w:left w:w="57" w:type="dxa"/>
              <w:right w:w="57" w:type="dxa"/>
            </w:tcMar>
            <w:vAlign w:val="center"/>
          </w:tcPr>
          <w:p w14:paraId="3225AA94">
            <w:pPr>
              <w:adjustRightInd w:val="0"/>
              <w:snapToGrid w:val="0"/>
              <w:spacing w:line="240" w:lineRule="auto"/>
              <w:jc w:val="cente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0.084</w:t>
            </w:r>
            <w:r>
              <w:rPr>
                <w:rFonts w:hint="eastAsia"/>
                <w:color w:val="000000" w:themeColor="text1"/>
                <w14:textFill>
                  <w14:solidFill>
                    <w14:schemeClr w14:val="tx1"/>
                  </w14:solidFill>
                </w14:textFill>
              </w:rPr>
              <w:t>%</w:t>
            </w:r>
          </w:p>
        </w:tc>
        <w:tc>
          <w:tcPr>
            <w:tcW w:w="2810" w:type="dxa"/>
            <w:tcMar>
              <w:top w:w="16" w:type="dxa"/>
              <w:left w:w="57" w:type="dxa"/>
              <w:right w:w="57" w:type="dxa"/>
            </w:tcMar>
            <w:vAlign w:val="center"/>
          </w:tcPr>
          <w:p w14:paraId="5D5A9CD2">
            <w:pPr>
              <w:adjustRightInd w:val="0"/>
              <w:snapToGrid w:val="0"/>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施工工期</w:t>
            </w:r>
          </w:p>
        </w:tc>
        <w:tc>
          <w:tcPr>
            <w:tcW w:w="3623" w:type="dxa"/>
            <w:gridSpan w:val="2"/>
            <w:tcMar>
              <w:left w:w="57" w:type="dxa"/>
              <w:right w:w="57" w:type="dxa"/>
            </w:tcMar>
            <w:vAlign w:val="center"/>
          </w:tcPr>
          <w:p w14:paraId="65F455A5">
            <w:pPr>
              <w:adjustRightInd w:val="0"/>
              <w:snapToGrid w:val="0"/>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12个月</w:t>
            </w:r>
          </w:p>
        </w:tc>
      </w:tr>
      <w:tr w14:paraId="40655B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77" w:hRule="atLeast"/>
          <w:jc w:val="center"/>
        </w:trPr>
        <w:tc>
          <w:tcPr>
            <w:tcW w:w="1299" w:type="dxa"/>
            <w:tcMar>
              <w:top w:w="16" w:type="dxa"/>
              <w:left w:w="57" w:type="dxa"/>
              <w:right w:w="57" w:type="dxa"/>
            </w:tcMar>
            <w:vAlign w:val="center"/>
          </w:tcPr>
          <w:p w14:paraId="77281CE7">
            <w:pPr>
              <w:adjustRightInd w:val="0"/>
              <w:snapToGrid w:val="0"/>
              <w:spacing w:line="240" w:lineRule="auto"/>
              <w:jc w:val="center"/>
              <w:rPr>
                <w:color w:val="auto"/>
              </w:rPr>
            </w:pPr>
            <w:r>
              <w:rPr>
                <w:color w:val="auto"/>
              </w:rPr>
              <w:t>是否开工建设</w:t>
            </w:r>
          </w:p>
        </w:tc>
        <w:tc>
          <w:tcPr>
            <w:tcW w:w="7937" w:type="dxa"/>
            <w:gridSpan w:val="4"/>
            <w:tcMar>
              <w:left w:w="57" w:type="dxa"/>
              <w:right w:w="57" w:type="dxa"/>
            </w:tcMar>
            <w:vAlign w:val="center"/>
          </w:tcPr>
          <w:p w14:paraId="01F8035A">
            <w:pPr>
              <w:adjustRightInd w:val="0"/>
              <w:snapToGrid w:val="0"/>
              <w:spacing w:line="240" w:lineRule="auto"/>
              <w:ind w:firstLine="105"/>
              <w:jc w:val="left"/>
              <w:rPr>
                <w:color w:val="auto"/>
              </w:rPr>
            </w:pPr>
            <w:r>
              <w:rPr>
                <w:color w:val="auto"/>
              </w:rPr>
              <w:sym w:font="Wingdings" w:char="F0FE"/>
            </w:r>
            <w:r>
              <w:rPr>
                <w:color w:val="auto"/>
              </w:rPr>
              <w:t>否</w:t>
            </w:r>
          </w:p>
          <w:p w14:paraId="7C1D5C48">
            <w:pPr>
              <w:adjustRightInd w:val="0"/>
              <w:snapToGrid w:val="0"/>
              <w:spacing w:line="240" w:lineRule="auto"/>
              <w:ind w:firstLine="92"/>
              <w:jc w:val="left"/>
              <w:rPr>
                <w:color w:val="auto"/>
              </w:rPr>
            </w:pPr>
            <w:r>
              <w:rPr>
                <w:color w:val="auto"/>
              </w:rPr>
              <w:sym w:font="Wingdings" w:char="00A8"/>
            </w:r>
            <w:r>
              <w:rPr>
                <w:color w:val="auto"/>
              </w:rPr>
              <w:t>是：</w:t>
            </w:r>
          </w:p>
        </w:tc>
      </w:tr>
      <w:tr w14:paraId="43BF7E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77" w:hRule="atLeast"/>
          <w:jc w:val="center"/>
        </w:trPr>
        <w:tc>
          <w:tcPr>
            <w:tcW w:w="1299" w:type="dxa"/>
            <w:tcMar>
              <w:top w:w="16" w:type="dxa"/>
              <w:left w:w="57" w:type="dxa"/>
              <w:right w:w="57" w:type="dxa"/>
            </w:tcMar>
            <w:vAlign w:val="center"/>
          </w:tcPr>
          <w:p w14:paraId="06DC96A3">
            <w:pPr>
              <w:autoSpaceDE w:val="0"/>
              <w:autoSpaceDN w:val="0"/>
              <w:adjustRightInd w:val="0"/>
              <w:snapToGrid w:val="0"/>
              <w:spacing w:line="240" w:lineRule="auto"/>
              <w:jc w:val="center"/>
              <w:rPr>
                <w:color w:val="auto"/>
                <w:kern w:val="0"/>
              </w:rPr>
            </w:pPr>
            <w:r>
              <w:rPr>
                <w:color w:val="auto"/>
                <w:kern w:val="0"/>
              </w:rPr>
              <w:t>专项评价</w:t>
            </w:r>
          </w:p>
          <w:p w14:paraId="08C4B152">
            <w:pPr>
              <w:autoSpaceDE w:val="0"/>
              <w:autoSpaceDN w:val="0"/>
              <w:adjustRightInd w:val="0"/>
              <w:snapToGrid w:val="0"/>
              <w:spacing w:line="240" w:lineRule="auto"/>
              <w:jc w:val="center"/>
              <w:rPr>
                <w:color w:val="auto"/>
                <w:kern w:val="0"/>
              </w:rPr>
            </w:pPr>
            <w:r>
              <w:rPr>
                <w:color w:val="auto"/>
                <w:kern w:val="0"/>
              </w:rPr>
              <w:t>设置情况</w:t>
            </w:r>
          </w:p>
        </w:tc>
        <w:tc>
          <w:tcPr>
            <w:tcW w:w="7937" w:type="dxa"/>
            <w:gridSpan w:val="4"/>
            <w:tcMar>
              <w:top w:w="16" w:type="dxa"/>
              <w:left w:w="57" w:type="dxa"/>
              <w:right w:w="57" w:type="dxa"/>
            </w:tcMar>
            <w:vAlign w:val="center"/>
          </w:tcPr>
          <w:p w14:paraId="084AE0A8">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bCs/>
                <w:color w:val="000000" w:themeColor="text1"/>
                <w:kern w:val="2"/>
                <w:sz w:val="24"/>
                <w:szCs w:val="24"/>
                <w:highlight w:val="none"/>
                <w:u w:val="none"/>
                <w:lang w:val="en-US" w:eastAsia="zh-CN" w:bidi="ar-SA"/>
                <w14:textFill>
                  <w14:solidFill>
                    <w14:schemeClr w14:val="tx1"/>
                  </w14:solidFill>
                </w14:textFill>
              </w:rPr>
            </w:pPr>
            <w:r>
              <w:rPr>
                <w:color w:val="auto"/>
              </w:rPr>
              <w:t>根据《环境影响评价技术导则 输变电》（HJ24 2020）附录B.2，本次评价应设电磁环境影响专题评价。</w:t>
            </w:r>
            <w:r>
              <w:rPr>
                <w:rFonts w:hint="default" w:ascii="Times New Roman" w:hAnsi="Times New Roman" w:eastAsia="宋体" w:cs="Times New Roman"/>
                <w:color w:val="000000" w:themeColor="text1"/>
                <w:kern w:val="0"/>
                <w:sz w:val="24"/>
                <w:szCs w:val="24"/>
                <w:highlight w:val="none"/>
                <w:u w:val="none"/>
                <w:vertAlign w:val="baseline"/>
                <w:lang w:val="en-US" w:eastAsia="zh-CN"/>
                <w14:textFill>
                  <w14:solidFill>
                    <w14:schemeClr w14:val="tx1"/>
                  </w14:solidFill>
                </w14:textFill>
              </w:rPr>
              <w:t>本</w:t>
            </w:r>
            <w:r>
              <w:rPr>
                <w:rFonts w:hint="eastAsia" w:ascii="Times New Roman" w:hAnsi="Times New Roman" w:eastAsia="宋体" w:cs="Times New Roman"/>
                <w:color w:val="000000" w:themeColor="text1"/>
                <w:kern w:val="0"/>
                <w:sz w:val="24"/>
                <w:szCs w:val="24"/>
                <w:highlight w:val="none"/>
                <w:u w:val="none"/>
                <w:vertAlign w:val="baseline"/>
                <w:lang w:val="en-US" w:eastAsia="zh-CN"/>
                <w14:textFill>
                  <w14:solidFill>
                    <w14:schemeClr w14:val="tx1"/>
                  </w14:solidFill>
                </w14:textFill>
              </w:rPr>
              <w:t>工程</w:t>
            </w:r>
            <w:r>
              <w:rPr>
                <w:rFonts w:hint="default" w:ascii="Times New Roman" w:hAnsi="Times New Roman" w:cs="Times New Roman"/>
                <w:bCs/>
                <w:color w:val="000000" w:themeColor="text1"/>
                <w:kern w:val="2"/>
                <w:sz w:val="24"/>
                <w:szCs w:val="24"/>
                <w:highlight w:val="none"/>
                <w:u w:val="none"/>
                <w:lang w:val="en-US" w:eastAsia="zh-CN" w:bidi="ar-SA"/>
                <w14:textFill>
                  <w14:solidFill>
                    <w14:schemeClr w14:val="tx1"/>
                  </w14:solidFill>
                </w14:textFill>
              </w:rPr>
              <w:t>升压站送出线路的电磁环境影响评价工作不包括在本次评价内。</w:t>
            </w:r>
            <w:r>
              <w:rPr>
                <w:rFonts w:hint="default" w:ascii="Times New Roman" w:hAnsi="Times New Roman" w:eastAsia="宋体" w:cs="Times New Roman"/>
                <w:bCs/>
                <w:color w:val="000000" w:themeColor="text1"/>
                <w:kern w:val="2"/>
                <w:sz w:val="24"/>
                <w:szCs w:val="24"/>
                <w:highlight w:val="none"/>
                <w:u w:val="none"/>
                <w:lang w:val="en-US" w:eastAsia="zh-CN" w:bidi="ar-SA"/>
                <w14:textFill>
                  <w14:solidFill>
                    <w14:schemeClr w14:val="tx1"/>
                  </w14:solidFill>
                </w14:textFill>
              </w:rPr>
              <w:t>根据《电磁辐射环境保护管理办法》、《电磁环境控制限值》（GB8072-2014）和《关于35千伏送、变电系统建设项目环境管理有关问题的复函》，本项目35kV</w:t>
            </w:r>
            <w:r>
              <w:rPr>
                <w:rFonts w:hint="default" w:ascii="Times New Roman" w:hAnsi="Times New Roman" w:cs="Times New Roman"/>
                <w:bCs/>
                <w:color w:val="000000" w:themeColor="text1"/>
                <w:kern w:val="2"/>
                <w:sz w:val="24"/>
                <w:szCs w:val="24"/>
                <w:highlight w:val="none"/>
                <w:u w:val="none"/>
                <w:lang w:val="en-US" w:eastAsia="zh-CN" w:bidi="ar-SA"/>
                <w14:textFill>
                  <w14:solidFill>
                    <w14:schemeClr w14:val="tx1"/>
                  </w14:solidFill>
                </w14:textFill>
              </w:rPr>
              <w:t>直埋电缆</w:t>
            </w:r>
            <w:r>
              <w:rPr>
                <w:rFonts w:hint="default" w:ascii="Times New Roman" w:hAnsi="Times New Roman" w:eastAsia="宋体" w:cs="Times New Roman"/>
                <w:bCs/>
                <w:color w:val="000000" w:themeColor="text1"/>
                <w:kern w:val="2"/>
                <w:sz w:val="24"/>
                <w:szCs w:val="24"/>
                <w:highlight w:val="none"/>
                <w:u w:val="none"/>
                <w:lang w:val="en-US" w:eastAsia="zh-CN" w:bidi="ar-SA"/>
                <w14:textFill>
                  <w14:solidFill>
                    <w14:schemeClr w14:val="tx1"/>
                  </w14:solidFill>
                </w14:textFill>
              </w:rPr>
              <w:t>输电线路属于电磁辐射豁免水平</w:t>
            </w:r>
            <w:r>
              <w:rPr>
                <w:rFonts w:hint="default" w:ascii="Times New Roman" w:hAnsi="Times New Roman" w:cs="Times New Roman"/>
                <w:bCs/>
                <w:color w:val="000000" w:themeColor="text1"/>
                <w:kern w:val="2"/>
                <w:sz w:val="24"/>
                <w:szCs w:val="24"/>
                <w:highlight w:val="none"/>
                <w:u w:val="none"/>
                <w:lang w:val="en-US" w:eastAsia="zh-CN" w:bidi="ar-SA"/>
                <w14:textFill>
                  <w14:solidFill>
                    <w14:schemeClr w14:val="tx1"/>
                  </w14:solidFill>
                </w14:textFill>
              </w:rPr>
              <w:t>；本评价</w:t>
            </w:r>
            <w:r>
              <w:rPr>
                <w:rFonts w:hint="default" w:ascii="Times New Roman" w:hAnsi="Times New Roman" w:eastAsia="宋体" w:cs="Times New Roman"/>
                <w:bCs/>
                <w:color w:val="000000" w:themeColor="text1"/>
                <w:kern w:val="2"/>
                <w:sz w:val="24"/>
                <w:szCs w:val="24"/>
                <w:highlight w:val="none"/>
                <w:u w:val="none"/>
                <w:lang w:val="en-US" w:eastAsia="zh-CN" w:bidi="ar-SA"/>
                <w14:textFill>
                  <w14:solidFill>
                    <w14:schemeClr w14:val="tx1"/>
                  </w14:solidFill>
                </w14:textFill>
              </w:rPr>
              <w:t>仅针对</w:t>
            </w:r>
            <w:r>
              <w:rPr>
                <w:rFonts w:hint="eastAsia" w:ascii="Times New Roman" w:hAnsi="Times New Roman" w:eastAsia="宋体" w:cs="Times New Roman"/>
                <w:bCs/>
                <w:color w:val="000000" w:themeColor="text1"/>
                <w:kern w:val="2"/>
                <w:sz w:val="24"/>
                <w:szCs w:val="24"/>
                <w:highlight w:val="none"/>
                <w:u w:val="none"/>
                <w:lang w:val="en-US" w:eastAsia="zh-CN" w:bidi="ar-SA"/>
                <w14:textFill>
                  <w14:solidFill>
                    <w14:schemeClr w14:val="tx1"/>
                  </w14:solidFill>
                </w14:textFill>
              </w:rPr>
              <w:t>22</w:t>
            </w:r>
            <w:r>
              <w:rPr>
                <w:rFonts w:hint="default" w:ascii="Times New Roman" w:hAnsi="Times New Roman" w:eastAsia="宋体" w:cs="Times New Roman"/>
                <w:bCs/>
                <w:color w:val="000000" w:themeColor="text1"/>
                <w:kern w:val="2"/>
                <w:sz w:val="24"/>
                <w:szCs w:val="24"/>
                <w:highlight w:val="none"/>
                <w:u w:val="none"/>
                <w:lang w:val="en-US" w:eastAsia="zh-CN" w:bidi="ar-SA"/>
                <w14:textFill>
                  <w14:solidFill>
                    <w14:schemeClr w14:val="tx1"/>
                  </w14:solidFill>
                </w14:textFill>
              </w:rPr>
              <w:t>0kV升压站的电磁环境影响进行分析</w:t>
            </w:r>
            <w:r>
              <w:rPr>
                <w:rFonts w:hint="default" w:ascii="Times New Roman" w:hAnsi="Times New Roman" w:cs="Times New Roman"/>
                <w:bCs/>
                <w:color w:val="000000" w:themeColor="text1"/>
                <w:kern w:val="2"/>
                <w:sz w:val="24"/>
                <w:szCs w:val="24"/>
                <w:highlight w:val="none"/>
                <w:u w:val="none"/>
                <w:lang w:val="en-US" w:eastAsia="zh-CN" w:bidi="ar-SA"/>
                <w14:textFill>
                  <w14:solidFill>
                    <w14:schemeClr w14:val="tx1"/>
                  </w14:solidFill>
                </w14:textFill>
              </w:rPr>
              <w:t>，为此，设置电磁环境影响评价专题报告</w:t>
            </w:r>
            <w:r>
              <w:rPr>
                <w:rFonts w:hint="eastAsia" w:ascii="Times New Roman" w:hAnsi="Times New Roman" w:cs="Times New Roman"/>
                <w:bCs/>
                <w:color w:val="000000" w:themeColor="text1"/>
                <w:kern w:val="2"/>
                <w:sz w:val="24"/>
                <w:szCs w:val="24"/>
                <w:highlight w:val="none"/>
                <w:u w:val="none"/>
                <w:lang w:val="en-US" w:eastAsia="zh-CN" w:bidi="ar-SA"/>
                <w14:textFill>
                  <w14:solidFill>
                    <w14:schemeClr w14:val="tx1"/>
                  </w14:solidFill>
                </w14:textFill>
              </w:rPr>
              <w:t>。</w:t>
            </w:r>
          </w:p>
          <w:p w14:paraId="2A09A21E">
            <w:pPr>
              <w:pStyle w:val="10"/>
              <w:spacing w:before="0" w:after="0" w:line="360" w:lineRule="auto"/>
              <w:ind w:right="0" w:firstLine="480" w:firstLineChars="200"/>
              <w:rPr>
                <w:color w:val="auto"/>
              </w:rPr>
            </w:pPr>
            <w:r>
              <w:rPr>
                <w:color w:val="auto"/>
                <w:sz w:val="24"/>
                <w:szCs w:val="24"/>
              </w:rPr>
              <w:t>根据《建设项目环境影响报告表编制技术指南（生态影响类）（试行）》，本项目不涉及《建设项目环境影响评价分类管理名录》中第三条（一）中包括的“国家公园、自然保护区、</w:t>
            </w:r>
            <w:r>
              <w:rPr>
                <w:color w:val="000000" w:themeColor="text1"/>
                <w:sz w:val="24"/>
                <w:szCs w:val="24"/>
                <w14:textFill>
                  <w14:solidFill>
                    <w14:schemeClr w14:val="tx1"/>
                  </w14:solidFill>
                </w14:textFill>
              </w:rPr>
              <w:t>国家公园、自</w:t>
            </w:r>
            <w:r>
              <w:rPr>
                <w:color w:val="auto"/>
                <w:sz w:val="24"/>
                <w:szCs w:val="24"/>
              </w:rPr>
              <w:t>然保护区、风景名胜区、世界文化和自然遗产地、海洋特别保护区等”，因此不需设置生态专题评价。</w:t>
            </w:r>
          </w:p>
        </w:tc>
      </w:tr>
      <w:tr w14:paraId="3D255F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64" w:hRule="atLeast"/>
          <w:jc w:val="center"/>
        </w:trPr>
        <w:tc>
          <w:tcPr>
            <w:tcW w:w="1299" w:type="dxa"/>
            <w:tcMar>
              <w:top w:w="16" w:type="dxa"/>
              <w:left w:w="57" w:type="dxa"/>
              <w:right w:w="57" w:type="dxa"/>
            </w:tcMar>
            <w:vAlign w:val="center"/>
          </w:tcPr>
          <w:p w14:paraId="7B258770">
            <w:pPr>
              <w:autoSpaceDE w:val="0"/>
              <w:autoSpaceDN w:val="0"/>
              <w:adjustRightInd w:val="0"/>
              <w:snapToGrid w:val="0"/>
              <w:spacing w:line="240" w:lineRule="auto"/>
              <w:jc w:val="center"/>
              <w:rPr>
                <w:color w:val="auto"/>
                <w:kern w:val="0"/>
              </w:rPr>
            </w:pPr>
            <w:r>
              <w:rPr>
                <w:color w:val="auto"/>
              </w:rPr>
              <w:t>规划情况</w:t>
            </w:r>
          </w:p>
        </w:tc>
        <w:tc>
          <w:tcPr>
            <w:tcW w:w="7937" w:type="dxa"/>
            <w:gridSpan w:val="4"/>
            <w:tcMar>
              <w:top w:w="16" w:type="dxa"/>
              <w:left w:w="57" w:type="dxa"/>
              <w:right w:w="57" w:type="dxa"/>
            </w:tcMar>
            <w:vAlign w:val="center"/>
          </w:tcPr>
          <w:p w14:paraId="5432059A">
            <w:pPr>
              <w:autoSpaceDE w:val="0"/>
              <w:autoSpaceDN w:val="0"/>
              <w:adjustRightInd w:val="0"/>
              <w:snapToGrid w:val="0"/>
              <w:spacing w:line="360" w:lineRule="auto"/>
              <w:ind w:firstLine="480" w:firstLineChars="200"/>
              <w:jc w:val="left"/>
              <w:rPr>
                <w:color w:val="auto"/>
              </w:rPr>
            </w:pPr>
            <w:r>
              <w:rPr>
                <w:rFonts w:hint="eastAsia"/>
                <w:color w:val="auto"/>
              </w:rPr>
              <w:t>根据湖南省发展和改革委员会《关于同意全省“十四五”第一批风电、集中式光伏发电项目开发建设的复函》（湘发改函[2022]52号），本项目属于同意开展前期工作项目之一。</w:t>
            </w:r>
          </w:p>
        </w:tc>
      </w:tr>
      <w:tr w14:paraId="7EA9EC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jc w:val="center"/>
        </w:trPr>
        <w:tc>
          <w:tcPr>
            <w:tcW w:w="1299" w:type="dxa"/>
            <w:tcMar>
              <w:top w:w="16" w:type="dxa"/>
              <w:left w:w="57" w:type="dxa"/>
              <w:right w:w="57" w:type="dxa"/>
            </w:tcMar>
            <w:vAlign w:val="center"/>
          </w:tcPr>
          <w:p w14:paraId="57F58AC1">
            <w:pPr>
              <w:autoSpaceDE w:val="0"/>
              <w:autoSpaceDN w:val="0"/>
              <w:adjustRightInd w:val="0"/>
              <w:snapToGrid w:val="0"/>
              <w:spacing w:line="240" w:lineRule="auto"/>
              <w:jc w:val="center"/>
              <w:rPr>
                <w:color w:val="auto"/>
                <w:kern w:val="0"/>
              </w:rPr>
            </w:pPr>
            <w:r>
              <w:rPr>
                <w:color w:val="auto"/>
              </w:rPr>
              <w:t>规划环境影响评价情况</w:t>
            </w:r>
          </w:p>
        </w:tc>
        <w:tc>
          <w:tcPr>
            <w:tcW w:w="7937" w:type="dxa"/>
            <w:gridSpan w:val="4"/>
            <w:tcMar>
              <w:top w:w="16" w:type="dxa"/>
              <w:left w:w="57" w:type="dxa"/>
              <w:right w:w="57" w:type="dxa"/>
            </w:tcMar>
            <w:vAlign w:val="center"/>
          </w:tcPr>
          <w:p w14:paraId="263A24CB">
            <w:pPr>
              <w:autoSpaceDE w:val="0"/>
              <w:autoSpaceDN w:val="0"/>
              <w:adjustRightInd w:val="0"/>
              <w:snapToGrid w:val="0"/>
              <w:spacing w:line="240" w:lineRule="auto"/>
              <w:ind w:firstLine="3360" w:firstLineChars="1400"/>
              <w:jc w:val="left"/>
              <w:rPr>
                <w:color w:val="auto"/>
              </w:rPr>
            </w:pPr>
            <w:r>
              <w:rPr>
                <w:color w:val="auto"/>
              </w:rPr>
              <w:t>无</w:t>
            </w:r>
          </w:p>
        </w:tc>
      </w:tr>
      <w:tr w14:paraId="2F8E98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299" w:type="dxa"/>
            <w:tcMar>
              <w:top w:w="16" w:type="dxa"/>
              <w:left w:w="57" w:type="dxa"/>
              <w:right w:w="57" w:type="dxa"/>
            </w:tcMar>
            <w:vAlign w:val="center"/>
          </w:tcPr>
          <w:p w14:paraId="11B69326">
            <w:pPr>
              <w:autoSpaceDE w:val="0"/>
              <w:autoSpaceDN w:val="0"/>
              <w:adjustRightInd w:val="0"/>
              <w:snapToGrid w:val="0"/>
              <w:spacing w:line="240" w:lineRule="auto"/>
              <w:jc w:val="center"/>
              <w:rPr>
                <w:color w:val="auto"/>
                <w:kern w:val="0"/>
              </w:rPr>
            </w:pPr>
            <w:r>
              <w:rPr>
                <w:color w:val="auto"/>
                <w:kern w:val="0"/>
              </w:rPr>
              <w:t>规划及</w:t>
            </w:r>
            <w:r>
              <w:rPr>
                <w:color w:val="auto"/>
              </w:rPr>
              <w:t>规划环境影响评价</w:t>
            </w:r>
            <w:r>
              <w:rPr>
                <w:color w:val="auto"/>
                <w:kern w:val="0"/>
              </w:rPr>
              <w:t>符合性分析</w:t>
            </w:r>
          </w:p>
        </w:tc>
        <w:tc>
          <w:tcPr>
            <w:tcW w:w="7937" w:type="dxa"/>
            <w:gridSpan w:val="4"/>
            <w:tcMar>
              <w:top w:w="16" w:type="dxa"/>
              <w:left w:w="57" w:type="dxa"/>
              <w:right w:w="57" w:type="dxa"/>
            </w:tcMar>
            <w:vAlign w:val="center"/>
          </w:tcPr>
          <w:p w14:paraId="19F4F1B1">
            <w:pPr>
              <w:autoSpaceDE w:val="0"/>
              <w:autoSpaceDN w:val="0"/>
              <w:adjustRightInd w:val="0"/>
              <w:snapToGrid w:val="0"/>
              <w:spacing w:line="360" w:lineRule="auto"/>
              <w:ind w:firstLine="480" w:firstLineChars="200"/>
              <w:jc w:val="left"/>
              <w:rPr>
                <w:color w:val="auto"/>
              </w:rPr>
            </w:pPr>
            <w:r>
              <w:rPr>
                <w:rFonts w:hint="eastAsia"/>
                <w:color w:val="auto"/>
              </w:rPr>
              <w:t>根据湖南省发展和改革委员会《关于同意全省“十四五”第一批风电、集中式光伏发电项目开发建设的复函》（湘发改函[2022]52号），本项目属于</w:t>
            </w:r>
            <w:r>
              <w:rPr>
                <w:rFonts w:hint="eastAsia"/>
                <w:color w:val="auto"/>
                <w:lang w:val="en-US" w:eastAsia="zh-CN"/>
              </w:rPr>
              <w:t>规划</w:t>
            </w:r>
            <w:r>
              <w:rPr>
                <w:rFonts w:hint="eastAsia"/>
                <w:color w:val="auto"/>
              </w:rPr>
              <w:t>项目之一</w:t>
            </w:r>
            <w:r>
              <w:rPr>
                <w:rFonts w:hint="eastAsia"/>
                <w:color w:val="auto"/>
                <w:lang w:eastAsia="zh-CN"/>
              </w:rPr>
              <w:t>，</w:t>
            </w:r>
            <w:r>
              <w:rPr>
                <w:rFonts w:hint="eastAsia"/>
                <w:color w:val="auto"/>
                <w:lang w:val="en-US" w:eastAsia="zh-CN"/>
              </w:rPr>
              <w:t>符合规划要求</w:t>
            </w:r>
            <w:r>
              <w:rPr>
                <w:rFonts w:hint="eastAsia"/>
                <w:color w:val="auto"/>
              </w:rPr>
              <w:t>。</w:t>
            </w:r>
          </w:p>
        </w:tc>
      </w:tr>
      <w:tr w14:paraId="197380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113" w:hRule="atLeast"/>
          <w:jc w:val="center"/>
        </w:trPr>
        <w:tc>
          <w:tcPr>
            <w:tcW w:w="1299" w:type="dxa"/>
            <w:tcMar>
              <w:top w:w="16" w:type="dxa"/>
              <w:left w:w="57" w:type="dxa"/>
              <w:right w:w="57" w:type="dxa"/>
            </w:tcMar>
            <w:vAlign w:val="center"/>
          </w:tcPr>
          <w:p w14:paraId="5C365439">
            <w:pPr>
              <w:autoSpaceDE w:val="0"/>
              <w:autoSpaceDN w:val="0"/>
              <w:adjustRightInd w:val="0"/>
              <w:snapToGrid w:val="0"/>
              <w:jc w:val="center"/>
              <w:rPr>
                <w:color w:val="FF0000"/>
                <w:kern w:val="0"/>
              </w:rPr>
            </w:pPr>
            <w:bookmarkStart w:id="1" w:name="_Hlk56690880"/>
            <w:r>
              <w:rPr>
                <w:color w:val="000000" w:themeColor="text1"/>
                <w:kern w:val="0"/>
                <w14:textFill>
                  <w14:solidFill>
                    <w14:schemeClr w14:val="tx1"/>
                  </w14:solidFill>
                </w14:textFill>
              </w:rPr>
              <w:t>其他符合性分析</w:t>
            </w:r>
            <w:bookmarkEnd w:id="1"/>
          </w:p>
        </w:tc>
        <w:tc>
          <w:tcPr>
            <w:tcW w:w="7937" w:type="dxa"/>
            <w:gridSpan w:val="4"/>
            <w:tcMar>
              <w:top w:w="16" w:type="dxa"/>
              <w:left w:w="57" w:type="dxa"/>
              <w:right w:w="57" w:type="dxa"/>
            </w:tcMar>
            <w:vAlign w:val="center"/>
          </w:tcPr>
          <w:p w14:paraId="3656C728">
            <w:pPr>
              <w:ind w:firstLine="480" w:firstLineChars="200"/>
              <w:rPr>
                <w:color w:val="auto"/>
              </w:rPr>
            </w:pPr>
            <w:bookmarkStart w:id="2" w:name="_Toc30532254"/>
            <w:bookmarkStart w:id="3" w:name="_Toc31059"/>
            <w:bookmarkStart w:id="4" w:name="_Toc24703"/>
            <w:bookmarkStart w:id="5" w:name="_Toc390424150"/>
            <w:bookmarkStart w:id="6" w:name="_Toc288747658"/>
            <w:bookmarkStart w:id="7" w:name="_Toc393308303"/>
            <w:bookmarkStart w:id="8" w:name="_Toc467060326"/>
            <w:bookmarkStart w:id="9" w:name="_Toc217899306"/>
            <w:bookmarkStart w:id="10" w:name="_Toc393308417"/>
            <w:r>
              <w:rPr>
                <w:color w:val="auto"/>
              </w:rPr>
              <w:t>与产业政策和相关规划符合性分析</w:t>
            </w:r>
            <w:bookmarkEnd w:id="2"/>
            <w:bookmarkEnd w:id="3"/>
            <w:bookmarkEnd w:id="4"/>
          </w:p>
          <w:p w14:paraId="1200C247">
            <w:pPr>
              <w:ind w:firstLine="480" w:firstLineChars="200"/>
              <w:rPr>
                <w:color w:val="auto"/>
              </w:rPr>
            </w:pPr>
            <w:bookmarkStart w:id="11" w:name="_Toc20853"/>
            <w:r>
              <w:rPr>
                <w:color w:val="auto"/>
              </w:rPr>
              <w:t>1.1.1 与国家产业政策符合性分析</w:t>
            </w:r>
            <w:bookmarkEnd w:id="5"/>
            <w:bookmarkEnd w:id="6"/>
            <w:bookmarkEnd w:id="7"/>
            <w:bookmarkEnd w:id="8"/>
            <w:bookmarkEnd w:id="9"/>
            <w:bookmarkEnd w:id="10"/>
            <w:bookmarkEnd w:id="11"/>
          </w:p>
          <w:p w14:paraId="55AD52B8">
            <w:pPr>
              <w:ind w:firstLine="480" w:firstLineChars="200"/>
              <w:rPr>
                <w:color w:val="auto"/>
              </w:rPr>
            </w:pPr>
            <w:r>
              <w:rPr>
                <w:color w:val="auto"/>
              </w:rPr>
              <w:t>根据《产业结构调整指导目录（20</w:t>
            </w:r>
            <w:r>
              <w:rPr>
                <w:rFonts w:hint="eastAsia"/>
                <w:color w:val="auto"/>
                <w:lang w:val="en-US" w:eastAsia="zh-CN"/>
              </w:rPr>
              <w:t>24年</w:t>
            </w:r>
            <w:r>
              <w:rPr>
                <w:color w:val="auto"/>
              </w:rPr>
              <w:t>本）》，本项目</w:t>
            </w:r>
            <w:r>
              <w:rPr>
                <w:rFonts w:hint="eastAsia"/>
                <w:color w:val="auto"/>
                <w:lang w:val="en-US" w:eastAsia="zh-CN"/>
              </w:rPr>
              <w:t>属</w:t>
            </w:r>
            <w:r>
              <w:rPr>
                <w:color w:val="auto"/>
              </w:rPr>
              <w:t>于</w:t>
            </w:r>
            <w:r>
              <w:rPr>
                <w:rFonts w:hint="eastAsia"/>
                <w:color w:val="auto"/>
                <w:lang w:val="en-US" w:eastAsia="zh-CN"/>
              </w:rPr>
              <w:t>鼓励</w:t>
            </w:r>
            <w:r>
              <w:rPr>
                <w:color w:val="auto"/>
              </w:rPr>
              <w:t>类建设项目；对照《限制用地项目目录（2012年本）》和《禁止用地项目目录（2012年本）》，本项目不属于限制及禁止类用地项目。因此本项目符合国家产业政策。</w:t>
            </w:r>
          </w:p>
          <w:p w14:paraId="6D113BF8">
            <w:pPr>
              <w:ind w:firstLine="480" w:firstLineChars="200"/>
              <w:rPr>
                <w:color w:val="auto"/>
              </w:rPr>
            </w:pPr>
            <w:bookmarkStart w:id="12" w:name="_Toc8314"/>
            <w:r>
              <w:rPr>
                <w:color w:val="auto"/>
              </w:rPr>
              <w:t>1.1.2 与“十四五”可再生能源发展规划符合性分析</w:t>
            </w:r>
            <w:bookmarkEnd w:id="12"/>
          </w:p>
          <w:p w14:paraId="1BE343A3">
            <w:pPr>
              <w:ind w:firstLine="480" w:firstLineChars="200"/>
              <w:rPr>
                <w:color w:val="auto"/>
              </w:rPr>
            </w:pPr>
            <w:r>
              <w:rPr>
                <w:color w:val="auto"/>
              </w:rPr>
              <w:t>《</w:t>
            </w:r>
            <w:r>
              <w:rPr>
                <w:rFonts w:hint="eastAsia"/>
                <w:color w:val="auto"/>
                <w:lang w:eastAsia="zh-CN"/>
              </w:rPr>
              <w:t>“</w:t>
            </w:r>
            <w:r>
              <w:rPr>
                <w:color w:val="auto"/>
              </w:rPr>
              <w:t>十四五</w:t>
            </w:r>
            <w:r>
              <w:rPr>
                <w:rFonts w:hint="eastAsia"/>
                <w:color w:val="auto"/>
                <w:lang w:eastAsia="zh-CN"/>
              </w:rPr>
              <w:t>”</w:t>
            </w:r>
            <w:r>
              <w:rPr>
                <w:color w:val="auto"/>
              </w:rPr>
              <w:t>可再生能源发展规划》：第三条 优化发展方式，大规模开发可再生能源 坚持生态优先、因地制宜、多元融合发展，……在中东南部地区重点推动风电和光伏发电就地就近开发……；（二）积极推进风电和光伏发电分布式开发……积极推进风电分散式开发。重点推广应用低速风电技术，合理利</w:t>
            </w:r>
            <w:r>
              <w:rPr>
                <w:color w:val="000000" w:themeColor="text1"/>
                <w14:textFill>
                  <w14:solidFill>
                    <w14:schemeClr w14:val="tx1"/>
                  </w14:solidFill>
                </w14:textFill>
              </w:rPr>
              <w:t>用黄</w:t>
            </w:r>
            <w:r>
              <w:rPr>
                <w:color w:val="auto"/>
              </w:rPr>
              <w:t>山丘陵、沿海滩涂等土地资源，在符合区域生态环境保护要求的前提下，因地制宜推进中东南部风电就地就近开发……；第四条 促进存储消纳，高比例利用可再生能源加快建设可再生能源存储调节设施，强化多元智能化电网基础设施支撑，提升新型电力系统高比例可再生能源的适应能力。加强可再生能源发电终端直接利用，扩大可再生能源多元化非电利用规模……促进乡村可再生能源综合利用，多措并举提升可再生能源利用水平。</w:t>
            </w:r>
          </w:p>
          <w:p w14:paraId="5C05E001">
            <w:pPr>
              <w:ind w:firstLine="480" w:firstLineChars="200"/>
              <w:rPr>
                <w:color w:val="auto"/>
              </w:rPr>
            </w:pPr>
            <w:r>
              <w:rPr>
                <w:color w:val="auto"/>
              </w:rPr>
              <w:t>至2025年，可再生能源消费总量达到10亿吨标准煤左右，发电量达到3.3万亿千瓦时左右；全国可再生能源利用量相当于减少二氧化碳排放量约26亿吨，减少二氧化硫排放量约50万吨，减少氮氧化物排放约60万吨，减少烟尘排放约10万吨，年节约用水约40亿立方米。</w:t>
            </w:r>
          </w:p>
          <w:p w14:paraId="4A7FFD8A">
            <w:pPr>
              <w:ind w:firstLine="480" w:firstLineChars="200"/>
              <w:rPr>
                <w:color w:val="auto"/>
              </w:rPr>
            </w:pPr>
            <w:r>
              <w:rPr>
                <w:color w:val="auto"/>
              </w:rPr>
              <w:t>本工程位于湖南省</w:t>
            </w:r>
            <w:r>
              <w:rPr>
                <w:rFonts w:hint="eastAsia"/>
                <w:color w:val="auto"/>
                <w:lang w:eastAsia="zh-CN"/>
              </w:rPr>
              <w:t>怀化市</w:t>
            </w:r>
            <w:r>
              <w:rPr>
                <w:color w:val="auto"/>
              </w:rPr>
              <w:t>，属于规划积极支持地区，因此，本项目符合</w:t>
            </w:r>
            <w:r>
              <w:rPr>
                <w:rFonts w:hint="eastAsia"/>
                <w:color w:val="auto"/>
                <w:lang w:eastAsia="zh-CN"/>
              </w:rPr>
              <w:t>“</w:t>
            </w:r>
            <w:r>
              <w:rPr>
                <w:color w:val="auto"/>
              </w:rPr>
              <w:t>十四五</w:t>
            </w:r>
            <w:r>
              <w:rPr>
                <w:rFonts w:hint="eastAsia"/>
                <w:color w:val="auto"/>
                <w:lang w:eastAsia="zh-CN"/>
              </w:rPr>
              <w:t>”</w:t>
            </w:r>
            <w:r>
              <w:rPr>
                <w:color w:val="auto"/>
              </w:rPr>
              <w:t>可再生能源发展规划》。</w:t>
            </w:r>
          </w:p>
          <w:p w14:paraId="7181E090">
            <w:pPr>
              <w:ind w:firstLine="480" w:firstLineChars="200"/>
              <w:rPr>
                <w:color w:val="auto"/>
              </w:rPr>
            </w:pPr>
            <w:r>
              <w:rPr>
                <w:color w:val="auto"/>
              </w:rPr>
              <w:t xml:space="preserve">1.1.3 </w:t>
            </w:r>
            <w:bookmarkStart w:id="13" w:name="_Toc21621"/>
            <w:r>
              <w:rPr>
                <w:color w:val="auto"/>
              </w:rPr>
              <w:t>与湖南省“十四五”可再生能源发展规划符合性分析</w:t>
            </w:r>
          </w:p>
          <w:p w14:paraId="229C624D">
            <w:pPr>
              <w:ind w:firstLine="480" w:firstLineChars="200"/>
              <w:rPr>
                <w:color w:val="auto"/>
              </w:rPr>
            </w:pPr>
            <w:r>
              <w:rPr>
                <w:rFonts w:hint="eastAsia"/>
                <w:color w:val="auto"/>
                <w:lang w:eastAsia="zh-CN"/>
              </w:rPr>
              <w:t>“</w:t>
            </w:r>
            <w:r>
              <w:rPr>
                <w:color w:val="auto"/>
              </w:rPr>
              <w:t>十四五</w:t>
            </w:r>
            <w:r>
              <w:rPr>
                <w:rFonts w:hint="eastAsia"/>
                <w:color w:val="auto"/>
                <w:lang w:eastAsia="zh-CN"/>
              </w:rPr>
              <w:t>”</w:t>
            </w:r>
            <w:r>
              <w:rPr>
                <w:color w:val="auto"/>
              </w:rPr>
              <w:t>期间，重点实</w:t>
            </w:r>
            <w:r>
              <w:rPr>
                <w:rFonts w:hint="eastAsia"/>
                <w:color w:val="auto"/>
                <w:lang w:eastAsia="zh-CN"/>
              </w:rPr>
              <w:t>“</w:t>
            </w:r>
            <w:r>
              <w:rPr>
                <w:color w:val="auto"/>
              </w:rPr>
              <w:t>111</w:t>
            </w:r>
            <w:r>
              <w:rPr>
                <w:rFonts w:hint="eastAsia"/>
                <w:color w:val="auto"/>
                <w:lang w:eastAsia="zh-CN"/>
              </w:rPr>
              <w:t>”</w:t>
            </w:r>
            <w:r>
              <w:rPr>
                <w:color w:val="auto"/>
              </w:rPr>
              <w:t>工程：新增非水可再生能源装机1500万千瓦、完成投资1300亿元，建成国家大型风电光伏基地项目1个，通过“扩量、融合、提质、增效”四大举措，创新可再生能源发展方式，进一步扩大应用规模，提升可再生能源消费占比，推动我省能源结构优化升级。……积极推进风电发展，坚持项目布局与消纳送出相适应、项目建设与生态环保相协调，优先开发风能资源好、建设条件优，所在地消纳和送出能力强的储备项目，尤其是扩建和续建项目。按照</w:t>
            </w:r>
            <w:r>
              <w:rPr>
                <w:rFonts w:hint="eastAsia"/>
                <w:color w:val="auto"/>
                <w:lang w:eastAsia="zh-CN"/>
              </w:rPr>
              <w:t>“</w:t>
            </w:r>
            <w:r>
              <w:rPr>
                <w:color w:val="auto"/>
              </w:rPr>
              <w:t>储备一批、成熟一批、推进一批</w:t>
            </w:r>
            <w:r>
              <w:rPr>
                <w:rFonts w:hint="eastAsia"/>
                <w:color w:val="auto"/>
                <w:lang w:eastAsia="zh-CN"/>
              </w:rPr>
              <w:t>”</w:t>
            </w:r>
            <w:r>
              <w:rPr>
                <w:color w:val="auto"/>
              </w:rPr>
              <w:t>的思路，推动省内风电规模化和可持续发展，以不断扩大的建设规模和市场化资源配置带动省内风电产业继续发展壮大。开展老旧风电场风力发电设备</w:t>
            </w:r>
            <w:r>
              <w:rPr>
                <w:rFonts w:hint="eastAsia"/>
                <w:color w:val="auto"/>
                <w:lang w:eastAsia="zh-CN"/>
              </w:rPr>
              <w:t>“</w:t>
            </w:r>
            <w:r>
              <w:rPr>
                <w:color w:val="auto"/>
              </w:rPr>
              <w:t>以大代小</w:t>
            </w:r>
            <w:r>
              <w:rPr>
                <w:rFonts w:hint="eastAsia"/>
                <w:color w:val="auto"/>
                <w:lang w:eastAsia="zh-CN"/>
              </w:rPr>
              <w:t>”</w:t>
            </w:r>
            <w:r>
              <w:rPr>
                <w:color w:val="auto"/>
              </w:rPr>
              <w:t>退役改造，因地制宜推进易覆冰风电场抗冰改造，提升装机容量、风能利用效率和风电场经济性。到2025年，全省风电总装机规模达到1200万千瓦以上。……推进产业向高端化、智能化方向发展。加大可再生能源关键技术攻关力度，补齐技术装备短板，持续提升我省可再生能源装备产业竞争力。</w:t>
            </w:r>
            <w:r>
              <w:rPr>
                <w:rFonts w:hint="eastAsia"/>
                <w:color w:val="auto"/>
                <w:lang w:eastAsia="zh-CN"/>
              </w:rPr>
              <w:t>“</w:t>
            </w:r>
            <w:r>
              <w:rPr>
                <w:color w:val="auto"/>
              </w:rPr>
              <w:t>强长板</w:t>
            </w:r>
            <w:r>
              <w:rPr>
                <w:rFonts w:hint="eastAsia"/>
                <w:color w:val="auto"/>
                <w:lang w:eastAsia="zh-CN"/>
              </w:rPr>
              <w:t>”</w:t>
            </w:r>
            <w:r>
              <w:rPr>
                <w:color w:val="auto"/>
              </w:rPr>
              <w:t>，保持风电产业中部高地，形成以中车株洲、三一重能和哈电风能等为代表的风电整机和零部件产业集群，促进省内风电装备企业在全国市场的份额占比稳中有升。</w:t>
            </w:r>
          </w:p>
          <w:p w14:paraId="23D4980C">
            <w:pPr>
              <w:ind w:firstLine="480" w:firstLineChars="200"/>
              <w:rPr>
                <w:color w:val="auto"/>
              </w:rPr>
            </w:pPr>
            <w:r>
              <w:rPr>
                <w:color w:val="auto"/>
              </w:rPr>
              <w:t>本工程属于风力发电项目，符合《湖南省</w:t>
            </w:r>
            <w:r>
              <w:rPr>
                <w:rFonts w:hint="eastAsia"/>
                <w:color w:val="auto"/>
                <w:lang w:eastAsia="zh-CN"/>
              </w:rPr>
              <w:t>“</w:t>
            </w:r>
            <w:r>
              <w:rPr>
                <w:color w:val="auto"/>
              </w:rPr>
              <w:t>十四五</w:t>
            </w:r>
            <w:r>
              <w:rPr>
                <w:rFonts w:hint="eastAsia"/>
                <w:color w:val="auto"/>
                <w:lang w:eastAsia="zh-CN"/>
              </w:rPr>
              <w:t>”</w:t>
            </w:r>
            <w:r>
              <w:rPr>
                <w:color w:val="auto"/>
              </w:rPr>
              <w:t>可再生能源发展规</w:t>
            </w:r>
            <w:r>
              <w:rPr>
                <w:rFonts w:hint="eastAsia"/>
                <w:color w:val="auto"/>
                <w:lang w:val="en-US" w:eastAsia="zh-CN"/>
              </w:rPr>
              <w:t>划</w:t>
            </w:r>
            <w:r>
              <w:rPr>
                <w:color w:val="auto"/>
              </w:rPr>
              <w:t>》。</w:t>
            </w:r>
          </w:p>
          <w:p w14:paraId="243DC37E">
            <w:pPr>
              <w:ind w:firstLine="480" w:firstLineChars="200"/>
              <w:rPr>
                <w:rFonts w:hint="eastAsia" w:eastAsia="宋体"/>
                <w:color w:val="auto"/>
                <w:lang w:eastAsia="zh-CN"/>
              </w:rPr>
            </w:pPr>
            <w:r>
              <w:rPr>
                <w:rFonts w:hint="eastAsia"/>
                <w:color w:val="auto"/>
              </w:rPr>
              <w:t>2022年6月21日，湖南省发展和改革委员会下发《关于同意全省“十四五”第一批风电、集中式光伏发电项目开发建设的复函》</w:t>
            </w:r>
            <w:r>
              <w:rPr>
                <w:rFonts w:hint="eastAsia"/>
                <w:color w:val="auto"/>
                <w:lang w:eastAsia="zh-CN"/>
              </w:rPr>
              <w:t>（</w:t>
            </w:r>
            <w:r>
              <w:rPr>
                <w:rFonts w:hint="eastAsia"/>
                <w:color w:val="auto"/>
              </w:rPr>
              <w:t>湘发改函〔2022〕52号</w:t>
            </w:r>
            <w:r>
              <w:rPr>
                <w:rFonts w:hint="eastAsia"/>
                <w:color w:val="auto"/>
                <w:lang w:eastAsia="zh-CN"/>
              </w:rPr>
              <w:t>）</w:t>
            </w:r>
            <w:r>
              <w:rPr>
                <w:rFonts w:hint="eastAsia"/>
                <w:color w:val="auto"/>
              </w:rPr>
              <w:t>，该项目位列《全省“十四五”第一批风电、集中式光伏发电项目》</w:t>
            </w:r>
            <w:r>
              <w:rPr>
                <w:rFonts w:hint="eastAsia"/>
                <w:color w:val="auto"/>
                <w:lang w:eastAsia="zh-CN"/>
              </w:rPr>
              <w:t>。</w:t>
            </w:r>
          </w:p>
          <w:bookmarkEnd w:id="13"/>
          <w:p w14:paraId="40519076">
            <w:pPr>
              <w:ind w:firstLine="480" w:firstLineChars="200"/>
              <w:rPr>
                <w:color w:val="auto"/>
              </w:rPr>
            </w:pPr>
            <w:r>
              <w:rPr>
                <w:color w:val="auto"/>
              </w:rPr>
              <w:t xml:space="preserve">1.1.4 </w:t>
            </w:r>
            <w:bookmarkStart w:id="14" w:name="_Toc23699"/>
            <w:r>
              <w:rPr>
                <w:color w:val="auto"/>
              </w:rPr>
              <w:t>项目与《关于进一步规范风电发展的通知》的符合性分析</w:t>
            </w:r>
            <w:bookmarkEnd w:id="14"/>
          </w:p>
          <w:p w14:paraId="5F714761">
            <w:pPr>
              <w:ind w:firstLine="480" w:firstLineChars="200"/>
              <w:rPr>
                <w:color w:val="auto"/>
              </w:rPr>
            </w:pPr>
            <w:r>
              <w:rPr>
                <w:color w:val="auto"/>
              </w:rPr>
              <w:t>2016年10月19日，湖南省发展和改革委员会、湖南省环境保护厅联合下发了《关于进一步规范风电发展的通知》</w:t>
            </w:r>
            <w:r>
              <w:rPr>
                <w:rFonts w:hint="eastAsia"/>
                <w:color w:val="auto"/>
                <w:lang w:eastAsia="zh-CN"/>
              </w:rPr>
              <w:t>（</w:t>
            </w:r>
            <w:r>
              <w:rPr>
                <w:color w:val="auto"/>
              </w:rPr>
              <w:t>湘发改能源〔2016〕822号</w:t>
            </w:r>
            <w:r>
              <w:rPr>
                <w:rFonts w:hint="eastAsia"/>
                <w:color w:val="auto"/>
                <w:lang w:eastAsia="zh-CN"/>
              </w:rPr>
              <w:t>）</w:t>
            </w:r>
            <w:r>
              <w:rPr>
                <w:color w:val="auto"/>
              </w:rPr>
              <w:t>，通知中要求：</w:t>
            </w:r>
          </w:p>
          <w:p w14:paraId="708F3ECC">
            <w:pPr>
              <w:ind w:firstLine="480" w:firstLineChars="200"/>
              <w:rPr>
                <w:rFonts w:hint="eastAsia" w:eastAsia="宋体"/>
                <w:color w:val="auto"/>
                <w:lang w:eastAsia="zh-CN"/>
              </w:rPr>
            </w:pPr>
            <w:r>
              <w:rPr>
                <w:color w:val="auto"/>
              </w:rPr>
              <w:t>（1）</w:t>
            </w:r>
            <w:r>
              <w:rPr>
                <w:rFonts w:hint="eastAsia"/>
                <w:color w:val="auto"/>
                <w:lang w:eastAsia="zh-CN"/>
              </w:rPr>
              <w:t>“</w:t>
            </w:r>
            <w:r>
              <w:rPr>
                <w:color w:val="auto"/>
              </w:rPr>
              <w:t>严格按照《中华人民共和国自然保护区条例》（国务院令第167号）、《风景名胜区条例》（国务院令第474号）、《建设项目使用林地审核审批管理办法》（国家林业局令第35号）等法律法规要求，结合我省地貌特征、人居环境等约束条件，禁止在世界文化与自然遗产地，省级以上（含省级）自然保护区、风景名胜区、森林公园，经省人民政府批准的生态保护红线一级管控区、Ⅰ级保护林地、一级国家公益林地规划建设新的风电项目。</w:t>
            </w:r>
            <w:r>
              <w:rPr>
                <w:rFonts w:hint="eastAsia"/>
                <w:color w:val="auto"/>
                <w:lang w:eastAsia="zh-CN"/>
              </w:rPr>
              <w:t>”</w:t>
            </w:r>
          </w:p>
          <w:p w14:paraId="3D6B0CE4">
            <w:pPr>
              <w:ind w:firstLine="480" w:firstLineChars="200"/>
              <w:rPr>
                <w:rFonts w:hint="eastAsia" w:eastAsia="宋体"/>
                <w:color w:val="auto"/>
                <w:lang w:eastAsia="zh-CN"/>
              </w:rPr>
            </w:pPr>
            <w:r>
              <w:rPr>
                <w:color w:val="auto"/>
              </w:rPr>
              <w:t>（2）</w:t>
            </w:r>
            <w:r>
              <w:rPr>
                <w:rFonts w:hint="eastAsia"/>
                <w:color w:val="auto"/>
                <w:lang w:eastAsia="zh-CN"/>
              </w:rPr>
              <w:t>“</w:t>
            </w:r>
            <w:r>
              <w:rPr>
                <w:color w:val="auto"/>
              </w:rPr>
              <w:t>严格控制在湿地公园、地质公园、旅游景区、鸟类主要迁徙通道、天然林和单位面积蓄积量高的林地以及基岩风化严重或生态脆弱、毁损后难以恢复的区域建设风电项目。特殊情况下确需在上述区域规划建设的项目，应符合所在区域总体规划，并按规定取得相关行政主管部门的认可意见。涉及鸟类主要迁徙通道的风电项目，要通过严格的鸟类评估和论证。</w:t>
            </w:r>
            <w:r>
              <w:rPr>
                <w:rFonts w:hint="eastAsia"/>
                <w:color w:val="auto"/>
                <w:lang w:eastAsia="zh-CN"/>
              </w:rPr>
              <w:t>”</w:t>
            </w:r>
          </w:p>
          <w:p w14:paraId="4245B9CB">
            <w:pPr>
              <w:ind w:firstLine="480" w:firstLineChars="200"/>
              <w:rPr>
                <w:color w:val="FF0000"/>
              </w:rPr>
            </w:pPr>
            <w:r>
              <w:rPr>
                <w:color w:val="auto"/>
              </w:rPr>
              <w:t>本项目与该文件符合性分析见下表。</w:t>
            </w:r>
          </w:p>
          <w:p w14:paraId="2C23546A">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.1</w:t>
            </w:r>
            <w:r>
              <w:rPr>
                <w:color w:val="000000" w:themeColor="text1"/>
                <w14:textFill>
                  <w14:solidFill>
                    <w14:schemeClr w14:val="tx1"/>
                  </w14:solidFill>
                </w14:textFill>
              </w:rPr>
              <w:t>-1  本项目与《关于进一步规范风电发展的通知》符合性分析</w:t>
            </w:r>
          </w:p>
          <w:tbl>
            <w:tblPr>
              <w:tblStyle w:val="26"/>
              <w:tblW w:w="7807" w:type="dxa"/>
              <w:tblInd w:w="-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3"/>
              <w:gridCol w:w="1988"/>
              <w:gridCol w:w="453"/>
              <w:gridCol w:w="2900"/>
              <w:gridCol w:w="1643"/>
            </w:tblGrid>
            <w:tr w14:paraId="61B35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3" w:type="dxa"/>
                  <w:tcBorders>
                    <w:tl2br w:val="nil"/>
                    <w:tr2bl w:val="nil"/>
                  </w:tcBorders>
                  <w:vAlign w:val="center"/>
                </w:tcPr>
                <w:p w14:paraId="63905DDF">
                  <w:pPr>
                    <w:spacing w:before="24" w:after="24" w:line="240" w:lineRule="auto"/>
                    <w:jc w:val="center"/>
                    <w:rPr>
                      <w:rFonts w:ascii="Times New Roman" w:hAnsi="Times New Roman" w:eastAsia="宋体" w:cs="Times New Roman"/>
                      <w:b w:val="0"/>
                      <w:bCs w:val="0"/>
                      <w:color w:val="auto"/>
                      <w:spacing w:val="-2"/>
                      <w:sz w:val="21"/>
                      <w:u w:val="none"/>
                    </w:rPr>
                  </w:pPr>
                  <w:bookmarkStart w:id="15" w:name="_Hlk28847215"/>
                  <w:r>
                    <w:rPr>
                      <w:rFonts w:ascii="Times New Roman" w:hAnsi="Times New Roman" w:eastAsia="宋体" w:cs="Times New Roman"/>
                      <w:b w:val="0"/>
                      <w:bCs w:val="0"/>
                      <w:color w:val="auto"/>
                      <w:spacing w:val="-2"/>
                      <w:sz w:val="21"/>
                      <w:u w:val="none"/>
                    </w:rPr>
                    <w:t>管理</w:t>
                  </w:r>
                </w:p>
                <w:p w14:paraId="6B19F5D4">
                  <w:pPr>
                    <w:spacing w:before="24" w:after="24" w:line="240" w:lineRule="auto"/>
                    <w:jc w:val="center"/>
                    <w:rPr>
                      <w:rFonts w:ascii="Times New Roman" w:hAnsi="Times New Roman" w:eastAsia="宋体" w:cs="Times New Roman"/>
                      <w:b w:val="0"/>
                      <w:bCs w:val="0"/>
                      <w:color w:val="auto"/>
                      <w:spacing w:val="-2"/>
                      <w:sz w:val="21"/>
                      <w:u w:val="none"/>
                    </w:rPr>
                  </w:pPr>
                  <w:r>
                    <w:rPr>
                      <w:rFonts w:ascii="Times New Roman" w:hAnsi="Times New Roman" w:eastAsia="宋体" w:cs="Times New Roman"/>
                      <w:b w:val="0"/>
                      <w:bCs w:val="0"/>
                      <w:color w:val="auto"/>
                      <w:spacing w:val="-2"/>
                      <w:sz w:val="21"/>
                      <w:u w:val="none"/>
                    </w:rPr>
                    <w:t>要求</w:t>
                  </w:r>
                </w:p>
              </w:tc>
              <w:tc>
                <w:tcPr>
                  <w:tcW w:w="1988" w:type="dxa"/>
                  <w:tcBorders>
                    <w:tl2br w:val="nil"/>
                    <w:tr2bl w:val="nil"/>
                  </w:tcBorders>
                  <w:vAlign w:val="center"/>
                </w:tcPr>
                <w:p w14:paraId="4B631D63">
                  <w:pPr>
                    <w:spacing w:before="24" w:after="24" w:line="240" w:lineRule="auto"/>
                    <w:jc w:val="center"/>
                    <w:rPr>
                      <w:rFonts w:ascii="Times New Roman" w:hAnsi="Times New Roman" w:eastAsia="宋体" w:cs="Times New Roman"/>
                      <w:b w:val="0"/>
                      <w:bCs w:val="0"/>
                      <w:color w:val="auto"/>
                      <w:spacing w:val="-2"/>
                      <w:sz w:val="21"/>
                      <w:u w:val="none"/>
                    </w:rPr>
                  </w:pPr>
                  <w:r>
                    <w:rPr>
                      <w:rFonts w:ascii="Times New Roman" w:hAnsi="Times New Roman" w:eastAsia="宋体" w:cs="Times New Roman"/>
                      <w:b w:val="0"/>
                      <w:bCs w:val="0"/>
                      <w:color w:val="auto"/>
                      <w:spacing w:val="-2"/>
                      <w:sz w:val="21"/>
                      <w:u w:val="none"/>
                    </w:rPr>
                    <w:t>类别</w:t>
                  </w:r>
                </w:p>
              </w:tc>
              <w:tc>
                <w:tcPr>
                  <w:tcW w:w="453" w:type="dxa"/>
                  <w:tcBorders>
                    <w:tl2br w:val="nil"/>
                    <w:tr2bl w:val="nil"/>
                  </w:tcBorders>
                  <w:vAlign w:val="center"/>
                </w:tcPr>
                <w:p w14:paraId="7838D28B">
                  <w:pPr>
                    <w:spacing w:before="24" w:after="24" w:line="240" w:lineRule="auto"/>
                    <w:jc w:val="center"/>
                    <w:rPr>
                      <w:rFonts w:ascii="Times New Roman" w:hAnsi="Times New Roman" w:eastAsia="宋体" w:cs="Times New Roman"/>
                      <w:b w:val="0"/>
                      <w:bCs w:val="0"/>
                      <w:color w:val="auto"/>
                      <w:spacing w:val="-2"/>
                      <w:sz w:val="21"/>
                      <w:u w:val="none"/>
                    </w:rPr>
                  </w:pPr>
                  <w:r>
                    <w:rPr>
                      <w:rFonts w:ascii="Times New Roman" w:hAnsi="Times New Roman" w:eastAsia="宋体" w:cs="Times New Roman"/>
                      <w:b w:val="0"/>
                      <w:bCs w:val="0"/>
                      <w:color w:val="auto"/>
                      <w:spacing w:val="-2"/>
                      <w:sz w:val="21"/>
                      <w:u w:val="none"/>
                    </w:rPr>
                    <w:t>名称</w:t>
                  </w:r>
                </w:p>
              </w:tc>
              <w:tc>
                <w:tcPr>
                  <w:tcW w:w="2900" w:type="dxa"/>
                  <w:tcBorders>
                    <w:tl2br w:val="nil"/>
                    <w:tr2bl w:val="nil"/>
                  </w:tcBorders>
                  <w:vAlign w:val="center"/>
                </w:tcPr>
                <w:p w14:paraId="6C0AD64C">
                  <w:pPr>
                    <w:spacing w:before="24" w:after="24" w:line="240" w:lineRule="auto"/>
                    <w:jc w:val="center"/>
                    <w:rPr>
                      <w:rFonts w:ascii="Times New Roman" w:hAnsi="Times New Roman" w:eastAsia="宋体" w:cs="Times New Roman"/>
                      <w:b w:val="0"/>
                      <w:bCs w:val="0"/>
                      <w:color w:val="auto"/>
                      <w:spacing w:val="-2"/>
                      <w:sz w:val="21"/>
                      <w:u w:val="none"/>
                    </w:rPr>
                  </w:pPr>
                  <w:r>
                    <w:rPr>
                      <w:rFonts w:ascii="Times New Roman" w:hAnsi="Times New Roman" w:eastAsia="宋体" w:cs="Times New Roman"/>
                      <w:b w:val="0"/>
                      <w:bCs w:val="0"/>
                      <w:color w:val="auto"/>
                      <w:spacing w:val="-2"/>
                      <w:sz w:val="21"/>
                      <w:u w:val="none"/>
                    </w:rPr>
                    <w:t>相对位置关系及说明</w:t>
                  </w:r>
                </w:p>
              </w:tc>
              <w:tc>
                <w:tcPr>
                  <w:tcW w:w="1643" w:type="dxa"/>
                  <w:tcBorders>
                    <w:tl2br w:val="nil"/>
                    <w:tr2bl w:val="nil"/>
                  </w:tcBorders>
                  <w:vAlign w:val="center"/>
                </w:tcPr>
                <w:p w14:paraId="70318FE6">
                  <w:pPr>
                    <w:spacing w:before="24" w:after="24" w:line="240" w:lineRule="auto"/>
                    <w:jc w:val="center"/>
                    <w:rPr>
                      <w:rFonts w:ascii="Times New Roman" w:hAnsi="Times New Roman" w:eastAsia="宋体" w:cs="Times New Roman"/>
                      <w:b w:val="0"/>
                      <w:bCs w:val="0"/>
                      <w:color w:val="auto"/>
                      <w:spacing w:val="-2"/>
                      <w:sz w:val="21"/>
                      <w:u w:val="none"/>
                    </w:rPr>
                  </w:pPr>
                  <w:r>
                    <w:rPr>
                      <w:rFonts w:ascii="Times New Roman" w:hAnsi="Times New Roman" w:eastAsia="宋体" w:cs="Times New Roman"/>
                      <w:b w:val="0"/>
                      <w:bCs w:val="0"/>
                      <w:color w:val="auto"/>
                      <w:spacing w:val="-2"/>
                      <w:sz w:val="21"/>
                      <w:u w:val="none"/>
                    </w:rPr>
                    <w:t>确认依据</w:t>
                  </w:r>
                </w:p>
              </w:tc>
            </w:tr>
            <w:tr w14:paraId="4EB83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3" w:type="dxa"/>
                  <w:vMerge w:val="restart"/>
                  <w:tcBorders>
                    <w:tl2br w:val="nil"/>
                    <w:tr2bl w:val="nil"/>
                  </w:tcBorders>
                  <w:vAlign w:val="center"/>
                </w:tcPr>
                <w:p w14:paraId="3DB4FF30">
                  <w:pPr>
                    <w:spacing w:before="24" w:after="24" w:line="240" w:lineRule="auto"/>
                    <w:jc w:val="center"/>
                    <w:rPr>
                      <w:rFonts w:ascii="Times New Roman" w:hAnsi="Times New Roman" w:eastAsia="宋体" w:cs="Times New Roman"/>
                      <w:color w:val="auto"/>
                      <w:spacing w:val="-2"/>
                      <w:sz w:val="21"/>
                      <w:u w:val="none"/>
                    </w:rPr>
                  </w:pPr>
                  <w:r>
                    <w:rPr>
                      <w:rFonts w:ascii="Times New Roman" w:hAnsi="Times New Roman" w:eastAsia="宋体" w:cs="Times New Roman"/>
                      <w:color w:val="auto"/>
                      <w:spacing w:val="-2"/>
                      <w:sz w:val="21"/>
                      <w:u w:val="none"/>
                    </w:rPr>
                    <w:t>禁止建设区域</w:t>
                  </w:r>
                </w:p>
              </w:tc>
              <w:tc>
                <w:tcPr>
                  <w:tcW w:w="1988" w:type="dxa"/>
                  <w:tcBorders>
                    <w:tl2br w:val="nil"/>
                    <w:tr2bl w:val="nil"/>
                  </w:tcBorders>
                  <w:vAlign w:val="center"/>
                </w:tcPr>
                <w:p w14:paraId="5DDED9C7">
                  <w:pPr>
                    <w:spacing w:before="24" w:after="24" w:line="240" w:lineRule="auto"/>
                    <w:jc w:val="center"/>
                    <w:rPr>
                      <w:rFonts w:ascii="Times New Roman" w:hAnsi="Times New Roman" w:eastAsia="宋体" w:cs="Times New Roman"/>
                      <w:color w:val="auto"/>
                      <w:spacing w:val="-2"/>
                      <w:sz w:val="21"/>
                      <w:u w:val="none"/>
                    </w:rPr>
                  </w:pPr>
                  <w:r>
                    <w:rPr>
                      <w:rFonts w:ascii="Times New Roman" w:hAnsi="Times New Roman" w:eastAsia="宋体" w:cs="Times New Roman"/>
                      <w:color w:val="auto"/>
                      <w:spacing w:val="-2"/>
                      <w:sz w:val="21"/>
                      <w:u w:val="none"/>
                    </w:rPr>
                    <w:t>世界文化与自然遗产地</w:t>
                  </w:r>
                </w:p>
              </w:tc>
              <w:tc>
                <w:tcPr>
                  <w:tcW w:w="453" w:type="dxa"/>
                  <w:tcBorders>
                    <w:tl2br w:val="nil"/>
                    <w:tr2bl w:val="nil"/>
                  </w:tcBorders>
                  <w:vAlign w:val="center"/>
                </w:tcPr>
                <w:p w14:paraId="0AB09C67">
                  <w:pPr>
                    <w:spacing w:before="24" w:after="24" w:line="240" w:lineRule="auto"/>
                    <w:jc w:val="center"/>
                    <w:rPr>
                      <w:rFonts w:ascii="Times New Roman" w:hAnsi="Times New Roman" w:eastAsia="宋体" w:cs="Times New Roman"/>
                      <w:color w:val="auto"/>
                      <w:spacing w:val="-2"/>
                      <w:sz w:val="21"/>
                      <w:u w:val="none"/>
                    </w:rPr>
                  </w:pPr>
                  <w:r>
                    <w:rPr>
                      <w:rFonts w:ascii="Times New Roman" w:hAnsi="Times New Roman" w:eastAsia="宋体" w:cs="Times New Roman"/>
                      <w:color w:val="auto"/>
                      <w:spacing w:val="-2"/>
                      <w:sz w:val="21"/>
                      <w:u w:val="none"/>
                    </w:rPr>
                    <w:t>无</w:t>
                  </w:r>
                </w:p>
              </w:tc>
              <w:tc>
                <w:tcPr>
                  <w:tcW w:w="2900" w:type="dxa"/>
                  <w:tcBorders>
                    <w:tl2br w:val="nil"/>
                    <w:tr2bl w:val="nil"/>
                  </w:tcBorders>
                  <w:vAlign w:val="center"/>
                </w:tcPr>
                <w:p w14:paraId="1C00A20E">
                  <w:pPr>
                    <w:spacing w:before="24" w:after="24" w:line="240" w:lineRule="auto"/>
                    <w:jc w:val="center"/>
                    <w:rPr>
                      <w:rFonts w:ascii="Times New Roman" w:hAnsi="Times New Roman" w:eastAsia="宋体" w:cs="Times New Roman"/>
                      <w:color w:val="auto"/>
                      <w:spacing w:val="-2"/>
                      <w:sz w:val="21"/>
                      <w:u w:val="none"/>
                    </w:rPr>
                  </w:pPr>
                  <w:r>
                    <w:rPr>
                      <w:rFonts w:ascii="Times New Roman" w:hAnsi="Times New Roman" w:eastAsia="宋体" w:cs="Times New Roman"/>
                      <w:color w:val="auto"/>
                      <w:spacing w:val="-2"/>
                      <w:sz w:val="21"/>
                      <w:u w:val="none"/>
                    </w:rPr>
                    <w:t>不涉及</w:t>
                  </w:r>
                </w:p>
              </w:tc>
              <w:tc>
                <w:tcPr>
                  <w:tcW w:w="1643" w:type="dxa"/>
                  <w:vMerge w:val="restart"/>
                  <w:tcBorders>
                    <w:tl2br w:val="nil"/>
                    <w:tr2bl w:val="nil"/>
                  </w:tcBorders>
                  <w:vAlign w:val="center"/>
                </w:tcPr>
                <w:p w14:paraId="157486E8">
                  <w:pPr>
                    <w:spacing w:before="24" w:after="24" w:line="240" w:lineRule="auto"/>
                    <w:jc w:val="center"/>
                    <w:rPr>
                      <w:rFonts w:ascii="Times New Roman" w:hAnsi="Times New Roman" w:eastAsia="宋体" w:cs="Times New Roman"/>
                      <w:color w:val="auto"/>
                      <w:spacing w:val="-2"/>
                      <w:sz w:val="21"/>
                      <w:u w:val="none"/>
                    </w:rPr>
                  </w:pPr>
                  <w:r>
                    <w:rPr>
                      <w:rFonts w:ascii="Times New Roman" w:hAnsi="Times New Roman" w:eastAsia="宋体" w:cs="Times New Roman"/>
                      <w:color w:val="auto"/>
                      <w:spacing w:val="-2"/>
                      <w:sz w:val="21"/>
                      <w:u w:val="none"/>
                    </w:rPr>
                    <w:t>《湖南省主体功能区规划》、</w:t>
                  </w:r>
                </w:p>
                <w:p w14:paraId="38721EE0">
                  <w:pPr>
                    <w:spacing w:before="24" w:after="24" w:line="240" w:lineRule="auto"/>
                    <w:jc w:val="center"/>
                    <w:rPr>
                      <w:rFonts w:ascii="Times New Roman" w:hAnsi="Times New Roman" w:eastAsia="宋体" w:cs="Times New Roman"/>
                      <w:color w:val="auto"/>
                      <w:spacing w:val="-2"/>
                      <w:sz w:val="21"/>
                      <w:u w:val="none"/>
                    </w:rPr>
                  </w:pPr>
                  <w:r>
                    <w:rPr>
                      <w:rFonts w:hint="default" w:ascii="Times New Roman" w:hAnsi="Times New Roman" w:eastAsia="宋体" w:cs="Times New Roman"/>
                      <w:color w:val="auto"/>
                      <w:spacing w:val="-2"/>
                      <w:sz w:val="21"/>
                      <w:u w:val="none"/>
                      <w:lang w:eastAsia="zh-CN"/>
                    </w:rPr>
                    <w:t>通道县</w:t>
                  </w:r>
                  <w:r>
                    <w:rPr>
                      <w:rFonts w:ascii="Times New Roman" w:hAnsi="Times New Roman" w:eastAsia="宋体" w:cs="Times New Roman"/>
                      <w:color w:val="auto"/>
                      <w:spacing w:val="-2"/>
                      <w:sz w:val="21"/>
                      <w:u w:val="none"/>
                    </w:rPr>
                    <w:t>自然资源局意见（</w:t>
                  </w:r>
                  <w:r>
                    <w:rPr>
                      <w:rFonts w:hint="default" w:ascii="Times New Roman" w:hAnsi="Times New Roman" w:eastAsia="宋体" w:cs="Times New Roman"/>
                      <w:color w:val="auto"/>
                      <w:spacing w:val="-2"/>
                      <w:sz w:val="21"/>
                      <w:u w:val="none"/>
                    </w:rPr>
                    <w:t>附件</w:t>
                  </w:r>
                  <w:r>
                    <w:rPr>
                      <w:rFonts w:hint="default" w:ascii="Times New Roman" w:hAnsi="Times New Roman" w:eastAsia="宋体" w:cs="Times New Roman"/>
                      <w:color w:val="auto"/>
                      <w:spacing w:val="-2"/>
                      <w:sz w:val="21"/>
                      <w:u w:val="none"/>
                      <w:lang w:val="en-US" w:eastAsia="zh-CN"/>
                    </w:rPr>
                    <w:t>5</w:t>
                  </w:r>
                  <w:r>
                    <w:rPr>
                      <w:rFonts w:hint="default" w:ascii="Times New Roman" w:hAnsi="Times New Roman" w:eastAsia="宋体" w:cs="Times New Roman"/>
                      <w:color w:val="auto"/>
                      <w:spacing w:val="-2"/>
                      <w:sz w:val="21"/>
                      <w:u w:val="none"/>
                    </w:rPr>
                    <w:t>）、</w:t>
                  </w:r>
                  <w:r>
                    <w:rPr>
                      <w:rFonts w:hint="default" w:ascii="Times New Roman" w:hAnsi="Times New Roman" w:eastAsia="宋体" w:cs="Times New Roman"/>
                      <w:color w:val="auto"/>
                      <w:spacing w:val="-2"/>
                      <w:sz w:val="21"/>
                      <w:u w:val="none"/>
                      <w:lang w:eastAsia="zh-CN"/>
                    </w:rPr>
                    <w:t>通道县</w:t>
                  </w:r>
                  <w:r>
                    <w:rPr>
                      <w:rFonts w:hint="default" w:ascii="Times New Roman" w:hAnsi="Times New Roman" w:eastAsia="宋体" w:cs="Times New Roman"/>
                      <w:color w:val="auto"/>
                      <w:spacing w:val="-2"/>
                      <w:sz w:val="21"/>
                      <w:u w:val="none"/>
                    </w:rPr>
                    <w:t>林业局选址意见（附件</w:t>
                  </w:r>
                  <w:r>
                    <w:rPr>
                      <w:rFonts w:hint="default" w:ascii="Times New Roman" w:hAnsi="Times New Roman" w:eastAsia="宋体" w:cs="Times New Roman"/>
                      <w:color w:val="auto"/>
                      <w:spacing w:val="-2"/>
                      <w:sz w:val="21"/>
                      <w:u w:val="none"/>
                      <w:lang w:val="en-US" w:eastAsia="zh-CN"/>
                    </w:rPr>
                    <w:t>7</w:t>
                  </w:r>
                  <w:r>
                    <w:rPr>
                      <w:rFonts w:hint="default" w:ascii="Times New Roman" w:hAnsi="Times New Roman" w:eastAsia="宋体" w:cs="Times New Roman"/>
                      <w:color w:val="auto"/>
                      <w:spacing w:val="-2"/>
                      <w:sz w:val="21"/>
                      <w:u w:val="none"/>
                    </w:rPr>
                    <w:t>）</w:t>
                  </w:r>
                </w:p>
              </w:tc>
            </w:tr>
            <w:tr w14:paraId="40C87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3" w:type="dxa"/>
                  <w:vMerge w:val="continue"/>
                  <w:tcBorders>
                    <w:tl2br w:val="nil"/>
                    <w:tr2bl w:val="nil"/>
                  </w:tcBorders>
                  <w:vAlign w:val="center"/>
                </w:tcPr>
                <w:p w14:paraId="7D58A277">
                  <w:pPr>
                    <w:spacing w:before="24" w:after="24" w:line="240" w:lineRule="auto"/>
                    <w:jc w:val="center"/>
                    <w:rPr>
                      <w:rFonts w:ascii="Times New Roman" w:hAnsi="Times New Roman" w:eastAsia="宋体" w:cs="Times New Roman"/>
                      <w:color w:val="auto"/>
                      <w:spacing w:val="-2"/>
                      <w:sz w:val="21"/>
                      <w:u w:val="none"/>
                    </w:rPr>
                  </w:pPr>
                </w:p>
              </w:tc>
              <w:tc>
                <w:tcPr>
                  <w:tcW w:w="1988" w:type="dxa"/>
                  <w:tcBorders>
                    <w:tl2br w:val="nil"/>
                    <w:tr2bl w:val="nil"/>
                  </w:tcBorders>
                  <w:vAlign w:val="center"/>
                </w:tcPr>
                <w:p w14:paraId="74919EE9">
                  <w:pPr>
                    <w:spacing w:before="24" w:after="24" w:line="240" w:lineRule="auto"/>
                    <w:jc w:val="center"/>
                    <w:rPr>
                      <w:rFonts w:ascii="Times New Roman" w:hAnsi="Times New Roman" w:eastAsia="宋体" w:cs="Times New Roman"/>
                      <w:color w:val="auto"/>
                      <w:spacing w:val="-2"/>
                      <w:sz w:val="21"/>
                      <w:u w:val="none"/>
                    </w:rPr>
                  </w:pPr>
                  <w:r>
                    <w:rPr>
                      <w:rFonts w:ascii="Times New Roman" w:hAnsi="Times New Roman" w:eastAsia="宋体" w:cs="Times New Roman"/>
                      <w:color w:val="auto"/>
                      <w:spacing w:val="-2"/>
                      <w:sz w:val="21"/>
                      <w:u w:val="none"/>
                    </w:rPr>
                    <w:t>省级以上（含省级）自然保护区</w:t>
                  </w:r>
                </w:p>
              </w:tc>
              <w:tc>
                <w:tcPr>
                  <w:tcW w:w="453" w:type="dxa"/>
                  <w:tcBorders>
                    <w:tl2br w:val="nil"/>
                    <w:tr2bl w:val="nil"/>
                  </w:tcBorders>
                  <w:vAlign w:val="center"/>
                </w:tcPr>
                <w:p w14:paraId="03306222">
                  <w:pPr>
                    <w:spacing w:before="24" w:after="24" w:line="240" w:lineRule="auto"/>
                    <w:jc w:val="center"/>
                    <w:rPr>
                      <w:rFonts w:ascii="Times New Roman" w:hAnsi="Times New Roman" w:eastAsia="宋体" w:cs="Times New Roman"/>
                      <w:color w:val="auto"/>
                      <w:spacing w:val="-2"/>
                      <w:sz w:val="21"/>
                      <w:u w:val="none"/>
                    </w:rPr>
                  </w:pPr>
                  <w:r>
                    <w:rPr>
                      <w:rFonts w:ascii="Times New Roman" w:hAnsi="Times New Roman" w:eastAsia="宋体" w:cs="Times New Roman"/>
                      <w:color w:val="auto"/>
                      <w:spacing w:val="-2"/>
                      <w:sz w:val="21"/>
                      <w:u w:val="none"/>
                    </w:rPr>
                    <w:t>无</w:t>
                  </w:r>
                </w:p>
              </w:tc>
              <w:tc>
                <w:tcPr>
                  <w:tcW w:w="2900" w:type="dxa"/>
                  <w:tcBorders>
                    <w:tl2br w:val="nil"/>
                    <w:tr2bl w:val="nil"/>
                  </w:tcBorders>
                  <w:vAlign w:val="center"/>
                </w:tcPr>
                <w:p w14:paraId="39B7C09C">
                  <w:pPr>
                    <w:spacing w:before="24" w:after="24" w:line="240" w:lineRule="auto"/>
                    <w:jc w:val="center"/>
                    <w:rPr>
                      <w:rFonts w:ascii="Times New Roman" w:hAnsi="Times New Roman" w:eastAsia="宋体" w:cs="Times New Roman"/>
                      <w:color w:val="auto"/>
                      <w:spacing w:val="-2"/>
                      <w:sz w:val="21"/>
                      <w:u w:val="none"/>
                    </w:rPr>
                  </w:pPr>
                  <w:r>
                    <w:rPr>
                      <w:rFonts w:ascii="Times New Roman" w:hAnsi="Times New Roman" w:eastAsia="宋体" w:cs="Times New Roman"/>
                      <w:color w:val="auto"/>
                      <w:spacing w:val="-2"/>
                      <w:sz w:val="21"/>
                      <w:u w:val="none"/>
                    </w:rPr>
                    <w:t>不涉及</w:t>
                  </w:r>
                </w:p>
              </w:tc>
              <w:tc>
                <w:tcPr>
                  <w:tcW w:w="1643" w:type="dxa"/>
                  <w:vMerge w:val="continue"/>
                  <w:tcBorders>
                    <w:tl2br w:val="nil"/>
                    <w:tr2bl w:val="nil"/>
                  </w:tcBorders>
                  <w:vAlign w:val="center"/>
                </w:tcPr>
                <w:p w14:paraId="1F8050E8">
                  <w:pPr>
                    <w:spacing w:before="24" w:after="24" w:line="240" w:lineRule="auto"/>
                    <w:jc w:val="center"/>
                    <w:rPr>
                      <w:rFonts w:ascii="Times New Roman" w:hAnsi="Times New Roman" w:eastAsia="宋体" w:cs="Times New Roman"/>
                      <w:color w:val="auto"/>
                      <w:spacing w:val="-2"/>
                      <w:sz w:val="21"/>
                      <w:u w:val="none"/>
                    </w:rPr>
                  </w:pPr>
                </w:p>
              </w:tc>
            </w:tr>
            <w:tr w14:paraId="452F0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3" w:type="dxa"/>
                  <w:vMerge w:val="continue"/>
                  <w:tcBorders>
                    <w:tl2br w:val="nil"/>
                    <w:tr2bl w:val="nil"/>
                  </w:tcBorders>
                  <w:vAlign w:val="center"/>
                </w:tcPr>
                <w:p w14:paraId="6010B5EF">
                  <w:pPr>
                    <w:spacing w:before="24" w:after="24" w:line="240" w:lineRule="auto"/>
                    <w:jc w:val="center"/>
                    <w:rPr>
                      <w:rFonts w:ascii="Times New Roman" w:hAnsi="Times New Roman" w:eastAsia="宋体" w:cs="Times New Roman"/>
                      <w:color w:val="auto"/>
                      <w:spacing w:val="-2"/>
                      <w:sz w:val="21"/>
                      <w:u w:val="none"/>
                    </w:rPr>
                  </w:pPr>
                </w:p>
              </w:tc>
              <w:tc>
                <w:tcPr>
                  <w:tcW w:w="1988" w:type="dxa"/>
                  <w:tcBorders>
                    <w:tl2br w:val="nil"/>
                    <w:tr2bl w:val="nil"/>
                  </w:tcBorders>
                  <w:vAlign w:val="center"/>
                </w:tcPr>
                <w:p w14:paraId="2B9B7EE3">
                  <w:pPr>
                    <w:spacing w:before="24" w:after="24" w:line="240" w:lineRule="auto"/>
                    <w:jc w:val="center"/>
                    <w:rPr>
                      <w:rFonts w:ascii="Times New Roman" w:hAnsi="Times New Roman" w:eastAsia="宋体" w:cs="Times New Roman"/>
                      <w:color w:val="auto"/>
                      <w:spacing w:val="-2"/>
                      <w:sz w:val="21"/>
                      <w:u w:val="none"/>
                    </w:rPr>
                  </w:pPr>
                  <w:r>
                    <w:rPr>
                      <w:rFonts w:ascii="Times New Roman" w:hAnsi="Times New Roman" w:eastAsia="宋体" w:cs="Times New Roman"/>
                      <w:color w:val="auto"/>
                      <w:spacing w:val="-2"/>
                      <w:sz w:val="21"/>
                      <w:u w:val="none"/>
                    </w:rPr>
                    <w:t>省级以上（含省级）风景名胜区</w:t>
                  </w:r>
                </w:p>
              </w:tc>
              <w:tc>
                <w:tcPr>
                  <w:tcW w:w="453" w:type="dxa"/>
                  <w:tcBorders>
                    <w:tl2br w:val="nil"/>
                    <w:tr2bl w:val="nil"/>
                  </w:tcBorders>
                  <w:vAlign w:val="center"/>
                </w:tcPr>
                <w:p w14:paraId="1754477C">
                  <w:pPr>
                    <w:spacing w:before="24" w:after="24" w:line="240" w:lineRule="auto"/>
                    <w:jc w:val="center"/>
                    <w:rPr>
                      <w:rFonts w:ascii="Times New Roman" w:hAnsi="Times New Roman" w:eastAsia="宋体" w:cs="Times New Roman"/>
                      <w:color w:val="auto"/>
                      <w:spacing w:val="-2"/>
                      <w:sz w:val="21"/>
                      <w:u w:val="none"/>
                    </w:rPr>
                  </w:pPr>
                  <w:r>
                    <w:rPr>
                      <w:rFonts w:ascii="Times New Roman" w:hAnsi="Times New Roman" w:eastAsia="宋体" w:cs="Times New Roman"/>
                      <w:color w:val="auto"/>
                      <w:spacing w:val="-2"/>
                      <w:sz w:val="21"/>
                      <w:u w:val="none"/>
                    </w:rPr>
                    <w:t>无</w:t>
                  </w:r>
                </w:p>
              </w:tc>
              <w:tc>
                <w:tcPr>
                  <w:tcW w:w="2900" w:type="dxa"/>
                  <w:tcBorders>
                    <w:tl2br w:val="nil"/>
                    <w:tr2bl w:val="nil"/>
                  </w:tcBorders>
                  <w:vAlign w:val="center"/>
                </w:tcPr>
                <w:p w14:paraId="6C561E85">
                  <w:pPr>
                    <w:spacing w:before="24" w:after="24" w:line="240" w:lineRule="auto"/>
                    <w:jc w:val="center"/>
                    <w:rPr>
                      <w:rFonts w:ascii="Times New Roman" w:hAnsi="Times New Roman" w:eastAsia="宋体" w:cs="Times New Roman"/>
                      <w:color w:val="auto"/>
                      <w:spacing w:val="-2"/>
                      <w:sz w:val="21"/>
                      <w:u w:val="none"/>
                    </w:rPr>
                  </w:pPr>
                  <w:r>
                    <w:rPr>
                      <w:rFonts w:ascii="Times New Roman" w:hAnsi="Times New Roman" w:eastAsia="宋体" w:cs="Times New Roman"/>
                      <w:color w:val="auto"/>
                      <w:spacing w:val="-2"/>
                      <w:sz w:val="21"/>
                      <w:u w:val="none"/>
                    </w:rPr>
                    <w:t>不涉及</w:t>
                  </w:r>
                </w:p>
              </w:tc>
              <w:tc>
                <w:tcPr>
                  <w:tcW w:w="1643" w:type="dxa"/>
                  <w:vMerge w:val="continue"/>
                  <w:tcBorders>
                    <w:tl2br w:val="nil"/>
                    <w:tr2bl w:val="nil"/>
                  </w:tcBorders>
                  <w:vAlign w:val="center"/>
                </w:tcPr>
                <w:p w14:paraId="0986FCD6">
                  <w:pPr>
                    <w:spacing w:before="24" w:after="24" w:line="240" w:lineRule="auto"/>
                    <w:jc w:val="center"/>
                    <w:rPr>
                      <w:rFonts w:ascii="Times New Roman" w:hAnsi="Times New Roman" w:eastAsia="宋体" w:cs="Times New Roman"/>
                      <w:color w:val="auto"/>
                      <w:spacing w:val="-2"/>
                      <w:sz w:val="21"/>
                      <w:u w:val="none"/>
                    </w:rPr>
                  </w:pPr>
                </w:p>
              </w:tc>
            </w:tr>
            <w:tr w14:paraId="016B7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3" w:type="dxa"/>
                  <w:vMerge w:val="continue"/>
                  <w:tcBorders>
                    <w:tl2br w:val="nil"/>
                    <w:tr2bl w:val="nil"/>
                  </w:tcBorders>
                  <w:vAlign w:val="center"/>
                </w:tcPr>
                <w:p w14:paraId="2EA57B86">
                  <w:pPr>
                    <w:spacing w:before="24" w:after="24" w:line="240" w:lineRule="auto"/>
                    <w:jc w:val="center"/>
                    <w:rPr>
                      <w:rFonts w:ascii="Times New Roman" w:hAnsi="Times New Roman" w:eastAsia="宋体" w:cs="Times New Roman"/>
                      <w:color w:val="auto"/>
                      <w:spacing w:val="-2"/>
                      <w:sz w:val="21"/>
                      <w:u w:val="none"/>
                    </w:rPr>
                  </w:pPr>
                </w:p>
              </w:tc>
              <w:tc>
                <w:tcPr>
                  <w:tcW w:w="1988" w:type="dxa"/>
                  <w:tcBorders>
                    <w:tl2br w:val="nil"/>
                    <w:tr2bl w:val="nil"/>
                  </w:tcBorders>
                  <w:vAlign w:val="center"/>
                </w:tcPr>
                <w:p w14:paraId="301A70A6">
                  <w:pPr>
                    <w:spacing w:before="24" w:after="24" w:line="240" w:lineRule="auto"/>
                    <w:jc w:val="center"/>
                    <w:rPr>
                      <w:rFonts w:ascii="Times New Roman" w:hAnsi="Times New Roman" w:eastAsia="宋体" w:cs="Times New Roman"/>
                      <w:color w:val="auto"/>
                      <w:spacing w:val="-2"/>
                      <w:sz w:val="21"/>
                      <w:u w:val="none"/>
                    </w:rPr>
                  </w:pPr>
                  <w:r>
                    <w:rPr>
                      <w:rFonts w:ascii="Times New Roman" w:hAnsi="Times New Roman" w:eastAsia="宋体" w:cs="Times New Roman"/>
                      <w:color w:val="auto"/>
                      <w:spacing w:val="-2"/>
                      <w:sz w:val="21"/>
                      <w:u w:val="none"/>
                    </w:rPr>
                    <w:t>省级以上（含省级）森林公园</w:t>
                  </w:r>
                </w:p>
              </w:tc>
              <w:tc>
                <w:tcPr>
                  <w:tcW w:w="453" w:type="dxa"/>
                  <w:tcBorders>
                    <w:tl2br w:val="nil"/>
                    <w:tr2bl w:val="nil"/>
                  </w:tcBorders>
                  <w:vAlign w:val="center"/>
                </w:tcPr>
                <w:p w14:paraId="0E3809D2">
                  <w:pPr>
                    <w:spacing w:before="24" w:after="24" w:line="240" w:lineRule="auto"/>
                    <w:jc w:val="center"/>
                    <w:rPr>
                      <w:rFonts w:ascii="Times New Roman" w:hAnsi="Times New Roman" w:eastAsia="宋体" w:cs="Times New Roman"/>
                      <w:color w:val="auto"/>
                      <w:spacing w:val="-2"/>
                      <w:sz w:val="21"/>
                      <w:u w:val="none"/>
                    </w:rPr>
                  </w:pPr>
                  <w:r>
                    <w:rPr>
                      <w:rFonts w:ascii="Times New Roman" w:hAnsi="Times New Roman" w:eastAsia="宋体" w:cs="Times New Roman"/>
                      <w:color w:val="auto"/>
                      <w:spacing w:val="-2"/>
                      <w:sz w:val="21"/>
                      <w:u w:val="none"/>
                    </w:rPr>
                    <w:t>无</w:t>
                  </w:r>
                </w:p>
              </w:tc>
              <w:tc>
                <w:tcPr>
                  <w:tcW w:w="2900" w:type="dxa"/>
                  <w:tcBorders>
                    <w:tl2br w:val="nil"/>
                    <w:tr2bl w:val="nil"/>
                  </w:tcBorders>
                  <w:vAlign w:val="center"/>
                </w:tcPr>
                <w:p w14:paraId="0A243794">
                  <w:pPr>
                    <w:spacing w:before="24" w:after="24" w:line="240" w:lineRule="auto"/>
                    <w:jc w:val="center"/>
                    <w:rPr>
                      <w:rFonts w:ascii="Times New Roman" w:hAnsi="Times New Roman" w:eastAsia="宋体" w:cs="Times New Roman"/>
                      <w:color w:val="auto"/>
                      <w:spacing w:val="-2"/>
                      <w:sz w:val="21"/>
                      <w:u w:val="none"/>
                    </w:rPr>
                  </w:pPr>
                  <w:r>
                    <w:rPr>
                      <w:rFonts w:ascii="Times New Roman" w:hAnsi="Times New Roman" w:eastAsia="宋体" w:cs="Times New Roman"/>
                      <w:color w:val="auto"/>
                      <w:spacing w:val="-2"/>
                      <w:sz w:val="21"/>
                      <w:u w:val="none"/>
                    </w:rPr>
                    <w:t>不涉及</w:t>
                  </w:r>
                </w:p>
              </w:tc>
              <w:tc>
                <w:tcPr>
                  <w:tcW w:w="1643" w:type="dxa"/>
                  <w:vMerge w:val="continue"/>
                  <w:tcBorders>
                    <w:tl2br w:val="nil"/>
                    <w:tr2bl w:val="nil"/>
                  </w:tcBorders>
                  <w:vAlign w:val="center"/>
                </w:tcPr>
                <w:p w14:paraId="461D730D">
                  <w:pPr>
                    <w:spacing w:before="24" w:after="24" w:line="240" w:lineRule="auto"/>
                    <w:jc w:val="center"/>
                    <w:rPr>
                      <w:rFonts w:ascii="Times New Roman" w:hAnsi="Times New Roman" w:eastAsia="宋体" w:cs="Times New Roman"/>
                      <w:color w:val="auto"/>
                      <w:spacing w:val="-2"/>
                      <w:sz w:val="21"/>
                      <w:u w:val="none"/>
                    </w:rPr>
                  </w:pPr>
                </w:p>
              </w:tc>
            </w:tr>
            <w:tr w14:paraId="2035F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3" w:type="dxa"/>
                  <w:vMerge w:val="continue"/>
                  <w:tcBorders>
                    <w:tl2br w:val="nil"/>
                    <w:tr2bl w:val="nil"/>
                  </w:tcBorders>
                  <w:vAlign w:val="center"/>
                </w:tcPr>
                <w:p w14:paraId="0015131D">
                  <w:pPr>
                    <w:spacing w:before="24" w:after="24" w:line="240" w:lineRule="auto"/>
                    <w:jc w:val="center"/>
                    <w:rPr>
                      <w:rFonts w:ascii="Times New Roman" w:hAnsi="Times New Roman" w:eastAsia="宋体" w:cs="Times New Roman"/>
                      <w:color w:val="auto"/>
                      <w:spacing w:val="-2"/>
                      <w:sz w:val="21"/>
                      <w:u w:val="none"/>
                    </w:rPr>
                  </w:pPr>
                </w:p>
              </w:tc>
              <w:tc>
                <w:tcPr>
                  <w:tcW w:w="1988" w:type="dxa"/>
                  <w:tcBorders>
                    <w:tl2br w:val="nil"/>
                    <w:tr2bl w:val="nil"/>
                  </w:tcBorders>
                  <w:vAlign w:val="center"/>
                </w:tcPr>
                <w:p w14:paraId="06607C88">
                  <w:pPr>
                    <w:spacing w:before="24" w:after="24" w:line="240" w:lineRule="auto"/>
                    <w:jc w:val="center"/>
                    <w:rPr>
                      <w:rFonts w:ascii="Times New Roman" w:hAnsi="Times New Roman" w:eastAsia="宋体" w:cs="Times New Roman"/>
                      <w:color w:val="auto"/>
                      <w:spacing w:val="-2"/>
                      <w:sz w:val="21"/>
                      <w:u w:val="none"/>
                    </w:rPr>
                  </w:pPr>
                  <w:r>
                    <w:rPr>
                      <w:rFonts w:ascii="Times New Roman" w:hAnsi="Times New Roman" w:eastAsia="宋体" w:cs="Times New Roman"/>
                      <w:color w:val="auto"/>
                      <w:spacing w:val="-2"/>
                      <w:sz w:val="21"/>
                      <w:u w:val="none"/>
                    </w:rPr>
                    <w:t>生态保护红线</w:t>
                  </w:r>
                </w:p>
              </w:tc>
              <w:tc>
                <w:tcPr>
                  <w:tcW w:w="453" w:type="dxa"/>
                  <w:tcBorders>
                    <w:tl2br w:val="nil"/>
                    <w:tr2bl w:val="nil"/>
                  </w:tcBorders>
                  <w:vAlign w:val="center"/>
                </w:tcPr>
                <w:p w14:paraId="0503DD9D">
                  <w:pPr>
                    <w:spacing w:before="24" w:after="24" w:line="240" w:lineRule="auto"/>
                    <w:jc w:val="center"/>
                    <w:rPr>
                      <w:rFonts w:ascii="Times New Roman" w:hAnsi="Times New Roman" w:eastAsia="宋体" w:cs="Times New Roman"/>
                      <w:color w:val="auto"/>
                      <w:spacing w:val="-2"/>
                      <w:sz w:val="21"/>
                      <w:u w:val="none"/>
                    </w:rPr>
                  </w:pPr>
                  <w:r>
                    <w:rPr>
                      <w:rFonts w:ascii="Times New Roman" w:hAnsi="Times New Roman" w:eastAsia="宋体" w:cs="Times New Roman"/>
                      <w:color w:val="auto"/>
                      <w:spacing w:val="-2"/>
                      <w:sz w:val="21"/>
                      <w:u w:val="none"/>
                    </w:rPr>
                    <w:t>/</w:t>
                  </w:r>
                </w:p>
              </w:tc>
              <w:tc>
                <w:tcPr>
                  <w:tcW w:w="2900" w:type="dxa"/>
                  <w:tcBorders>
                    <w:tl2br w:val="nil"/>
                    <w:tr2bl w:val="nil"/>
                  </w:tcBorders>
                  <w:vAlign w:val="center"/>
                </w:tcPr>
                <w:p w14:paraId="689F726D">
                  <w:pPr>
                    <w:spacing w:before="24" w:after="24" w:line="240" w:lineRule="auto"/>
                    <w:jc w:val="center"/>
                    <w:rPr>
                      <w:rFonts w:ascii="Times New Roman" w:hAnsi="Times New Roman" w:eastAsia="宋体" w:cs="Times New Roman"/>
                      <w:color w:val="auto"/>
                      <w:spacing w:val="-2"/>
                      <w:sz w:val="21"/>
                      <w:u w:val="none"/>
                    </w:rPr>
                  </w:pPr>
                  <w:r>
                    <w:rPr>
                      <w:rFonts w:ascii="Times New Roman" w:hAnsi="Times New Roman" w:eastAsia="宋体" w:cs="Times New Roman"/>
                      <w:color w:val="auto"/>
                      <w:spacing w:val="-2"/>
                      <w:sz w:val="21"/>
                      <w:u w:val="none"/>
                    </w:rPr>
                    <w:t>不涉及</w:t>
                  </w:r>
                </w:p>
              </w:tc>
              <w:tc>
                <w:tcPr>
                  <w:tcW w:w="1643" w:type="dxa"/>
                  <w:vMerge w:val="continue"/>
                  <w:tcBorders>
                    <w:tl2br w:val="nil"/>
                    <w:tr2bl w:val="nil"/>
                  </w:tcBorders>
                  <w:vAlign w:val="center"/>
                </w:tcPr>
                <w:p w14:paraId="4D23DD38">
                  <w:pPr>
                    <w:spacing w:before="24" w:after="24" w:line="240" w:lineRule="auto"/>
                    <w:jc w:val="center"/>
                    <w:rPr>
                      <w:rFonts w:ascii="Times New Roman" w:hAnsi="Times New Roman" w:eastAsia="宋体" w:cs="Times New Roman"/>
                      <w:color w:val="auto"/>
                      <w:spacing w:val="-2"/>
                      <w:sz w:val="21"/>
                      <w:u w:val="none"/>
                    </w:rPr>
                  </w:pPr>
                </w:p>
              </w:tc>
            </w:tr>
            <w:tr w14:paraId="56B9A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3" w:type="dxa"/>
                  <w:vMerge w:val="continue"/>
                  <w:tcBorders>
                    <w:tl2br w:val="nil"/>
                    <w:tr2bl w:val="nil"/>
                  </w:tcBorders>
                  <w:vAlign w:val="center"/>
                </w:tcPr>
                <w:p w14:paraId="0F782964">
                  <w:pPr>
                    <w:spacing w:before="24" w:after="24" w:line="240" w:lineRule="auto"/>
                    <w:jc w:val="center"/>
                    <w:rPr>
                      <w:rFonts w:ascii="Times New Roman" w:hAnsi="Times New Roman" w:eastAsia="宋体" w:cs="Times New Roman"/>
                      <w:color w:val="auto"/>
                      <w:spacing w:val="-2"/>
                      <w:sz w:val="21"/>
                      <w:u w:val="none"/>
                    </w:rPr>
                  </w:pPr>
                </w:p>
              </w:tc>
              <w:tc>
                <w:tcPr>
                  <w:tcW w:w="1988" w:type="dxa"/>
                  <w:tcBorders>
                    <w:tl2br w:val="nil"/>
                    <w:tr2bl w:val="nil"/>
                  </w:tcBorders>
                  <w:vAlign w:val="center"/>
                </w:tcPr>
                <w:p w14:paraId="17E50F30">
                  <w:pPr>
                    <w:spacing w:before="24" w:after="24" w:line="240" w:lineRule="auto"/>
                    <w:jc w:val="center"/>
                    <w:rPr>
                      <w:rFonts w:ascii="Times New Roman" w:hAnsi="Times New Roman" w:eastAsia="宋体" w:cs="Times New Roman"/>
                      <w:color w:val="auto"/>
                      <w:spacing w:val="-2"/>
                      <w:sz w:val="21"/>
                      <w:u w:val="none"/>
                    </w:rPr>
                  </w:pPr>
                  <w:r>
                    <w:rPr>
                      <w:rFonts w:ascii="Times New Roman" w:hAnsi="Times New Roman" w:eastAsia="宋体" w:cs="Times New Roman"/>
                      <w:color w:val="auto"/>
                      <w:spacing w:val="-2"/>
                      <w:sz w:val="21"/>
                      <w:u w:val="none"/>
                    </w:rPr>
                    <w:t>Ⅰ级保护林</w:t>
                  </w:r>
                </w:p>
              </w:tc>
              <w:tc>
                <w:tcPr>
                  <w:tcW w:w="453" w:type="dxa"/>
                  <w:tcBorders>
                    <w:tl2br w:val="nil"/>
                    <w:tr2bl w:val="nil"/>
                  </w:tcBorders>
                  <w:vAlign w:val="center"/>
                </w:tcPr>
                <w:p w14:paraId="6F9C9B85">
                  <w:pPr>
                    <w:spacing w:before="24" w:after="24" w:line="240" w:lineRule="auto"/>
                    <w:jc w:val="center"/>
                    <w:rPr>
                      <w:rFonts w:ascii="Times New Roman" w:hAnsi="Times New Roman" w:eastAsia="宋体" w:cs="Times New Roman"/>
                      <w:color w:val="auto"/>
                      <w:spacing w:val="-2"/>
                      <w:sz w:val="21"/>
                      <w:u w:val="none"/>
                    </w:rPr>
                  </w:pPr>
                  <w:r>
                    <w:rPr>
                      <w:rFonts w:ascii="Times New Roman" w:hAnsi="Times New Roman" w:eastAsia="宋体" w:cs="Times New Roman"/>
                      <w:color w:val="auto"/>
                      <w:spacing w:val="-2"/>
                      <w:sz w:val="21"/>
                      <w:u w:val="none"/>
                    </w:rPr>
                    <w:t>无</w:t>
                  </w:r>
                </w:p>
              </w:tc>
              <w:tc>
                <w:tcPr>
                  <w:tcW w:w="2900" w:type="dxa"/>
                  <w:tcBorders>
                    <w:tl2br w:val="nil"/>
                    <w:tr2bl w:val="nil"/>
                  </w:tcBorders>
                  <w:vAlign w:val="center"/>
                </w:tcPr>
                <w:p w14:paraId="7693960D">
                  <w:pPr>
                    <w:spacing w:before="24" w:after="24" w:line="240" w:lineRule="auto"/>
                    <w:jc w:val="center"/>
                    <w:rPr>
                      <w:rFonts w:ascii="Times New Roman" w:hAnsi="Times New Roman" w:eastAsia="宋体" w:cs="Times New Roman"/>
                      <w:color w:val="auto"/>
                      <w:spacing w:val="-2"/>
                      <w:sz w:val="21"/>
                      <w:u w:val="none"/>
                    </w:rPr>
                  </w:pPr>
                  <w:r>
                    <w:rPr>
                      <w:rFonts w:ascii="Times New Roman" w:hAnsi="Times New Roman" w:eastAsia="宋体" w:cs="Times New Roman"/>
                      <w:color w:val="auto"/>
                      <w:spacing w:val="-2"/>
                      <w:sz w:val="21"/>
                      <w:u w:val="none"/>
                    </w:rPr>
                    <w:t>不涉及</w:t>
                  </w:r>
                </w:p>
              </w:tc>
              <w:tc>
                <w:tcPr>
                  <w:tcW w:w="1643" w:type="dxa"/>
                  <w:vMerge w:val="restart"/>
                  <w:tcBorders>
                    <w:tl2br w:val="nil"/>
                    <w:tr2bl w:val="nil"/>
                  </w:tcBorders>
                  <w:vAlign w:val="center"/>
                </w:tcPr>
                <w:p w14:paraId="1A429520">
                  <w:pPr>
                    <w:spacing w:before="24" w:after="24" w:line="240" w:lineRule="auto"/>
                    <w:jc w:val="center"/>
                    <w:rPr>
                      <w:rFonts w:hint="default" w:ascii="Times New Roman" w:hAnsi="Times New Roman" w:eastAsia="宋体" w:cs="Times New Roman"/>
                      <w:color w:val="auto"/>
                      <w:spacing w:val="-2"/>
                      <w:sz w:val="21"/>
                      <w:u w:val="none"/>
                    </w:rPr>
                  </w:pPr>
                  <w:r>
                    <w:rPr>
                      <w:rFonts w:hint="default" w:ascii="Times New Roman" w:hAnsi="Times New Roman" w:eastAsia="宋体" w:cs="Times New Roman"/>
                      <w:color w:val="auto"/>
                      <w:spacing w:val="-2"/>
                      <w:sz w:val="21"/>
                      <w:u w:val="none"/>
                      <w:lang w:eastAsia="zh-CN"/>
                    </w:rPr>
                    <w:t>通道县</w:t>
                  </w:r>
                  <w:r>
                    <w:rPr>
                      <w:rFonts w:hint="default" w:ascii="Times New Roman" w:hAnsi="Times New Roman" w:eastAsia="宋体" w:cs="Times New Roman"/>
                      <w:color w:val="auto"/>
                      <w:spacing w:val="-2"/>
                      <w:sz w:val="21"/>
                      <w:u w:val="none"/>
                    </w:rPr>
                    <w:t>林业局选址意见（附件</w:t>
                  </w:r>
                  <w:r>
                    <w:rPr>
                      <w:rFonts w:hint="default" w:ascii="Times New Roman" w:hAnsi="Times New Roman" w:eastAsia="宋体" w:cs="Times New Roman"/>
                      <w:color w:val="auto"/>
                      <w:spacing w:val="-2"/>
                      <w:sz w:val="21"/>
                      <w:u w:val="none"/>
                      <w:lang w:val="en-US" w:eastAsia="zh-CN"/>
                    </w:rPr>
                    <w:t>7</w:t>
                  </w:r>
                  <w:r>
                    <w:rPr>
                      <w:rFonts w:hint="default" w:ascii="Times New Roman" w:hAnsi="Times New Roman" w:eastAsia="宋体" w:cs="Times New Roman"/>
                      <w:color w:val="auto"/>
                      <w:spacing w:val="-2"/>
                      <w:sz w:val="21"/>
                      <w:u w:val="none"/>
                    </w:rPr>
                    <w:t>）</w:t>
                  </w:r>
                </w:p>
              </w:tc>
            </w:tr>
            <w:tr w14:paraId="31DC9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3" w:type="dxa"/>
                  <w:vMerge w:val="continue"/>
                  <w:tcBorders>
                    <w:tl2br w:val="nil"/>
                    <w:tr2bl w:val="nil"/>
                  </w:tcBorders>
                  <w:vAlign w:val="center"/>
                </w:tcPr>
                <w:p w14:paraId="7A877D0D">
                  <w:pPr>
                    <w:spacing w:before="24" w:after="24" w:line="240" w:lineRule="auto"/>
                    <w:jc w:val="center"/>
                    <w:rPr>
                      <w:rFonts w:ascii="Times New Roman" w:hAnsi="Times New Roman" w:eastAsia="宋体" w:cs="Times New Roman"/>
                      <w:color w:val="auto"/>
                      <w:spacing w:val="-2"/>
                      <w:sz w:val="21"/>
                      <w:u w:val="none"/>
                    </w:rPr>
                  </w:pPr>
                </w:p>
              </w:tc>
              <w:tc>
                <w:tcPr>
                  <w:tcW w:w="1988" w:type="dxa"/>
                  <w:tcBorders>
                    <w:tl2br w:val="nil"/>
                    <w:tr2bl w:val="nil"/>
                  </w:tcBorders>
                  <w:vAlign w:val="center"/>
                </w:tcPr>
                <w:p w14:paraId="20684D5D">
                  <w:pPr>
                    <w:spacing w:before="24" w:after="24" w:line="240" w:lineRule="auto"/>
                    <w:jc w:val="center"/>
                    <w:rPr>
                      <w:rFonts w:ascii="Times New Roman" w:hAnsi="Times New Roman" w:eastAsia="宋体" w:cs="Times New Roman"/>
                      <w:color w:val="auto"/>
                      <w:spacing w:val="-2"/>
                      <w:sz w:val="21"/>
                      <w:u w:val="none"/>
                    </w:rPr>
                  </w:pPr>
                  <w:r>
                    <w:rPr>
                      <w:rFonts w:ascii="Times New Roman" w:hAnsi="Times New Roman" w:eastAsia="宋体" w:cs="Times New Roman"/>
                      <w:color w:val="auto"/>
                      <w:spacing w:val="-2"/>
                      <w:sz w:val="21"/>
                      <w:u w:val="none"/>
                    </w:rPr>
                    <w:t>一级国家公益林</w:t>
                  </w:r>
                </w:p>
              </w:tc>
              <w:tc>
                <w:tcPr>
                  <w:tcW w:w="453" w:type="dxa"/>
                  <w:tcBorders>
                    <w:tl2br w:val="nil"/>
                    <w:tr2bl w:val="nil"/>
                  </w:tcBorders>
                  <w:vAlign w:val="center"/>
                </w:tcPr>
                <w:p w14:paraId="583D14C9">
                  <w:pPr>
                    <w:spacing w:before="24" w:after="24" w:line="240" w:lineRule="auto"/>
                    <w:jc w:val="center"/>
                    <w:rPr>
                      <w:rFonts w:ascii="Times New Roman" w:hAnsi="Times New Roman" w:eastAsia="宋体" w:cs="Times New Roman"/>
                      <w:color w:val="auto"/>
                      <w:spacing w:val="-2"/>
                      <w:sz w:val="21"/>
                      <w:u w:val="none"/>
                    </w:rPr>
                  </w:pPr>
                  <w:r>
                    <w:rPr>
                      <w:rFonts w:ascii="Times New Roman" w:hAnsi="Times New Roman" w:eastAsia="宋体" w:cs="Times New Roman"/>
                      <w:color w:val="auto"/>
                      <w:spacing w:val="-2"/>
                      <w:sz w:val="21"/>
                      <w:u w:val="none"/>
                    </w:rPr>
                    <w:t>无</w:t>
                  </w:r>
                </w:p>
              </w:tc>
              <w:tc>
                <w:tcPr>
                  <w:tcW w:w="2900" w:type="dxa"/>
                  <w:tcBorders>
                    <w:tl2br w:val="nil"/>
                    <w:tr2bl w:val="nil"/>
                  </w:tcBorders>
                  <w:vAlign w:val="center"/>
                </w:tcPr>
                <w:p w14:paraId="7B1257C2">
                  <w:pPr>
                    <w:spacing w:before="24" w:after="24" w:line="240" w:lineRule="auto"/>
                    <w:jc w:val="center"/>
                    <w:rPr>
                      <w:rFonts w:ascii="Times New Roman" w:hAnsi="Times New Roman" w:eastAsia="宋体" w:cs="Times New Roman"/>
                      <w:color w:val="auto"/>
                      <w:spacing w:val="-2"/>
                      <w:sz w:val="21"/>
                      <w:u w:val="none"/>
                    </w:rPr>
                  </w:pPr>
                  <w:r>
                    <w:rPr>
                      <w:rFonts w:ascii="Times New Roman" w:hAnsi="Times New Roman" w:eastAsia="宋体" w:cs="Times New Roman"/>
                      <w:color w:val="auto"/>
                      <w:spacing w:val="-2"/>
                      <w:sz w:val="21"/>
                      <w:u w:val="none"/>
                    </w:rPr>
                    <w:t>不涉及</w:t>
                  </w:r>
                </w:p>
              </w:tc>
              <w:tc>
                <w:tcPr>
                  <w:tcW w:w="1643" w:type="dxa"/>
                  <w:vMerge w:val="continue"/>
                  <w:tcBorders>
                    <w:tl2br w:val="nil"/>
                    <w:tr2bl w:val="nil"/>
                  </w:tcBorders>
                  <w:vAlign w:val="center"/>
                </w:tcPr>
                <w:p w14:paraId="7B56916E">
                  <w:pPr>
                    <w:spacing w:before="24" w:after="24" w:line="240" w:lineRule="auto"/>
                    <w:jc w:val="center"/>
                    <w:rPr>
                      <w:rFonts w:hint="default" w:ascii="Times New Roman" w:hAnsi="Times New Roman" w:eastAsia="宋体" w:cs="Times New Roman"/>
                      <w:color w:val="auto"/>
                      <w:spacing w:val="-2"/>
                      <w:sz w:val="21"/>
                      <w:u w:val="none"/>
                    </w:rPr>
                  </w:pPr>
                </w:p>
              </w:tc>
            </w:tr>
            <w:tr w14:paraId="71A9C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3" w:type="dxa"/>
                  <w:vMerge w:val="restart"/>
                  <w:tcBorders>
                    <w:tl2br w:val="nil"/>
                    <w:tr2bl w:val="nil"/>
                  </w:tcBorders>
                  <w:vAlign w:val="center"/>
                </w:tcPr>
                <w:p w14:paraId="5E56C499">
                  <w:pPr>
                    <w:spacing w:before="24" w:after="24" w:line="240" w:lineRule="auto"/>
                    <w:jc w:val="center"/>
                    <w:rPr>
                      <w:rFonts w:ascii="Times New Roman" w:hAnsi="Times New Roman" w:eastAsia="宋体" w:cs="Times New Roman"/>
                      <w:color w:val="auto"/>
                      <w:spacing w:val="-2"/>
                      <w:sz w:val="21"/>
                      <w:u w:val="none"/>
                    </w:rPr>
                  </w:pPr>
                  <w:r>
                    <w:rPr>
                      <w:rFonts w:ascii="Times New Roman" w:hAnsi="Times New Roman" w:eastAsia="宋体" w:cs="Times New Roman"/>
                      <w:color w:val="auto"/>
                      <w:spacing w:val="-2"/>
                      <w:sz w:val="21"/>
                      <w:u w:val="none"/>
                    </w:rPr>
                    <w:t>严格控制区域</w:t>
                  </w:r>
                </w:p>
              </w:tc>
              <w:tc>
                <w:tcPr>
                  <w:tcW w:w="1988" w:type="dxa"/>
                  <w:tcBorders>
                    <w:tl2br w:val="nil"/>
                    <w:tr2bl w:val="nil"/>
                  </w:tcBorders>
                  <w:vAlign w:val="center"/>
                </w:tcPr>
                <w:p w14:paraId="1F78363F">
                  <w:pPr>
                    <w:spacing w:before="24" w:after="24" w:line="240" w:lineRule="auto"/>
                    <w:jc w:val="center"/>
                    <w:rPr>
                      <w:rFonts w:ascii="Times New Roman" w:hAnsi="Times New Roman" w:eastAsia="宋体" w:cs="Times New Roman"/>
                      <w:color w:val="auto"/>
                      <w:spacing w:val="-2"/>
                      <w:sz w:val="21"/>
                      <w:u w:val="none"/>
                    </w:rPr>
                  </w:pPr>
                  <w:r>
                    <w:rPr>
                      <w:rFonts w:ascii="Times New Roman" w:hAnsi="Times New Roman" w:eastAsia="宋体" w:cs="Times New Roman"/>
                      <w:color w:val="auto"/>
                      <w:spacing w:val="-2"/>
                      <w:sz w:val="21"/>
                      <w:u w:val="none"/>
                    </w:rPr>
                    <w:t>湿地公园</w:t>
                  </w:r>
                </w:p>
              </w:tc>
              <w:tc>
                <w:tcPr>
                  <w:tcW w:w="453" w:type="dxa"/>
                  <w:tcBorders>
                    <w:tl2br w:val="nil"/>
                    <w:tr2bl w:val="nil"/>
                  </w:tcBorders>
                  <w:vAlign w:val="center"/>
                </w:tcPr>
                <w:p w14:paraId="2E9BC80F">
                  <w:pPr>
                    <w:spacing w:before="24" w:after="24" w:line="240" w:lineRule="auto"/>
                    <w:jc w:val="center"/>
                    <w:rPr>
                      <w:rFonts w:ascii="Times New Roman" w:hAnsi="Times New Roman" w:eastAsia="宋体" w:cs="Times New Roman"/>
                      <w:color w:val="auto"/>
                      <w:spacing w:val="-2"/>
                      <w:sz w:val="21"/>
                      <w:u w:val="none"/>
                    </w:rPr>
                  </w:pPr>
                  <w:r>
                    <w:rPr>
                      <w:rFonts w:ascii="Times New Roman" w:hAnsi="Times New Roman" w:eastAsia="宋体" w:cs="Times New Roman"/>
                      <w:color w:val="auto"/>
                      <w:spacing w:val="-2"/>
                      <w:sz w:val="21"/>
                      <w:u w:val="none"/>
                    </w:rPr>
                    <w:t>无</w:t>
                  </w:r>
                </w:p>
              </w:tc>
              <w:tc>
                <w:tcPr>
                  <w:tcW w:w="2900" w:type="dxa"/>
                  <w:tcBorders>
                    <w:tl2br w:val="nil"/>
                    <w:tr2bl w:val="nil"/>
                  </w:tcBorders>
                  <w:vAlign w:val="center"/>
                </w:tcPr>
                <w:p w14:paraId="56629031">
                  <w:pPr>
                    <w:spacing w:before="24" w:after="24" w:line="240" w:lineRule="auto"/>
                    <w:jc w:val="center"/>
                    <w:rPr>
                      <w:rFonts w:ascii="Times New Roman" w:hAnsi="Times New Roman" w:eastAsia="宋体" w:cs="Times New Roman"/>
                      <w:color w:val="auto"/>
                      <w:spacing w:val="-2"/>
                      <w:sz w:val="21"/>
                      <w:u w:val="none"/>
                    </w:rPr>
                  </w:pPr>
                  <w:r>
                    <w:rPr>
                      <w:rFonts w:ascii="Times New Roman" w:hAnsi="Times New Roman" w:eastAsia="宋体" w:cs="Times New Roman"/>
                      <w:color w:val="auto"/>
                      <w:spacing w:val="-2"/>
                      <w:sz w:val="21"/>
                      <w:u w:val="none"/>
                    </w:rPr>
                    <w:t>不涉及</w:t>
                  </w:r>
                </w:p>
              </w:tc>
              <w:tc>
                <w:tcPr>
                  <w:tcW w:w="1643" w:type="dxa"/>
                  <w:vMerge w:val="restart"/>
                  <w:tcBorders>
                    <w:tl2br w:val="nil"/>
                    <w:tr2bl w:val="nil"/>
                  </w:tcBorders>
                  <w:vAlign w:val="center"/>
                </w:tcPr>
                <w:p w14:paraId="3959992D">
                  <w:pPr>
                    <w:spacing w:before="24" w:after="24" w:line="240" w:lineRule="auto"/>
                    <w:jc w:val="center"/>
                    <w:rPr>
                      <w:rFonts w:hint="default" w:ascii="Times New Roman" w:hAnsi="Times New Roman" w:eastAsia="宋体" w:cs="Times New Roman"/>
                      <w:color w:val="auto"/>
                      <w:spacing w:val="-2"/>
                      <w:sz w:val="21"/>
                      <w:u w:val="none"/>
                    </w:rPr>
                  </w:pPr>
                  <w:r>
                    <w:rPr>
                      <w:rFonts w:hint="default" w:ascii="Times New Roman" w:hAnsi="Times New Roman" w:eastAsia="宋体" w:cs="Times New Roman"/>
                      <w:color w:val="auto"/>
                      <w:spacing w:val="-2"/>
                      <w:sz w:val="21"/>
                      <w:u w:val="none"/>
                      <w:lang w:eastAsia="zh-CN"/>
                    </w:rPr>
                    <w:t>通道县</w:t>
                  </w:r>
                  <w:r>
                    <w:rPr>
                      <w:rFonts w:hint="default" w:ascii="Times New Roman" w:hAnsi="Times New Roman" w:eastAsia="宋体" w:cs="Times New Roman"/>
                      <w:color w:val="auto"/>
                      <w:spacing w:val="-2"/>
                      <w:sz w:val="21"/>
                      <w:u w:val="none"/>
                    </w:rPr>
                    <w:t>林业局选址意见（附件</w:t>
                  </w:r>
                  <w:r>
                    <w:rPr>
                      <w:rFonts w:hint="default" w:ascii="Times New Roman" w:hAnsi="Times New Roman" w:eastAsia="宋体" w:cs="Times New Roman"/>
                      <w:color w:val="auto"/>
                      <w:spacing w:val="-2"/>
                      <w:sz w:val="21"/>
                      <w:u w:val="none"/>
                      <w:lang w:val="en-US" w:eastAsia="zh-CN"/>
                    </w:rPr>
                    <w:t>7</w:t>
                  </w:r>
                  <w:r>
                    <w:rPr>
                      <w:rFonts w:hint="default" w:ascii="Times New Roman" w:hAnsi="Times New Roman" w:eastAsia="宋体" w:cs="Times New Roman"/>
                      <w:color w:val="auto"/>
                      <w:spacing w:val="-2"/>
                      <w:sz w:val="21"/>
                      <w:u w:val="none"/>
                    </w:rPr>
                    <w:t>）</w:t>
                  </w:r>
                </w:p>
              </w:tc>
            </w:tr>
            <w:tr w14:paraId="7CBB8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3" w:type="dxa"/>
                  <w:vMerge w:val="continue"/>
                  <w:tcBorders>
                    <w:tl2br w:val="nil"/>
                    <w:tr2bl w:val="nil"/>
                  </w:tcBorders>
                  <w:vAlign w:val="center"/>
                </w:tcPr>
                <w:p w14:paraId="03F0D6DE">
                  <w:pPr>
                    <w:spacing w:before="24" w:after="24" w:line="240" w:lineRule="auto"/>
                    <w:jc w:val="center"/>
                    <w:rPr>
                      <w:rFonts w:ascii="Times New Roman" w:hAnsi="Times New Roman" w:eastAsia="宋体" w:cs="Times New Roman"/>
                      <w:color w:val="auto"/>
                      <w:spacing w:val="-2"/>
                      <w:sz w:val="21"/>
                      <w:u w:val="none"/>
                    </w:rPr>
                  </w:pPr>
                </w:p>
              </w:tc>
              <w:tc>
                <w:tcPr>
                  <w:tcW w:w="1988" w:type="dxa"/>
                  <w:tcBorders>
                    <w:tl2br w:val="nil"/>
                    <w:tr2bl w:val="nil"/>
                  </w:tcBorders>
                  <w:vAlign w:val="center"/>
                </w:tcPr>
                <w:p w14:paraId="54832D3D">
                  <w:pPr>
                    <w:spacing w:before="24" w:after="24" w:line="240" w:lineRule="auto"/>
                    <w:jc w:val="center"/>
                    <w:rPr>
                      <w:rFonts w:ascii="Times New Roman" w:hAnsi="Times New Roman" w:eastAsia="宋体" w:cs="Times New Roman"/>
                      <w:color w:val="auto"/>
                      <w:spacing w:val="-2"/>
                      <w:sz w:val="21"/>
                      <w:u w:val="none"/>
                    </w:rPr>
                  </w:pPr>
                  <w:r>
                    <w:rPr>
                      <w:rFonts w:ascii="Times New Roman" w:hAnsi="Times New Roman" w:eastAsia="宋体" w:cs="Times New Roman"/>
                      <w:color w:val="auto"/>
                      <w:spacing w:val="-2"/>
                      <w:sz w:val="21"/>
                      <w:u w:val="none"/>
                    </w:rPr>
                    <w:t>地质公园</w:t>
                  </w:r>
                </w:p>
              </w:tc>
              <w:tc>
                <w:tcPr>
                  <w:tcW w:w="453" w:type="dxa"/>
                  <w:tcBorders>
                    <w:tl2br w:val="nil"/>
                    <w:tr2bl w:val="nil"/>
                  </w:tcBorders>
                  <w:vAlign w:val="center"/>
                </w:tcPr>
                <w:p w14:paraId="2DB1DCF0">
                  <w:pPr>
                    <w:spacing w:before="24" w:after="24" w:line="240" w:lineRule="auto"/>
                    <w:jc w:val="center"/>
                    <w:rPr>
                      <w:rFonts w:ascii="Times New Roman" w:hAnsi="Times New Roman" w:eastAsia="宋体" w:cs="Times New Roman"/>
                      <w:color w:val="auto"/>
                      <w:spacing w:val="-2"/>
                      <w:sz w:val="21"/>
                      <w:u w:val="none"/>
                    </w:rPr>
                  </w:pPr>
                  <w:r>
                    <w:rPr>
                      <w:rFonts w:ascii="Times New Roman" w:hAnsi="Times New Roman" w:eastAsia="宋体" w:cs="Times New Roman"/>
                      <w:color w:val="auto"/>
                      <w:spacing w:val="-2"/>
                      <w:sz w:val="21"/>
                      <w:u w:val="none"/>
                    </w:rPr>
                    <w:t>无</w:t>
                  </w:r>
                </w:p>
              </w:tc>
              <w:tc>
                <w:tcPr>
                  <w:tcW w:w="2900" w:type="dxa"/>
                  <w:tcBorders>
                    <w:tl2br w:val="nil"/>
                    <w:tr2bl w:val="nil"/>
                  </w:tcBorders>
                  <w:vAlign w:val="center"/>
                </w:tcPr>
                <w:p w14:paraId="661D1BD9">
                  <w:pPr>
                    <w:spacing w:line="240" w:lineRule="auto"/>
                    <w:jc w:val="center"/>
                    <w:rPr>
                      <w:rFonts w:ascii="Times New Roman" w:hAnsi="Times New Roman" w:eastAsia="宋体" w:cs="Times New Roman"/>
                      <w:color w:val="auto"/>
                      <w:spacing w:val="-2"/>
                      <w:sz w:val="21"/>
                      <w:u w:val="none"/>
                    </w:rPr>
                  </w:pPr>
                  <w:r>
                    <w:rPr>
                      <w:rFonts w:ascii="Times New Roman" w:hAnsi="Times New Roman" w:eastAsia="宋体" w:cs="Times New Roman"/>
                      <w:b w:val="0"/>
                      <w:color w:val="auto"/>
                      <w:spacing w:val="-2"/>
                      <w:kern w:val="2"/>
                      <w:sz w:val="21"/>
                      <w:szCs w:val="24"/>
                      <w:u w:val="none"/>
                      <w:lang w:val="en-US" w:eastAsia="zh-CN" w:bidi="ar-SA"/>
                    </w:rPr>
                    <w:t>不涉及</w:t>
                  </w:r>
                </w:p>
              </w:tc>
              <w:tc>
                <w:tcPr>
                  <w:tcW w:w="1643" w:type="dxa"/>
                  <w:vMerge w:val="continue"/>
                  <w:tcBorders>
                    <w:tl2br w:val="nil"/>
                    <w:tr2bl w:val="nil"/>
                  </w:tcBorders>
                  <w:vAlign w:val="center"/>
                </w:tcPr>
                <w:p w14:paraId="5F017CD0">
                  <w:pPr>
                    <w:spacing w:before="24" w:after="24" w:line="240" w:lineRule="auto"/>
                    <w:jc w:val="center"/>
                    <w:rPr>
                      <w:rFonts w:hint="default" w:ascii="Times New Roman" w:hAnsi="Times New Roman" w:eastAsia="宋体" w:cs="Times New Roman"/>
                      <w:color w:val="auto"/>
                      <w:spacing w:val="-2"/>
                      <w:sz w:val="21"/>
                      <w:u w:val="none"/>
                    </w:rPr>
                  </w:pPr>
                </w:p>
              </w:tc>
            </w:tr>
            <w:tr w14:paraId="6D1B1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3" w:type="dxa"/>
                  <w:vMerge w:val="continue"/>
                  <w:tcBorders>
                    <w:tl2br w:val="nil"/>
                    <w:tr2bl w:val="nil"/>
                  </w:tcBorders>
                  <w:vAlign w:val="center"/>
                </w:tcPr>
                <w:p w14:paraId="5EEF1C15">
                  <w:pPr>
                    <w:spacing w:before="24" w:after="24" w:line="240" w:lineRule="auto"/>
                    <w:jc w:val="center"/>
                    <w:rPr>
                      <w:rFonts w:ascii="Times New Roman" w:hAnsi="Times New Roman" w:eastAsia="宋体" w:cs="Times New Roman"/>
                      <w:color w:val="auto"/>
                      <w:spacing w:val="-2"/>
                      <w:sz w:val="21"/>
                      <w:u w:val="none"/>
                    </w:rPr>
                  </w:pPr>
                </w:p>
              </w:tc>
              <w:tc>
                <w:tcPr>
                  <w:tcW w:w="1988" w:type="dxa"/>
                  <w:tcBorders>
                    <w:tl2br w:val="nil"/>
                    <w:tr2bl w:val="nil"/>
                  </w:tcBorders>
                  <w:vAlign w:val="center"/>
                </w:tcPr>
                <w:p w14:paraId="560820B4">
                  <w:pPr>
                    <w:spacing w:before="24" w:after="24" w:line="240" w:lineRule="auto"/>
                    <w:jc w:val="center"/>
                    <w:rPr>
                      <w:rFonts w:ascii="Times New Roman" w:hAnsi="Times New Roman" w:eastAsia="宋体" w:cs="Times New Roman"/>
                      <w:color w:val="auto"/>
                      <w:spacing w:val="-2"/>
                      <w:sz w:val="21"/>
                      <w:u w:val="none"/>
                    </w:rPr>
                  </w:pPr>
                  <w:r>
                    <w:rPr>
                      <w:rFonts w:ascii="Times New Roman" w:hAnsi="Times New Roman" w:eastAsia="宋体" w:cs="Times New Roman"/>
                      <w:color w:val="auto"/>
                      <w:spacing w:val="-2"/>
                      <w:sz w:val="21"/>
                      <w:u w:val="none"/>
                    </w:rPr>
                    <w:t>旅游景区</w:t>
                  </w:r>
                </w:p>
              </w:tc>
              <w:tc>
                <w:tcPr>
                  <w:tcW w:w="453" w:type="dxa"/>
                  <w:tcBorders>
                    <w:tl2br w:val="nil"/>
                    <w:tr2bl w:val="nil"/>
                  </w:tcBorders>
                  <w:vAlign w:val="center"/>
                </w:tcPr>
                <w:p w14:paraId="01964B5B">
                  <w:pPr>
                    <w:spacing w:before="24" w:after="24" w:line="240" w:lineRule="auto"/>
                    <w:jc w:val="center"/>
                    <w:rPr>
                      <w:rFonts w:ascii="Times New Roman" w:hAnsi="Times New Roman" w:eastAsia="宋体" w:cs="Times New Roman"/>
                      <w:color w:val="auto"/>
                      <w:spacing w:val="-2"/>
                      <w:sz w:val="21"/>
                      <w:u w:val="none"/>
                    </w:rPr>
                  </w:pPr>
                  <w:r>
                    <w:rPr>
                      <w:rFonts w:ascii="Times New Roman" w:hAnsi="Times New Roman" w:eastAsia="宋体" w:cs="Times New Roman"/>
                      <w:color w:val="auto"/>
                      <w:spacing w:val="-2"/>
                      <w:sz w:val="21"/>
                      <w:u w:val="none"/>
                    </w:rPr>
                    <w:t>无</w:t>
                  </w:r>
                </w:p>
              </w:tc>
              <w:tc>
                <w:tcPr>
                  <w:tcW w:w="2900" w:type="dxa"/>
                  <w:tcBorders>
                    <w:tl2br w:val="nil"/>
                    <w:tr2bl w:val="nil"/>
                  </w:tcBorders>
                  <w:vAlign w:val="center"/>
                </w:tcPr>
                <w:p w14:paraId="6B323808">
                  <w:pPr>
                    <w:spacing w:before="24" w:after="24" w:line="240" w:lineRule="auto"/>
                    <w:jc w:val="center"/>
                    <w:rPr>
                      <w:rFonts w:ascii="Times New Roman" w:hAnsi="Times New Roman" w:eastAsia="宋体" w:cs="Times New Roman"/>
                      <w:color w:val="auto"/>
                      <w:spacing w:val="-2"/>
                      <w:sz w:val="21"/>
                      <w:u w:val="none"/>
                    </w:rPr>
                  </w:pPr>
                  <w:r>
                    <w:rPr>
                      <w:rFonts w:ascii="Times New Roman" w:hAnsi="Times New Roman" w:eastAsia="宋体" w:cs="Times New Roman"/>
                      <w:color w:val="auto"/>
                      <w:spacing w:val="-2"/>
                      <w:sz w:val="21"/>
                      <w:u w:val="none"/>
                    </w:rPr>
                    <w:t>/</w:t>
                  </w:r>
                </w:p>
              </w:tc>
              <w:tc>
                <w:tcPr>
                  <w:tcW w:w="1643" w:type="dxa"/>
                  <w:vMerge w:val="continue"/>
                  <w:tcBorders>
                    <w:tl2br w:val="nil"/>
                    <w:tr2bl w:val="nil"/>
                  </w:tcBorders>
                  <w:vAlign w:val="center"/>
                </w:tcPr>
                <w:p w14:paraId="30EC4B74">
                  <w:pPr>
                    <w:spacing w:before="24" w:after="24" w:line="240" w:lineRule="auto"/>
                    <w:jc w:val="center"/>
                    <w:rPr>
                      <w:rFonts w:hint="default" w:ascii="Times New Roman" w:hAnsi="Times New Roman" w:eastAsia="宋体" w:cs="Times New Roman"/>
                      <w:color w:val="auto"/>
                      <w:spacing w:val="-2"/>
                      <w:sz w:val="21"/>
                      <w:u w:val="none"/>
                    </w:rPr>
                  </w:pPr>
                </w:p>
              </w:tc>
            </w:tr>
            <w:tr w14:paraId="50D08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3" w:type="dxa"/>
                  <w:vMerge w:val="continue"/>
                  <w:tcBorders>
                    <w:tl2br w:val="nil"/>
                    <w:tr2bl w:val="nil"/>
                  </w:tcBorders>
                  <w:vAlign w:val="center"/>
                </w:tcPr>
                <w:p w14:paraId="6D935017">
                  <w:pPr>
                    <w:spacing w:before="24" w:after="24" w:line="240" w:lineRule="auto"/>
                    <w:jc w:val="center"/>
                    <w:rPr>
                      <w:rFonts w:ascii="Times New Roman" w:hAnsi="Times New Roman" w:eastAsia="宋体" w:cs="Times New Roman"/>
                      <w:color w:val="auto"/>
                      <w:spacing w:val="-2"/>
                      <w:sz w:val="21"/>
                      <w:u w:val="none"/>
                    </w:rPr>
                  </w:pPr>
                </w:p>
              </w:tc>
              <w:tc>
                <w:tcPr>
                  <w:tcW w:w="1988" w:type="dxa"/>
                  <w:tcBorders>
                    <w:tl2br w:val="nil"/>
                    <w:tr2bl w:val="nil"/>
                  </w:tcBorders>
                  <w:vAlign w:val="center"/>
                </w:tcPr>
                <w:p w14:paraId="574B6F99">
                  <w:pPr>
                    <w:spacing w:before="24" w:after="24" w:line="240" w:lineRule="auto"/>
                    <w:jc w:val="center"/>
                    <w:rPr>
                      <w:rFonts w:ascii="Times New Roman" w:hAnsi="Times New Roman" w:eastAsia="宋体" w:cs="Times New Roman"/>
                      <w:color w:val="auto"/>
                      <w:spacing w:val="-2"/>
                      <w:sz w:val="21"/>
                      <w:u w:val="none"/>
                    </w:rPr>
                  </w:pPr>
                  <w:r>
                    <w:rPr>
                      <w:rFonts w:ascii="Times New Roman" w:hAnsi="Times New Roman" w:eastAsia="宋体" w:cs="Times New Roman"/>
                      <w:color w:val="auto"/>
                      <w:spacing w:val="-2"/>
                      <w:sz w:val="21"/>
                      <w:u w:val="none"/>
                    </w:rPr>
                    <w:t>鸟类主要迁徙通道</w:t>
                  </w:r>
                </w:p>
              </w:tc>
              <w:tc>
                <w:tcPr>
                  <w:tcW w:w="453" w:type="dxa"/>
                  <w:tcBorders>
                    <w:tl2br w:val="nil"/>
                    <w:tr2bl w:val="nil"/>
                  </w:tcBorders>
                  <w:vAlign w:val="center"/>
                </w:tcPr>
                <w:p w14:paraId="164793BE">
                  <w:pPr>
                    <w:spacing w:before="24" w:after="24" w:line="240" w:lineRule="auto"/>
                    <w:jc w:val="center"/>
                    <w:rPr>
                      <w:rFonts w:ascii="Times New Roman" w:hAnsi="Times New Roman" w:eastAsia="宋体" w:cs="Times New Roman"/>
                      <w:color w:val="auto"/>
                      <w:spacing w:val="-2"/>
                      <w:sz w:val="21"/>
                      <w:u w:val="none"/>
                    </w:rPr>
                  </w:pPr>
                  <w:r>
                    <w:rPr>
                      <w:rFonts w:ascii="Times New Roman" w:hAnsi="Times New Roman" w:eastAsia="宋体" w:cs="Times New Roman"/>
                      <w:color w:val="auto"/>
                      <w:spacing w:val="-2"/>
                      <w:sz w:val="21"/>
                      <w:u w:val="none"/>
                    </w:rPr>
                    <w:t>/</w:t>
                  </w:r>
                </w:p>
              </w:tc>
              <w:tc>
                <w:tcPr>
                  <w:tcW w:w="2900" w:type="dxa"/>
                  <w:tcBorders>
                    <w:bottom w:val="single" w:color="000000" w:sz="4" w:space="0"/>
                    <w:tl2br w:val="nil"/>
                    <w:tr2bl w:val="nil"/>
                  </w:tcBorders>
                  <w:vAlign w:val="center"/>
                </w:tcPr>
                <w:p w14:paraId="67793B28">
                  <w:pPr>
                    <w:spacing w:before="24" w:after="24" w:line="240" w:lineRule="auto"/>
                    <w:jc w:val="center"/>
                    <w:rPr>
                      <w:rFonts w:ascii="Times New Roman" w:hAnsi="Times New Roman" w:eastAsia="宋体" w:cs="Times New Roman"/>
                      <w:color w:val="auto"/>
                      <w:spacing w:val="-2"/>
                      <w:sz w:val="21"/>
                      <w:u w:val="none"/>
                    </w:rPr>
                  </w:pPr>
                  <w:r>
                    <w:rPr>
                      <w:rFonts w:ascii="Times New Roman" w:hAnsi="Times New Roman" w:eastAsia="宋体" w:cs="Times New Roman"/>
                      <w:color w:val="auto"/>
                      <w:spacing w:val="-2"/>
                      <w:sz w:val="21"/>
                      <w:u w:val="none"/>
                    </w:rPr>
                    <w:t>不涉及</w:t>
                  </w:r>
                </w:p>
              </w:tc>
              <w:tc>
                <w:tcPr>
                  <w:tcW w:w="1643" w:type="dxa"/>
                  <w:vMerge w:val="continue"/>
                  <w:tcBorders>
                    <w:bottom w:val="single" w:color="000000" w:sz="4" w:space="0"/>
                    <w:tl2br w:val="nil"/>
                    <w:tr2bl w:val="nil"/>
                  </w:tcBorders>
                  <w:vAlign w:val="center"/>
                </w:tcPr>
                <w:p w14:paraId="368F374B">
                  <w:pPr>
                    <w:spacing w:before="24" w:after="24" w:line="240" w:lineRule="auto"/>
                    <w:jc w:val="center"/>
                    <w:rPr>
                      <w:rFonts w:hint="default" w:ascii="Times New Roman" w:hAnsi="Times New Roman" w:eastAsia="宋体" w:cs="Times New Roman"/>
                      <w:color w:val="auto"/>
                      <w:spacing w:val="-2"/>
                      <w:sz w:val="21"/>
                      <w:u w:val="none"/>
                    </w:rPr>
                  </w:pPr>
                </w:p>
              </w:tc>
            </w:tr>
            <w:tr w14:paraId="0D108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3" w:type="dxa"/>
                  <w:vMerge w:val="continue"/>
                  <w:tcBorders>
                    <w:tl2br w:val="nil"/>
                    <w:tr2bl w:val="nil"/>
                  </w:tcBorders>
                  <w:vAlign w:val="center"/>
                </w:tcPr>
                <w:p w14:paraId="38348CC7">
                  <w:pPr>
                    <w:spacing w:before="24" w:after="24" w:line="240" w:lineRule="auto"/>
                    <w:jc w:val="center"/>
                    <w:rPr>
                      <w:rFonts w:ascii="Times New Roman" w:hAnsi="Times New Roman" w:eastAsia="宋体" w:cs="Times New Roman"/>
                      <w:color w:val="auto"/>
                      <w:spacing w:val="-2"/>
                      <w:sz w:val="21"/>
                      <w:u w:val="none"/>
                    </w:rPr>
                  </w:pPr>
                </w:p>
              </w:tc>
              <w:tc>
                <w:tcPr>
                  <w:tcW w:w="1988" w:type="dxa"/>
                  <w:tcBorders>
                    <w:tl2br w:val="nil"/>
                    <w:tr2bl w:val="nil"/>
                  </w:tcBorders>
                  <w:vAlign w:val="center"/>
                </w:tcPr>
                <w:p w14:paraId="575DD100">
                  <w:pPr>
                    <w:spacing w:before="24" w:after="24" w:line="240" w:lineRule="auto"/>
                    <w:jc w:val="center"/>
                    <w:rPr>
                      <w:rFonts w:ascii="Times New Roman" w:hAnsi="Times New Roman" w:eastAsia="宋体" w:cs="Times New Roman"/>
                      <w:color w:val="auto"/>
                      <w:spacing w:val="-2"/>
                      <w:sz w:val="21"/>
                      <w:u w:val="none"/>
                    </w:rPr>
                  </w:pPr>
                  <w:r>
                    <w:rPr>
                      <w:rFonts w:ascii="Times New Roman" w:hAnsi="Times New Roman" w:eastAsia="宋体" w:cs="Times New Roman"/>
                      <w:color w:val="auto"/>
                      <w:spacing w:val="-2"/>
                      <w:sz w:val="21"/>
                      <w:u w:val="none"/>
                    </w:rPr>
                    <w:t>天然林和单位面积蓄积量高的林地</w:t>
                  </w:r>
                </w:p>
              </w:tc>
              <w:tc>
                <w:tcPr>
                  <w:tcW w:w="453" w:type="dxa"/>
                  <w:tcBorders>
                    <w:tl2br w:val="nil"/>
                    <w:tr2bl w:val="nil"/>
                  </w:tcBorders>
                  <w:vAlign w:val="center"/>
                </w:tcPr>
                <w:p w14:paraId="1C743D14">
                  <w:pPr>
                    <w:spacing w:before="24" w:after="24" w:line="240" w:lineRule="auto"/>
                    <w:jc w:val="center"/>
                    <w:rPr>
                      <w:rFonts w:ascii="Times New Roman" w:hAnsi="Times New Roman" w:eastAsia="宋体" w:cs="Times New Roman"/>
                      <w:color w:val="auto"/>
                      <w:spacing w:val="-2"/>
                      <w:sz w:val="21"/>
                      <w:u w:val="none"/>
                    </w:rPr>
                  </w:pPr>
                  <w:r>
                    <w:rPr>
                      <w:rFonts w:ascii="Times New Roman" w:hAnsi="Times New Roman" w:eastAsia="宋体" w:cs="Times New Roman"/>
                      <w:color w:val="auto"/>
                      <w:spacing w:val="-2"/>
                      <w:sz w:val="21"/>
                      <w:u w:val="none"/>
                    </w:rPr>
                    <w:t>/</w:t>
                  </w:r>
                </w:p>
              </w:tc>
              <w:tc>
                <w:tcPr>
                  <w:tcW w:w="2900" w:type="dxa"/>
                  <w:tcBorders>
                    <w:top w:val="single" w:color="000000" w:sz="4" w:space="0"/>
                    <w:tl2br w:val="nil"/>
                    <w:tr2bl w:val="nil"/>
                  </w:tcBorders>
                  <w:vAlign w:val="center"/>
                </w:tcPr>
                <w:p w14:paraId="234D167A">
                  <w:pPr>
                    <w:spacing w:before="24" w:after="24" w:line="240" w:lineRule="auto"/>
                    <w:jc w:val="center"/>
                    <w:rPr>
                      <w:rFonts w:ascii="Times New Roman" w:hAnsi="Times New Roman" w:eastAsia="宋体" w:cs="Times New Roman"/>
                      <w:color w:val="auto"/>
                      <w:spacing w:val="-2"/>
                      <w:sz w:val="21"/>
                      <w:u w:val="none"/>
                    </w:rPr>
                  </w:pPr>
                  <w:r>
                    <w:rPr>
                      <w:rFonts w:ascii="Times New Roman" w:hAnsi="Times New Roman" w:eastAsia="宋体" w:cs="Times New Roman"/>
                      <w:color w:val="auto"/>
                      <w:spacing w:val="-2"/>
                      <w:sz w:val="21"/>
                      <w:u w:val="none"/>
                    </w:rPr>
                    <w:t>经调查不涉及</w:t>
                  </w:r>
                </w:p>
              </w:tc>
              <w:tc>
                <w:tcPr>
                  <w:tcW w:w="1643" w:type="dxa"/>
                  <w:tcBorders>
                    <w:top w:val="single" w:color="000000" w:sz="4" w:space="0"/>
                    <w:tl2br w:val="nil"/>
                    <w:tr2bl w:val="nil"/>
                  </w:tcBorders>
                  <w:vAlign w:val="center"/>
                </w:tcPr>
                <w:p w14:paraId="167A96E5">
                  <w:pPr>
                    <w:spacing w:before="24" w:after="24" w:line="240" w:lineRule="auto"/>
                    <w:jc w:val="center"/>
                    <w:rPr>
                      <w:rFonts w:hint="default" w:ascii="Times New Roman" w:hAnsi="Times New Roman" w:eastAsia="宋体" w:cs="Times New Roman"/>
                      <w:color w:val="auto"/>
                      <w:spacing w:val="-2"/>
                      <w:sz w:val="21"/>
                      <w:u w:val="none"/>
                    </w:rPr>
                  </w:pPr>
                  <w:r>
                    <w:rPr>
                      <w:rFonts w:hint="default" w:ascii="Times New Roman" w:hAnsi="Times New Roman" w:eastAsia="宋体" w:cs="Times New Roman"/>
                      <w:color w:val="auto"/>
                      <w:spacing w:val="-2"/>
                      <w:sz w:val="21"/>
                      <w:u w:val="none"/>
                    </w:rPr>
                    <w:t>生态调查、林业局选址意见（附件</w:t>
                  </w:r>
                  <w:r>
                    <w:rPr>
                      <w:rFonts w:hint="default" w:ascii="Times New Roman" w:hAnsi="Times New Roman" w:eastAsia="宋体" w:cs="Times New Roman"/>
                      <w:color w:val="auto"/>
                      <w:spacing w:val="-2"/>
                      <w:sz w:val="21"/>
                      <w:u w:val="none"/>
                      <w:lang w:val="en-US" w:eastAsia="zh-CN"/>
                    </w:rPr>
                    <w:t>7</w:t>
                  </w:r>
                  <w:r>
                    <w:rPr>
                      <w:rFonts w:hint="default" w:ascii="Times New Roman" w:hAnsi="Times New Roman" w:eastAsia="宋体" w:cs="Times New Roman"/>
                      <w:color w:val="auto"/>
                      <w:spacing w:val="-2"/>
                      <w:sz w:val="21"/>
                      <w:u w:val="none"/>
                    </w:rPr>
                    <w:t>）</w:t>
                  </w:r>
                </w:p>
              </w:tc>
            </w:tr>
            <w:tr w14:paraId="14D76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3" w:type="dxa"/>
                  <w:vMerge w:val="continue"/>
                  <w:tcBorders>
                    <w:tl2br w:val="nil"/>
                    <w:tr2bl w:val="nil"/>
                  </w:tcBorders>
                  <w:vAlign w:val="center"/>
                </w:tcPr>
                <w:p w14:paraId="0A66DF98">
                  <w:pPr>
                    <w:spacing w:before="24" w:after="24" w:line="240" w:lineRule="auto"/>
                    <w:jc w:val="center"/>
                    <w:rPr>
                      <w:rFonts w:ascii="Times New Roman" w:hAnsi="Times New Roman" w:eastAsia="宋体" w:cs="Times New Roman"/>
                      <w:color w:val="auto"/>
                      <w:spacing w:val="-2"/>
                      <w:sz w:val="21"/>
                      <w:u w:val="none"/>
                    </w:rPr>
                  </w:pPr>
                </w:p>
              </w:tc>
              <w:tc>
                <w:tcPr>
                  <w:tcW w:w="1988" w:type="dxa"/>
                  <w:tcBorders>
                    <w:tl2br w:val="nil"/>
                    <w:tr2bl w:val="nil"/>
                  </w:tcBorders>
                  <w:vAlign w:val="center"/>
                </w:tcPr>
                <w:p w14:paraId="7E4A26C2">
                  <w:pPr>
                    <w:spacing w:before="24" w:after="24" w:line="240" w:lineRule="auto"/>
                    <w:jc w:val="center"/>
                    <w:rPr>
                      <w:rFonts w:ascii="Times New Roman" w:hAnsi="Times New Roman" w:eastAsia="宋体" w:cs="Times New Roman"/>
                      <w:color w:val="auto"/>
                      <w:spacing w:val="-2"/>
                      <w:sz w:val="21"/>
                      <w:u w:val="none"/>
                    </w:rPr>
                  </w:pPr>
                  <w:r>
                    <w:rPr>
                      <w:rFonts w:ascii="Times New Roman" w:hAnsi="Times New Roman" w:eastAsia="宋体" w:cs="Times New Roman"/>
                      <w:color w:val="auto"/>
                      <w:spacing w:val="-2"/>
                      <w:sz w:val="21"/>
                      <w:u w:val="none"/>
                    </w:rPr>
                    <w:t>基岩风化严重或生态脆弱、毁损后难以恢复的区域</w:t>
                  </w:r>
                </w:p>
              </w:tc>
              <w:tc>
                <w:tcPr>
                  <w:tcW w:w="453" w:type="dxa"/>
                  <w:tcBorders>
                    <w:tl2br w:val="nil"/>
                    <w:tr2bl w:val="nil"/>
                  </w:tcBorders>
                  <w:vAlign w:val="center"/>
                </w:tcPr>
                <w:p w14:paraId="231C5EF9">
                  <w:pPr>
                    <w:spacing w:before="24" w:after="24" w:line="240" w:lineRule="auto"/>
                    <w:jc w:val="center"/>
                    <w:rPr>
                      <w:rFonts w:ascii="Times New Roman" w:hAnsi="Times New Roman" w:eastAsia="宋体" w:cs="Times New Roman"/>
                      <w:color w:val="auto"/>
                      <w:spacing w:val="-2"/>
                      <w:sz w:val="21"/>
                      <w:u w:val="none"/>
                    </w:rPr>
                  </w:pPr>
                  <w:r>
                    <w:rPr>
                      <w:rFonts w:ascii="Times New Roman" w:hAnsi="Times New Roman" w:eastAsia="宋体" w:cs="Times New Roman"/>
                      <w:color w:val="auto"/>
                      <w:spacing w:val="-2"/>
                      <w:sz w:val="21"/>
                      <w:u w:val="none"/>
                    </w:rPr>
                    <w:t>/</w:t>
                  </w:r>
                </w:p>
              </w:tc>
              <w:tc>
                <w:tcPr>
                  <w:tcW w:w="2900" w:type="dxa"/>
                  <w:tcBorders>
                    <w:tl2br w:val="nil"/>
                    <w:tr2bl w:val="nil"/>
                  </w:tcBorders>
                  <w:vAlign w:val="center"/>
                </w:tcPr>
                <w:p w14:paraId="62232F10">
                  <w:pPr>
                    <w:spacing w:before="24" w:after="24" w:line="240" w:lineRule="auto"/>
                    <w:jc w:val="center"/>
                    <w:rPr>
                      <w:rFonts w:ascii="Times New Roman" w:hAnsi="Times New Roman" w:eastAsia="宋体" w:cs="Times New Roman"/>
                      <w:color w:val="auto"/>
                      <w:spacing w:val="-2"/>
                      <w:sz w:val="21"/>
                      <w:u w:val="none"/>
                    </w:rPr>
                  </w:pPr>
                  <w:r>
                    <w:rPr>
                      <w:rFonts w:ascii="Times New Roman" w:hAnsi="Times New Roman" w:eastAsia="宋体" w:cs="Times New Roman"/>
                      <w:color w:val="auto"/>
                      <w:spacing w:val="-2"/>
                      <w:sz w:val="21"/>
                      <w:u w:val="none"/>
                    </w:rPr>
                    <w:t>本项目所在区域生态系统抵抗力稳定性较强。本项目所在区域植被易恢复。</w:t>
                  </w:r>
                </w:p>
              </w:tc>
              <w:tc>
                <w:tcPr>
                  <w:tcW w:w="1643" w:type="dxa"/>
                  <w:tcBorders>
                    <w:tl2br w:val="nil"/>
                    <w:tr2bl w:val="nil"/>
                  </w:tcBorders>
                  <w:vAlign w:val="center"/>
                </w:tcPr>
                <w:p w14:paraId="00CCEF07">
                  <w:pPr>
                    <w:spacing w:before="24" w:after="24" w:line="240" w:lineRule="auto"/>
                    <w:jc w:val="center"/>
                    <w:rPr>
                      <w:rFonts w:ascii="Times New Roman" w:hAnsi="Times New Roman" w:eastAsia="宋体" w:cs="Times New Roman"/>
                      <w:color w:val="auto"/>
                      <w:spacing w:val="-2"/>
                      <w:sz w:val="21"/>
                      <w:u w:val="none"/>
                    </w:rPr>
                  </w:pPr>
                  <w:r>
                    <w:rPr>
                      <w:rFonts w:hint="default" w:ascii="Times New Roman" w:hAnsi="Times New Roman" w:eastAsia="宋体" w:cs="Times New Roman"/>
                      <w:color w:val="auto"/>
                      <w:spacing w:val="-2"/>
                      <w:sz w:val="21"/>
                      <w:u w:val="none"/>
                    </w:rPr>
                    <w:t>可研报告</w:t>
                  </w:r>
                  <w:r>
                    <w:rPr>
                      <w:rFonts w:ascii="Times New Roman" w:hAnsi="Times New Roman" w:eastAsia="宋体" w:cs="Times New Roman"/>
                      <w:color w:val="auto"/>
                      <w:spacing w:val="-2"/>
                      <w:sz w:val="21"/>
                      <w:u w:val="none"/>
                    </w:rPr>
                    <w:t>，湖南省生态脆弱性总体评价图</w:t>
                  </w:r>
                </w:p>
              </w:tc>
            </w:tr>
            <w:bookmarkEnd w:id="15"/>
          </w:tbl>
          <w:p w14:paraId="0068D964">
            <w:pPr>
              <w:spacing w:before="120" w:beforeLines="50"/>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 xml:space="preserve">1.1.5 </w:t>
            </w:r>
            <w:bookmarkStart w:id="16" w:name="_Toc22535"/>
            <w:r>
              <w:rPr>
                <w:color w:val="000000" w:themeColor="text1"/>
                <w14:textFill>
                  <w14:solidFill>
                    <w14:schemeClr w14:val="tx1"/>
                  </w14:solidFill>
                </w14:textFill>
              </w:rPr>
              <w:t>与生态保护红线要求符合性分析</w:t>
            </w:r>
            <w:bookmarkEnd w:id="16"/>
          </w:p>
          <w:p w14:paraId="6CC23F13">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本项目选址不属于</w:t>
            </w:r>
            <w:r>
              <w:rPr>
                <w:rFonts w:hint="eastAsia"/>
                <w:color w:val="000000" w:themeColor="text1"/>
                <w:lang w:eastAsia="zh-CN"/>
                <w14:textFill>
                  <w14:solidFill>
                    <w14:schemeClr w14:val="tx1"/>
                  </w14:solidFill>
                </w14:textFill>
              </w:rPr>
              <w:t>怀化市通道县</w:t>
            </w:r>
            <w:r>
              <w:rPr>
                <w:color w:val="000000" w:themeColor="text1"/>
                <w14:textFill>
                  <w14:solidFill>
                    <w14:schemeClr w14:val="tx1"/>
                  </w14:solidFill>
                </w14:textFill>
              </w:rPr>
              <w:t>生态保护红线范围内，不存在明显的环境制约因素。本项目建设与生态红线保护要求相符。</w:t>
            </w:r>
          </w:p>
          <w:p w14:paraId="1AC9C0FC">
            <w:pPr>
              <w:ind w:firstLine="480" w:firstLineChars="200"/>
              <w:rPr>
                <w:color w:val="auto"/>
              </w:rPr>
            </w:pPr>
            <w:r>
              <w:rPr>
                <w:color w:val="auto"/>
              </w:rPr>
              <w:t xml:space="preserve">1.1.6 </w:t>
            </w:r>
            <w:bookmarkStart w:id="17" w:name="_Toc26182"/>
            <w:r>
              <w:rPr>
                <w:color w:val="auto"/>
              </w:rPr>
              <w:t>与国家林业和草原局关于规范风电场项目建设使用林地的通知（林资发[2019]17号）的符合性分析</w:t>
            </w:r>
            <w:bookmarkEnd w:id="17"/>
          </w:p>
          <w:p w14:paraId="3203D8CF">
            <w:pPr>
              <w:ind w:firstLine="480" w:firstLineChars="200"/>
              <w:rPr>
                <w:color w:val="auto"/>
              </w:rPr>
            </w:pPr>
            <w:r>
              <w:rPr>
                <w:color w:val="auto"/>
              </w:rPr>
              <w:t>根据《国家林业和草原局关于规范风电场项目建设使用林地的通知》（林资发[2019]17号）（2019年2月26日）：</w:t>
            </w:r>
            <w:r>
              <w:rPr>
                <w:rFonts w:hint="eastAsia"/>
                <w:color w:val="auto"/>
                <w:lang w:eastAsia="zh-CN"/>
              </w:rPr>
              <w:t>“</w:t>
            </w:r>
            <w:r>
              <w:rPr>
                <w:color w:val="auto"/>
              </w:rPr>
              <w:t>二、风电场建设使用林地禁建区域：严格保护生态功能重要、生态脆弱敏感区域的林地。自然遗产地、国家公园、自然保护区、森林公园、湿地公园、地质公园、风景名胜区、鸟类主要迁徙通道和迁徙地等区域以及沿海基干林带和消浪林带，为风电场项目禁止建设区域。三、风电场建设使用林地限制范围：风机基础、施工和检修道路、升压站、集电线路等，禁止占用天然乔木林（竹林）地、年降雨量400毫米以下区域的有林地、一级国家级公益林地和二级国家级公益林中的有林地。本通知下发之前已经核准但未取得使用林地手续的风电场项目，要重新合理优化选址和建设方案，加强生态影响分析和评估，不得占用年降雨量400毫米以下区域的有林地和一级国家级公益林地，避让二级国家级公益林中有林地集中区域</w:t>
            </w:r>
            <w:r>
              <w:rPr>
                <w:rFonts w:hint="eastAsia"/>
                <w:color w:val="auto"/>
                <w:lang w:eastAsia="zh-CN"/>
              </w:rPr>
              <w:t>”。</w:t>
            </w:r>
          </w:p>
          <w:p w14:paraId="45913C5A">
            <w:pPr>
              <w:ind w:firstLine="480" w:firstLineChars="200"/>
              <w:rPr>
                <w:rFonts w:hint="default"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根据</w:t>
            </w:r>
            <w:r>
              <w:rPr>
                <w:color w:val="000000" w:themeColor="text1"/>
                <w14:textFill>
                  <w14:solidFill>
                    <w14:schemeClr w14:val="tx1"/>
                  </w14:solidFill>
                </w14:textFill>
              </w:rPr>
              <w:t>本项目于202</w:t>
            </w:r>
            <w:r>
              <w:rPr>
                <w:rFonts w:hint="eastAsia"/>
                <w:color w:val="000000" w:themeColor="text1"/>
                <w:lang w:val="en-US" w:eastAsia="zh-CN"/>
                <w14:textFill>
                  <w14:solidFill>
                    <w14:schemeClr w14:val="tx1"/>
                  </w14:solidFill>
                </w14:textFill>
              </w:rPr>
              <w:t>2</w:t>
            </w:r>
            <w:r>
              <w:rPr>
                <w:color w:val="000000" w:themeColor="text1"/>
                <w14:textFill>
                  <w14:solidFill>
                    <w14:schemeClr w14:val="tx1"/>
                  </w14:solidFill>
                </w14:textFill>
              </w:rPr>
              <w:t>年</w:t>
            </w:r>
            <w:r>
              <w:rPr>
                <w:rFonts w:hint="eastAsia"/>
                <w:color w:val="000000" w:themeColor="text1"/>
                <w:lang w:val="en-US" w:eastAsia="zh-CN"/>
                <w14:textFill>
                  <w14:solidFill>
                    <w14:schemeClr w14:val="tx1"/>
                  </w14:solidFill>
                </w14:textFill>
              </w:rPr>
              <w:t>11</w:t>
            </w:r>
            <w:r>
              <w:rPr>
                <w:color w:val="000000" w:themeColor="text1"/>
                <w14:textFill>
                  <w14:solidFill>
                    <w14:schemeClr w14:val="tx1"/>
                  </w14:solidFill>
                </w14:textFill>
              </w:rPr>
              <w:t>月</w:t>
            </w:r>
            <w:r>
              <w:rPr>
                <w:rFonts w:hint="eastAsia"/>
                <w:color w:val="000000" w:themeColor="text1"/>
                <w:lang w:val="en-US" w:eastAsia="zh-CN"/>
                <w14:textFill>
                  <w14:solidFill>
                    <w14:schemeClr w14:val="tx1"/>
                  </w14:solidFill>
                </w14:textFill>
              </w:rPr>
              <w:t>24</w:t>
            </w:r>
            <w:r>
              <w:rPr>
                <w:color w:val="000000" w:themeColor="text1"/>
                <w14:textFill>
                  <w14:solidFill>
                    <w14:schemeClr w14:val="tx1"/>
                  </w14:solidFill>
                </w14:textFill>
              </w:rPr>
              <w:t>日取得</w:t>
            </w:r>
            <w:r>
              <w:rPr>
                <w:rFonts w:hint="eastAsia"/>
                <w:color w:val="000000" w:themeColor="text1"/>
                <w:lang w:val="en-US" w:eastAsia="zh-CN"/>
                <w14:textFill>
                  <w14:solidFill>
                    <w14:schemeClr w14:val="tx1"/>
                  </w14:solidFill>
                </w14:textFill>
              </w:rPr>
              <w:t>通道县</w:t>
            </w:r>
            <w:r>
              <w:rPr>
                <w:rFonts w:hint="eastAsia"/>
                <w:color w:val="000000" w:themeColor="text1"/>
                <w14:textFill>
                  <w14:solidFill>
                    <w14:schemeClr w14:val="tx1"/>
                  </w14:solidFill>
                </w14:textFill>
              </w:rPr>
              <w:t>林业局</w:t>
            </w:r>
            <w:r>
              <w:rPr>
                <w:color w:val="000000" w:themeColor="text1"/>
                <w14:textFill>
                  <w14:solidFill>
                    <w14:schemeClr w14:val="tx1"/>
                  </w14:solidFill>
                </w14:textFill>
              </w:rPr>
              <w:t>文件，</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该项目选址位于湖南省怀化市通道侗族自治县牙屯堡、坪坦乡、双江镇一带山脉，拟建风机平台和升压站选址使用林地范围不涉及国家一级公益林、国家二级公益林的有林地、天然乔木林(竹林)地、自然保护地、鸟类迁徙通道以及国家森林公园等生态敏感区限制风电开发的因素，基本符合《国家林业和草原局关于规范风电场项目建设使用林地的通知》(林资发[2019]17号)文件有关规定。风电场道路设计须避让上述生态敏感区域。原则同意湖南华电怀通新能源有限公司湖南华电怀化通道太平山风电场项目，你公司在通过相关部门批准立项后，对拟选址地进行建设前，必须依法到林业部门申报办理使用林地及林木采伐审核审</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w:t>
            </w:r>
          </w:p>
          <w:p w14:paraId="4B351B90">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本项目与《国家林业和草原局关于规范风电场项目建设使用林地的通知》（林资发[2019]17号）相符性分析见下表。</w:t>
            </w:r>
          </w:p>
          <w:p w14:paraId="1687A599">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表1</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-2  本项目与国家林业和草原局关于规范风电场项目建设使用林地的通知（林资发[2019]17号）相符性分析一览表</w:t>
            </w:r>
          </w:p>
          <w:tbl>
            <w:tblPr>
              <w:tblStyle w:val="26"/>
              <w:tblW w:w="78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99"/>
              <w:gridCol w:w="2375"/>
              <w:gridCol w:w="595"/>
              <w:gridCol w:w="1897"/>
              <w:gridCol w:w="2242"/>
            </w:tblGrid>
            <w:tr w14:paraId="53B9B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99" w:type="dxa"/>
                  <w:tcBorders>
                    <w:tl2br w:val="nil"/>
                    <w:tr2bl w:val="nil"/>
                  </w:tcBorders>
                  <w:tcMar>
                    <w:top w:w="15" w:type="dxa"/>
                    <w:left w:w="7" w:type="dxa"/>
                    <w:bottom w:w="0" w:type="dxa"/>
                    <w:right w:w="7" w:type="dxa"/>
                  </w:tcMar>
                  <w:vAlign w:val="center"/>
                </w:tcPr>
                <w:p w14:paraId="62190D34">
                  <w:pPr>
                    <w:spacing w:before="24" w:after="24" w:line="240" w:lineRule="auto"/>
                    <w:jc w:val="center"/>
                    <w:rPr>
                      <w:rFonts w:ascii="Times New Roman" w:hAnsi="Times New Roman" w:eastAsia="宋体" w:cs="Times New Roman"/>
                      <w:b w:val="0"/>
                      <w:bCs w:val="0"/>
                      <w:color w:val="auto"/>
                      <w:spacing w:val="-2"/>
                      <w:sz w:val="21"/>
                      <w:u w:val="none"/>
                    </w:rPr>
                  </w:pPr>
                  <w:r>
                    <w:rPr>
                      <w:rFonts w:ascii="Times New Roman" w:hAnsi="Times New Roman" w:eastAsia="宋体" w:cs="Times New Roman"/>
                      <w:b w:val="0"/>
                      <w:bCs w:val="0"/>
                      <w:color w:val="auto"/>
                      <w:spacing w:val="-2"/>
                      <w:sz w:val="21"/>
                      <w:u w:val="none"/>
                    </w:rPr>
                    <w:t>管理要求</w:t>
                  </w:r>
                </w:p>
              </w:tc>
              <w:tc>
                <w:tcPr>
                  <w:tcW w:w="2970" w:type="dxa"/>
                  <w:gridSpan w:val="2"/>
                  <w:tcBorders>
                    <w:tl2br w:val="nil"/>
                    <w:tr2bl w:val="nil"/>
                  </w:tcBorders>
                  <w:tcMar>
                    <w:top w:w="15" w:type="dxa"/>
                    <w:left w:w="7" w:type="dxa"/>
                    <w:bottom w:w="0" w:type="dxa"/>
                    <w:right w:w="7" w:type="dxa"/>
                  </w:tcMar>
                  <w:vAlign w:val="center"/>
                </w:tcPr>
                <w:p w14:paraId="476B1CE3">
                  <w:pPr>
                    <w:spacing w:before="24" w:after="24" w:line="240" w:lineRule="auto"/>
                    <w:jc w:val="center"/>
                    <w:rPr>
                      <w:rFonts w:ascii="Times New Roman" w:hAnsi="Times New Roman" w:eastAsia="宋体" w:cs="Times New Roman"/>
                      <w:b w:val="0"/>
                      <w:bCs w:val="0"/>
                      <w:color w:val="auto"/>
                      <w:spacing w:val="-2"/>
                      <w:sz w:val="21"/>
                      <w:u w:val="none"/>
                    </w:rPr>
                  </w:pPr>
                  <w:r>
                    <w:rPr>
                      <w:rFonts w:ascii="Times New Roman" w:hAnsi="Times New Roman" w:eastAsia="宋体" w:cs="Times New Roman"/>
                      <w:b w:val="0"/>
                      <w:bCs w:val="0"/>
                      <w:color w:val="auto"/>
                      <w:spacing w:val="-2"/>
                      <w:sz w:val="21"/>
                      <w:u w:val="none"/>
                    </w:rPr>
                    <w:t>类别</w:t>
                  </w:r>
                </w:p>
              </w:tc>
              <w:tc>
                <w:tcPr>
                  <w:tcW w:w="1897" w:type="dxa"/>
                  <w:tcBorders>
                    <w:tl2br w:val="nil"/>
                    <w:tr2bl w:val="nil"/>
                  </w:tcBorders>
                  <w:tcMar>
                    <w:top w:w="15" w:type="dxa"/>
                    <w:left w:w="7" w:type="dxa"/>
                    <w:bottom w:w="0" w:type="dxa"/>
                    <w:right w:w="7" w:type="dxa"/>
                  </w:tcMar>
                  <w:vAlign w:val="center"/>
                </w:tcPr>
                <w:p w14:paraId="50C95410">
                  <w:pPr>
                    <w:spacing w:before="24" w:after="24" w:line="240" w:lineRule="auto"/>
                    <w:jc w:val="center"/>
                    <w:rPr>
                      <w:rFonts w:ascii="Times New Roman" w:hAnsi="Times New Roman" w:eastAsia="宋体" w:cs="Times New Roman"/>
                      <w:b w:val="0"/>
                      <w:bCs w:val="0"/>
                      <w:color w:val="auto"/>
                      <w:spacing w:val="-2"/>
                      <w:sz w:val="21"/>
                      <w:u w:val="none"/>
                    </w:rPr>
                  </w:pPr>
                  <w:r>
                    <w:rPr>
                      <w:rFonts w:ascii="Times New Roman" w:hAnsi="Times New Roman" w:eastAsia="宋体" w:cs="Times New Roman"/>
                      <w:b w:val="0"/>
                      <w:bCs w:val="0"/>
                      <w:color w:val="auto"/>
                      <w:spacing w:val="-2"/>
                      <w:sz w:val="21"/>
                      <w:u w:val="none"/>
                    </w:rPr>
                    <w:t>相对位置关系/备注</w:t>
                  </w:r>
                </w:p>
              </w:tc>
              <w:tc>
                <w:tcPr>
                  <w:tcW w:w="2242" w:type="dxa"/>
                  <w:tcBorders>
                    <w:tl2br w:val="nil"/>
                    <w:tr2bl w:val="nil"/>
                  </w:tcBorders>
                  <w:tcMar>
                    <w:top w:w="15" w:type="dxa"/>
                    <w:left w:w="7" w:type="dxa"/>
                    <w:bottom w:w="0" w:type="dxa"/>
                    <w:right w:w="7" w:type="dxa"/>
                  </w:tcMar>
                  <w:vAlign w:val="center"/>
                </w:tcPr>
                <w:p w14:paraId="64BE5635">
                  <w:pPr>
                    <w:spacing w:before="24" w:after="24" w:line="240" w:lineRule="auto"/>
                    <w:jc w:val="center"/>
                    <w:rPr>
                      <w:rFonts w:ascii="Times New Roman" w:hAnsi="Times New Roman" w:eastAsia="宋体" w:cs="Times New Roman"/>
                      <w:b w:val="0"/>
                      <w:bCs w:val="0"/>
                      <w:color w:val="auto"/>
                      <w:spacing w:val="-2"/>
                      <w:sz w:val="21"/>
                      <w:u w:val="none"/>
                    </w:rPr>
                  </w:pPr>
                  <w:r>
                    <w:rPr>
                      <w:rFonts w:ascii="Times New Roman" w:hAnsi="Times New Roman" w:eastAsia="宋体" w:cs="Times New Roman"/>
                      <w:b w:val="0"/>
                      <w:bCs w:val="0"/>
                      <w:color w:val="auto"/>
                      <w:spacing w:val="-2"/>
                      <w:sz w:val="21"/>
                      <w:u w:val="none"/>
                    </w:rPr>
                    <w:t>确认依据</w:t>
                  </w:r>
                </w:p>
              </w:tc>
            </w:tr>
            <w:tr w14:paraId="497D3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99" w:type="dxa"/>
                  <w:vMerge w:val="restart"/>
                  <w:tcBorders>
                    <w:tl2br w:val="nil"/>
                    <w:tr2bl w:val="nil"/>
                  </w:tcBorders>
                  <w:tcMar>
                    <w:top w:w="15" w:type="dxa"/>
                    <w:left w:w="7" w:type="dxa"/>
                    <w:bottom w:w="0" w:type="dxa"/>
                    <w:right w:w="7" w:type="dxa"/>
                  </w:tcMar>
                  <w:vAlign w:val="center"/>
                </w:tcPr>
                <w:p w14:paraId="26234A65">
                  <w:pPr>
                    <w:spacing w:before="24" w:after="24" w:line="240" w:lineRule="auto"/>
                    <w:jc w:val="center"/>
                    <w:rPr>
                      <w:rFonts w:ascii="Times New Roman" w:hAnsi="Times New Roman" w:eastAsia="宋体" w:cs="Times New Roman"/>
                      <w:color w:val="auto"/>
                      <w:spacing w:val="-2"/>
                      <w:sz w:val="21"/>
                      <w:u w:val="none"/>
                    </w:rPr>
                  </w:pPr>
                  <w:r>
                    <w:rPr>
                      <w:rFonts w:ascii="Times New Roman" w:hAnsi="Times New Roman" w:eastAsia="宋体" w:cs="Times New Roman"/>
                      <w:color w:val="auto"/>
                      <w:spacing w:val="-2"/>
                      <w:sz w:val="21"/>
                      <w:u w:val="none"/>
                    </w:rPr>
                    <w:t>禁止建</w:t>
                  </w:r>
                </w:p>
                <w:p w14:paraId="7F767069">
                  <w:pPr>
                    <w:spacing w:before="24" w:after="24" w:line="240" w:lineRule="auto"/>
                    <w:jc w:val="center"/>
                    <w:rPr>
                      <w:rFonts w:ascii="Times New Roman" w:hAnsi="Times New Roman" w:eastAsia="宋体" w:cs="Times New Roman"/>
                      <w:color w:val="auto"/>
                      <w:spacing w:val="-2"/>
                      <w:sz w:val="21"/>
                      <w:u w:val="none"/>
                    </w:rPr>
                  </w:pPr>
                  <w:r>
                    <w:rPr>
                      <w:rFonts w:ascii="Times New Roman" w:hAnsi="Times New Roman" w:eastAsia="宋体" w:cs="Times New Roman"/>
                      <w:color w:val="auto"/>
                      <w:spacing w:val="-2"/>
                      <w:sz w:val="21"/>
                      <w:u w:val="none"/>
                    </w:rPr>
                    <w:t>设区域</w:t>
                  </w:r>
                </w:p>
              </w:tc>
              <w:tc>
                <w:tcPr>
                  <w:tcW w:w="2375" w:type="dxa"/>
                  <w:tcBorders>
                    <w:tl2br w:val="nil"/>
                    <w:tr2bl w:val="nil"/>
                  </w:tcBorders>
                  <w:tcMar>
                    <w:top w:w="15" w:type="dxa"/>
                    <w:left w:w="7" w:type="dxa"/>
                    <w:bottom w:w="0" w:type="dxa"/>
                    <w:right w:w="7" w:type="dxa"/>
                  </w:tcMar>
                  <w:vAlign w:val="center"/>
                </w:tcPr>
                <w:p w14:paraId="7DDA673F">
                  <w:pPr>
                    <w:spacing w:before="24" w:after="24" w:line="240" w:lineRule="auto"/>
                    <w:jc w:val="center"/>
                    <w:rPr>
                      <w:rFonts w:ascii="Times New Roman" w:hAnsi="Times New Roman" w:eastAsia="宋体" w:cs="Times New Roman"/>
                      <w:color w:val="auto"/>
                      <w:spacing w:val="-2"/>
                      <w:sz w:val="21"/>
                      <w:u w:val="none"/>
                    </w:rPr>
                  </w:pPr>
                  <w:r>
                    <w:rPr>
                      <w:rFonts w:ascii="Times New Roman" w:hAnsi="Times New Roman" w:eastAsia="宋体" w:cs="Times New Roman"/>
                      <w:color w:val="auto"/>
                      <w:spacing w:val="-2"/>
                      <w:sz w:val="21"/>
                      <w:u w:val="none"/>
                    </w:rPr>
                    <w:t>自然遗产地</w:t>
                  </w:r>
                </w:p>
              </w:tc>
              <w:tc>
                <w:tcPr>
                  <w:tcW w:w="595" w:type="dxa"/>
                  <w:tcBorders>
                    <w:tl2br w:val="nil"/>
                    <w:tr2bl w:val="nil"/>
                  </w:tcBorders>
                  <w:tcMar>
                    <w:top w:w="15" w:type="dxa"/>
                    <w:left w:w="7" w:type="dxa"/>
                    <w:bottom w:w="0" w:type="dxa"/>
                    <w:right w:w="7" w:type="dxa"/>
                  </w:tcMar>
                  <w:vAlign w:val="center"/>
                </w:tcPr>
                <w:p w14:paraId="27B43E3E">
                  <w:pPr>
                    <w:spacing w:before="24" w:after="24" w:line="240" w:lineRule="auto"/>
                    <w:jc w:val="center"/>
                    <w:rPr>
                      <w:rFonts w:ascii="Times New Roman" w:hAnsi="Times New Roman" w:eastAsia="宋体" w:cs="Times New Roman"/>
                      <w:color w:val="auto"/>
                      <w:spacing w:val="-2"/>
                      <w:sz w:val="21"/>
                      <w:u w:val="none"/>
                    </w:rPr>
                  </w:pPr>
                  <w:r>
                    <w:rPr>
                      <w:rFonts w:ascii="Times New Roman" w:hAnsi="Times New Roman" w:eastAsia="宋体" w:cs="Times New Roman"/>
                      <w:color w:val="auto"/>
                      <w:spacing w:val="-2"/>
                      <w:sz w:val="21"/>
                      <w:u w:val="none"/>
                    </w:rPr>
                    <w:t>无</w:t>
                  </w:r>
                </w:p>
              </w:tc>
              <w:tc>
                <w:tcPr>
                  <w:tcW w:w="1897" w:type="dxa"/>
                  <w:tcBorders>
                    <w:tl2br w:val="nil"/>
                    <w:tr2bl w:val="nil"/>
                  </w:tcBorders>
                  <w:tcMar>
                    <w:top w:w="15" w:type="dxa"/>
                    <w:left w:w="7" w:type="dxa"/>
                    <w:bottom w:w="0" w:type="dxa"/>
                    <w:right w:w="7" w:type="dxa"/>
                  </w:tcMar>
                  <w:vAlign w:val="center"/>
                </w:tcPr>
                <w:p w14:paraId="08F4600B">
                  <w:pPr>
                    <w:spacing w:before="24" w:after="24" w:line="240" w:lineRule="auto"/>
                    <w:jc w:val="center"/>
                    <w:rPr>
                      <w:rFonts w:ascii="Times New Roman" w:hAnsi="Times New Roman" w:eastAsia="宋体" w:cs="Times New Roman"/>
                      <w:color w:val="auto"/>
                      <w:spacing w:val="-2"/>
                      <w:sz w:val="21"/>
                      <w:u w:val="none"/>
                    </w:rPr>
                  </w:pPr>
                  <w:r>
                    <w:rPr>
                      <w:rFonts w:ascii="Times New Roman" w:hAnsi="Times New Roman" w:eastAsia="宋体" w:cs="Times New Roman"/>
                      <w:color w:val="auto"/>
                      <w:spacing w:val="-2"/>
                      <w:sz w:val="21"/>
                      <w:u w:val="none"/>
                    </w:rPr>
                    <w:t>经调查不涉及</w:t>
                  </w:r>
                </w:p>
              </w:tc>
              <w:tc>
                <w:tcPr>
                  <w:tcW w:w="2242" w:type="dxa"/>
                  <w:vMerge w:val="restart"/>
                  <w:tcBorders>
                    <w:tl2br w:val="nil"/>
                    <w:tr2bl w:val="nil"/>
                  </w:tcBorders>
                  <w:tcMar>
                    <w:top w:w="15" w:type="dxa"/>
                    <w:left w:w="7" w:type="dxa"/>
                    <w:bottom w:w="0" w:type="dxa"/>
                    <w:right w:w="7" w:type="dxa"/>
                  </w:tcMar>
                  <w:vAlign w:val="center"/>
                </w:tcPr>
                <w:p w14:paraId="7ADA2BB8">
                  <w:pPr>
                    <w:spacing w:before="24" w:after="24" w:line="240" w:lineRule="auto"/>
                    <w:jc w:val="center"/>
                    <w:rPr>
                      <w:rFonts w:ascii="Times New Roman" w:hAnsi="Times New Roman" w:eastAsia="宋体" w:cs="Times New Roman"/>
                      <w:color w:val="auto"/>
                      <w:spacing w:val="-2"/>
                      <w:sz w:val="21"/>
                      <w:u w:val="none"/>
                    </w:rPr>
                  </w:pPr>
                  <w:r>
                    <w:rPr>
                      <w:rFonts w:ascii="Times New Roman" w:hAnsi="Times New Roman" w:eastAsia="宋体" w:cs="Times New Roman"/>
                      <w:color w:val="auto"/>
                      <w:spacing w:val="-2"/>
                      <w:sz w:val="21"/>
                      <w:u w:val="none"/>
                    </w:rPr>
                    <w:t>《湖南省主体功能区规划》、</w:t>
                  </w:r>
                  <w:r>
                    <w:rPr>
                      <w:rFonts w:hint="default" w:ascii="Times New Roman" w:hAnsi="Times New Roman" w:eastAsia="宋体" w:cs="Times New Roman"/>
                      <w:color w:val="auto"/>
                      <w:spacing w:val="-2"/>
                      <w:sz w:val="21"/>
                      <w:u w:val="none"/>
                      <w:lang w:eastAsia="zh-CN"/>
                    </w:rPr>
                    <w:t>通道县</w:t>
                  </w:r>
                  <w:r>
                    <w:rPr>
                      <w:rFonts w:hint="default" w:ascii="Times New Roman" w:hAnsi="Times New Roman" w:eastAsia="宋体" w:cs="Times New Roman"/>
                      <w:color w:val="auto"/>
                      <w:spacing w:val="-2"/>
                      <w:sz w:val="21"/>
                      <w:u w:val="none"/>
                    </w:rPr>
                    <w:t>林业局</w:t>
                  </w:r>
                  <w:r>
                    <w:rPr>
                      <w:rFonts w:ascii="Times New Roman" w:hAnsi="Times New Roman" w:eastAsia="宋体" w:cs="Times New Roman"/>
                      <w:color w:val="auto"/>
                      <w:spacing w:val="-2"/>
                      <w:sz w:val="21"/>
                      <w:u w:val="none"/>
                    </w:rPr>
                    <w:t>的选址意见</w:t>
                  </w:r>
                </w:p>
              </w:tc>
            </w:tr>
            <w:tr w14:paraId="438F5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99" w:type="dxa"/>
                  <w:vMerge w:val="continue"/>
                  <w:tcBorders>
                    <w:tl2br w:val="nil"/>
                    <w:tr2bl w:val="nil"/>
                  </w:tcBorders>
                  <w:vAlign w:val="center"/>
                </w:tcPr>
                <w:p w14:paraId="59AC77BA">
                  <w:pPr>
                    <w:spacing w:before="24" w:after="24" w:line="240" w:lineRule="auto"/>
                    <w:jc w:val="center"/>
                    <w:rPr>
                      <w:rFonts w:ascii="Times New Roman" w:hAnsi="Times New Roman" w:eastAsia="宋体" w:cs="Times New Roman"/>
                      <w:color w:val="auto"/>
                      <w:spacing w:val="-2"/>
                      <w:sz w:val="21"/>
                      <w:u w:val="none"/>
                    </w:rPr>
                  </w:pPr>
                </w:p>
              </w:tc>
              <w:tc>
                <w:tcPr>
                  <w:tcW w:w="2375" w:type="dxa"/>
                  <w:tcBorders>
                    <w:tl2br w:val="nil"/>
                    <w:tr2bl w:val="nil"/>
                  </w:tcBorders>
                  <w:tcMar>
                    <w:top w:w="15" w:type="dxa"/>
                    <w:left w:w="7" w:type="dxa"/>
                    <w:bottom w:w="0" w:type="dxa"/>
                    <w:right w:w="7" w:type="dxa"/>
                  </w:tcMar>
                  <w:vAlign w:val="center"/>
                </w:tcPr>
                <w:p w14:paraId="65CBAF51">
                  <w:pPr>
                    <w:spacing w:before="24" w:after="24" w:line="240" w:lineRule="auto"/>
                    <w:jc w:val="center"/>
                    <w:rPr>
                      <w:rFonts w:ascii="Times New Roman" w:hAnsi="Times New Roman" w:eastAsia="宋体" w:cs="Times New Roman"/>
                      <w:color w:val="auto"/>
                      <w:spacing w:val="-2"/>
                      <w:sz w:val="21"/>
                      <w:u w:val="none"/>
                    </w:rPr>
                  </w:pPr>
                  <w:r>
                    <w:rPr>
                      <w:rFonts w:ascii="Times New Roman" w:hAnsi="Times New Roman" w:eastAsia="宋体" w:cs="Times New Roman"/>
                      <w:color w:val="auto"/>
                      <w:spacing w:val="-2"/>
                      <w:sz w:val="21"/>
                      <w:u w:val="none"/>
                    </w:rPr>
                    <w:t>国家公园</w:t>
                  </w:r>
                </w:p>
              </w:tc>
              <w:tc>
                <w:tcPr>
                  <w:tcW w:w="595" w:type="dxa"/>
                  <w:tcBorders>
                    <w:tl2br w:val="nil"/>
                    <w:tr2bl w:val="nil"/>
                  </w:tcBorders>
                  <w:tcMar>
                    <w:top w:w="15" w:type="dxa"/>
                    <w:left w:w="7" w:type="dxa"/>
                    <w:bottom w:w="0" w:type="dxa"/>
                    <w:right w:w="7" w:type="dxa"/>
                  </w:tcMar>
                  <w:vAlign w:val="center"/>
                </w:tcPr>
                <w:p w14:paraId="30D6778E">
                  <w:pPr>
                    <w:spacing w:before="24" w:after="24" w:line="240" w:lineRule="auto"/>
                    <w:jc w:val="center"/>
                    <w:rPr>
                      <w:rFonts w:ascii="Times New Roman" w:hAnsi="Times New Roman" w:eastAsia="宋体" w:cs="Times New Roman"/>
                      <w:color w:val="auto"/>
                      <w:spacing w:val="-2"/>
                      <w:sz w:val="21"/>
                      <w:u w:val="none"/>
                    </w:rPr>
                  </w:pPr>
                  <w:r>
                    <w:rPr>
                      <w:rFonts w:ascii="Times New Roman" w:hAnsi="Times New Roman" w:eastAsia="宋体" w:cs="Times New Roman"/>
                      <w:color w:val="auto"/>
                      <w:spacing w:val="-2"/>
                      <w:sz w:val="21"/>
                      <w:u w:val="none"/>
                    </w:rPr>
                    <w:t>无</w:t>
                  </w:r>
                </w:p>
              </w:tc>
              <w:tc>
                <w:tcPr>
                  <w:tcW w:w="1897" w:type="dxa"/>
                  <w:tcBorders>
                    <w:tl2br w:val="nil"/>
                    <w:tr2bl w:val="nil"/>
                  </w:tcBorders>
                  <w:tcMar>
                    <w:top w:w="15" w:type="dxa"/>
                    <w:left w:w="7" w:type="dxa"/>
                    <w:bottom w:w="0" w:type="dxa"/>
                    <w:right w:w="7" w:type="dxa"/>
                  </w:tcMar>
                  <w:vAlign w:val="center"/>
                </w:tcPr>
                <w:p w14:paraId="5D1DF94D">
                  <w:pPr>
                    <w:spacing w:before="24" w:after="24" w:line="240" w:lineRule="auto"/>
                    <w:jc w:val="center"/>
                    <w:rPr>
                      <w:rFonts w:ascii="Times New Roman" w:hAnsi="Times New Roman" w:eastAsia="宋体" w:cs="Times New Roman"/>
                      <w:color w:val="auto"/>
                      <w:spacing w:val="-2"/>
                      <w:sz w:val="21"/>
                      <w:u w:val="none"/>
                    </w:rPr>
                  </w:pPr>
                  <w:r>
                    <w:rPr>
                      <w:rFonts w:ascii="Times New Roman" w:hAnsi="Times New Roman" w:eastAsia="宋体" w:cs="Times New Roman"/>
                      <w:color w:val="auto"/>
                      <w:spacing w:val="-2"/>
                      <w:sz w:val="21"/>
                      <w:u w:val="none"/>
                    </w:rPr>
                    <w:t>经调查不涉及</w:t>
                  </w:r>
                </w:p>
              </w:tc>
              <w:tc>
                <w:tcPr>
                  <w:tcW w:w="2242" w:type="dxa"/>
                  <w:vMerge w:val="continue"/>
                  <w:tcBorders>
                    <w:tl2br w:val="nil"/>
                    <w:tr2bl w:val="nil"/>
                  </w:tcBorders>
                  <w:vAlign w:val="center"/>
                </w:tcPr>
                <w:p w14:paraId="44824406">
                  <w:pPr>
                    <w:spacing w:before="24" w:after="24" w:line="240" w:lineRule="auto"/>
                    <w:jc w:val="center"/>
                    <w:rPr>
                      <w:rFonts w:ascii="Times New Roman" w:hAnsi="Times New Roman" w:eastAsia="宋体" w:cs="Times New Roman"/>
                      <w:color w:val="auto"/>
                      <w:spacing w:val="-2"/>
                      <w:sz w:val="21"/>
                      <w:u w:val="none"/>
                    </w:rPr>
                  </w:pPr>
                </w:p>
              </w:tc>
            </w:tr>
            <w:tr w14:paraId="4042C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99" w:type="dxa"/>
                  <w:vMerge w:val="continue"/>
                  <w:tcBorders>
                    <w:tl2br w:val="nil"/>
                    <w:tr2bl w:val="nil"/>
                  </w:tcBorders>
                  <w:vAlign w:val="center"/>
                </w:tcPr>
                <w:p w14:paraId="23043B0D">
                  <w:pPr>
                    <w:spacing w:before="24" w:after="24" w:line="240" w:lineRule="auto"/>
                    <w:jc w:val="center"/>
                    <w:rPr>
                      <w:rFonts w:ascii="Times New Roman" w:hAnsi="Times New Roman" w:eastAsia="宋体" w:cs="Times New Roman"/>
                      <w:color w:val="auto"/>
                      <w:spacing w:val="-2"/>
                      <w:sz w:val="21"/>
                      <w:u w:val="none"/>
                    </w:rPr>
                  </w:pPr>
                </w:p>
              </w:tc>
              <w:tc>
                <w:tcPr>
                  <w:tcW w:w="2375" w:type="dxa"/>
                  <w:tcBorders>
                    <w:tl2br w:val="nil"/>
                    <w:tr2bl w:val="nil"/>
                  </w:tcBorders>
                  <w:tcMar>
                    <w:top w:w="15" w:type="dxa"/>
                    <w:left w:w="7" w:type="dxa"/>
                    <w:bottom w:w="0" w:type="dxa"/>
                    <w:right w:w="7" w:type="dxa"/>
                  </w:tcMar>
                  <w:vAlign w:val="center"/>
                </w:tcPr>
                <w:p w14:paraId="3E3DC37C">
                  <w:pPr>
                    <w:spacing w:before="24" w:after="24" w:line="240" w:lineRule="auto"/>
                    <w:jc w:val="center"/>
                    <w:rPr>
                      <w:rFonts w:ascii="Times New Roman" w:hAnsi="Times New Roman" w:eastAsia="宋体" w:cs="Times New Roman"/>
                      <w:color w:val="auto"/>
                      <w:spacing w:val="-2"/>
                      <w:sz w:val="21"/>
                      <w:u w:val="none"/>
                    </w:rPr>
                  </w:pPr>
                  <w:r>
                    <w:rPr>
                      <w:rFonts w:ascii="Times New Roman" w:hAnsi="Times New Roman" w:eastAsia="宋体" w:cs="Times New Roman"/>
                      <w:color w:val="auto"/>
                      <w:spacing w:val="-2"/>
                      <w:sz w:val="21"/>
                      <w:u w:val="none"/>
                    </w:rPr>
                    <w:t>自然保护区</w:t>
                  </w:r>
                </w:p>
              </w:tc>
              <w:tc>
                <w:tcPr>
                  <w:tcW w:w="595" w:type="dxa"/>
                  <w:tcBorders>
                    <w:tl2br w:val="nil"/>
                    <w:tr2bl w:val="nil"/>
                  </w:tcBorders>
                  <w:tcMar>
                    <w:top w:w="15" w:type="dxa"/>
                    <w:left w:w="15" w:type="dxa"/>
                    <w:bottom w:w="0" w:type="dxa"/>
                    <w:right w:w="15" w:type="dxa"/>
                  </w:tcMar>
                  <w:vAlign w:val="center"/>
                </w:tcPr>
                <w:p w14:paraId="70F95D22">
                  <w:pPr>
                    <w:spacing w:before="24" w:after="24" w:line="240" w:lineRule="auto"/>
                    <w:jc w:val="center"/>
                    <w:rPr>
                      <w:rFonts w:ascii="Times New Roman" w:hAnsi="Times New Roman" w:eastAsia="宋体" w:cs="Times New Roman"/>
                      <w:color w:val="auto"/>
                      <w:spacing w:val="-2"/>
                      <w:sz w:val="21"/>
                      <w:u w:val="none"/>
                    </w:rPr>
                  </w:pPr>
                  <w:r>
                    <w:rPr>
                      <w:rFonts w:ascii="Times New Roman" w:hAnsi="Times New Roman" w:eastAsia="宋体" w:cs="Times New Roman"/>
                      <w:color w:val="auto"/>
                      <w:spacing w:val="-2"/>
                      <w:sz w:val="21"/>
                      <w:u w:val="none"/>
                    </w:rPr>
                    <w:t>无</w:t>
                  </w:r>
                </w:p>
              </w:tc>
              <w:tc>
                <w:tcPr>
                  <w:tcW w:w="1897" w:type="dxa"/>
                  <w:tcBorders>
                    <w:tl2br w:val="nil"/>
                    <w:tr2bl w:val="nil"/>
                  </w:tcBorders>
                  <w:tcMar>
                    <w:top w:w="15" w:type="dxa"/>
                    <w:left w:w="7" w:type="dxa"/>
                    <w:bottom w:w="0" w:type="dxa"/>
                    <w:right w:w="7" w:type="dxa"/>
                  </w:tcMar>
                  <w:vAlign w:val="center"/>
                </w:tcPr>
                <w:p w14:paraId="08DD9C36">
                  <w:pPr>
                    <w:spacing w:before="24" w:after="24" w:line="240" w:lineRule="auto"/>
                    <w:jc w:val="center"/>
                    <w:rPr>
                      <w:rFonts w:ascii="Times New Roman" w:hAnsi="Times New Roman" w:eastAsia="宋体" w:cs="Times New Roman"/>
                      <w:color w:val="auto"/>
                      <w:spacing w:val="-2"/>
                      <w:sz w:val="21"/>
                      <w:u w:val="none"/>
                    </w:rPr>
                  </w:pPr>
                  <w:r>
                    <w:rPr>
                      <w:rFonts w:ascii="Times New Roman" w:hAnsi="Times New Roman" w:eastAsia="宋体" w:cs="Times New Roman"/>
                      <w:color w:val="auto"/>
                      <w:spacing w:val="-2"/>
                      <w:sz w:val="21"/>
                      <w:u w:val="none"/>
                    </w:rPr>
                    <w:t>经调查不涉及</w:t>
                  </w:r>
                </w:p>
              </w:tc>
              <w:tc>
                <w:tcPr>
                  <w:tcW w:w="2242" w:type="dxa"/>
                  <w:vMerge w:val="continue"/>
                  <w:tcBorders>
                    <w:tl2br w:val="nil"/>
                    <w:tr2bl w:val="nil"/>
                  </w:tcBorders>
                  <w:vAlign w:val="center"/>
                </w:tcPr>
                <w:p w14:paraId="5571D5D7">
                  <w:pPr>
                    <w:spacing w:before="24" w:after="24" w:line="240" w:lineRule="auto"/>
                    <w:jc w:val="center"/>
                    <w:rPr>
                      <w:rFonts w:ascii="Times New Roman" w:hAnsi="Times New Roman" w:eastAsia="宋体" w:cs="Times New Roman"/>
                      <w:color w:val="auto"/>
                      <w:spacing w:val="-2"/>
                      <w:sz w:val="21"/>
                      <w:u w:val="none"/>
                    </w:rPr>
                  </w:pPr>
                </w:p>
              </w:tc>
            </w:tr>
            <w:tr w14:paraId="3D66A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99" w:type="dxa"/>
                  <w:vMerge w:val="continue"/>
                  <w:tcBorders>
                    <w:tl2br w:val="nil"/>
                    <w:tr2bl w:val="nil"/>
                  </w:tcBorders>
                  <w:vAlign w:val="center"/>
                </w:tcPr>
                <w:p w14:paraId="6AE773F4">
                  <w:pPr>
                    <w:spacing w:before="24" w:after="24" w:line="240" w:lineRule="auto"/>
                    <w:jc w:val="center"/>
                    <w:rPr>
                      <w:rFonts w:ascii="Times New Roman" w:hAnsi="Times New Roman" w:eastAsia="宋体" w:cs="Times New Roman"/>
                      <w:color w:val="auto"/>
                      <w:spacing w:val="-2"/>
                      <w:sz w:val="21"/>
                      <w:u w:val="none"/>
                    </w:rPr>
                  </w:pPr>
                </w:p>
              </w:tc>
              <w:tc>
                <w:tcPr>
                  <w:tcW w:w="2375" w:type="dxa"/>
                  <w:tcBorders>
                    <w:tl2br w:val="nil"/>
                    <w:tr2bl w:val="nil"/>
                  </w:tcBorders>
                  <w:tcMar>
                    <w:top w:w="15" w:type="dxa"/>
                    <w:left w:w="7" w:type="dxa"/>
                    <w:bottom w:w="0" w:type="dxa"/>
                    <w:right w:w="7" w:type="dxa"/>
                  </w:tcMar>
                  <w:vAlign w:val="center"/>
                </w:tcPr>
                <w:p w14:paraId="5DE00700">
                  <w:pPr>
                    <w:spacing w:before="24" w:after="24" w:line="240" w:lineRule="auto"/>
                    <w:jc w:val="center"/>
                    <w:rPr>
                      <w:rFonts w:ascii="Times New Roman" w:hAnsi="Times New Roman" w:eastAsia="宋体" w:cs="Times New Roman"/>
                      <w:color w:val="auto"/>
                      <w:spacing w:val="-2"/>
                      <w:sz w:val="21"/>
                      <w:u w:val="none"/>
                    </w:rPr>
                  </w:pPr>
                  <w:r>
                    <w:rPr>
                      <w:rFonts w:ascii="Times New Roman" w:hAnsi="Times New Roman" w:eastAsia="宋体" w:cs="Times New Roman"/>
                      <w:color w:val="auto"/>
                      <w:spacing w:val="-2"/>
                      <w:sz w:val="21"/>
                      <w:u w:val="none"/>
                    </w:rPr>
                    <w:t>森林公园</w:t>
                  </w:r>
                </w:p>
              </w:tc>
              <w:tc>
                <w:tcPr>
                  <w:tcW w:w="595" w:type="dxa"/>
                  <w:tcBorders>
                    <w:tl2br w:val="nil"/>
                    <w:tr2bl w:val="nil"/>
                  </w:tcBorders>
                  <w:tcMar>
                    <w:top w:w="15" w:type="dxa"/>
                    <w:left w:w="7" w:type="dxa"/>
                    <w:bottom w:w="0" w:type="dxa"/>
                    <w:right w:w="7" w:type="dxa"/>
                  </w:tcMar>
                  <w:vAlign w:val="center"/>
                </w:tcPr>
                <w:p w14:paraId="0AB391AF">
                  <w:pPr>
                    <w:spacing w:before="24" w:after="24" w:line="240" w:lineRule="auto"/>
                    <w:jc w:val="center"/>
                    <w:rPr>
                      <w:rFonts w:ascii="Times New Roman" w:hAnsi="Times New Roman" w:eastAsia="宋体" w:cs="Times New Roman"/>
                      <w:color w:val="auto"/>
                      <w:spacing w:val="-2"/>
                      <w:sz w:val="21"/>
                      <w:u w:val="none"/>
                    </w:rPr>
                  </w:pPr>
                  <w:r>
                    <w:rPr>
                      <w:rFonts w:ascii="Times New Roman" w:hAnsi="Times New Roman" w:eastAsia="宋体" w:cs="Times New Roman"/>
                      <w:color w:val="auto"/>
                      <w:spacing w:val="-2"/>
                      <w:sz w:val="21"/>
                      <w:u w:val="none"/>
                    </w:rPr>
                    <w:t>无</w:t>
                  </w:r>
                </w:p>
              </w:tc>
              <w:tc>
                <w:tcPr>
                  <w:tcW w:w="1897" w:type="dxa"/>
                  <w:tcBorders>
                    <w:tl2br w:val="nil"/>
                    <w:tr2bl w:val="nil"/>
                  </w:tcBorders>
                  <w:tcMar>
                    <w:top w:w="15" w:type="dxa"/>
                    <w:left w:w="7" w:type="dxa"/>
                    <w:bottom w:w="0" w:type="dxa"/>
                    <w:right w:w="7" w:type="dxa"/>
                  </w:tcMar>
                  <w:vAlign w:val="center"/>
                </w:tcPr>
                <w:p w14:paraId="25FDE070">
                  <w:pPr>
                    <w:spacing w:before="24" w:after="24" w:line="240" w:lineRule="auto"/>
                    <w:jc w:val="center"/>
                    <w:rPr>
                      <w:rFonts w:ascii="Times New Roman" w:hAnsi="Times New Roman" w:eastAsia="宋体" w:cs="Times New Roman"/>
                      <w:color w:val="auto"/>
                      <w:spacing w:val="-2"/>
                      <w:sz w:val="21"/>
                      <w:u w:val="none"/>
                    </w:rPr>
                  </w:pPr>
                  <w:r>
                    <w:rPr>
                      <w:rFonts w:ascii="Times New Roman" w:hAnsi="Times New Roman" w:eastAsia="宋体" w:cs="Times New Roman"/>
                      <w:color w:val="auto"/>
                      <w:spacing w:val="-2"/>
                      <w:sz w:val="21"/>
                      <w:u w:val="none"/>
                    </w:rPr>
                    <w:t>经调查不涉及</w:t>
                  </w:r>
                </w:p>
              </w:tc>
              <w:tc>
                <w:tcPr>
                  <w:tcW w:w="2242" w:type="dxa"/>
                  <w:vMerge w:val="continue"/>
                  <w:tcBorders>
                    <w:tl2br w:val="nil"/>
                    <w:tr2bl w:val="nil"/>
                  </w:tcBorders>
                  <w:vAlign w:val="center"/>
                </w:tcPr>
                <w:p w14:paraId="7C50CF38">
                  <w:pPr>
                    <w:spacing w:before="24" w:after="24" w:line="240" w:lineRule="auto"/>
                    <w:jc w:val="center"/>
                    <w:rPr>
                      <w:rFonts w:ascii="Times New Roman" w:hAnsi="Times New Roman" w:eastAsia="宋体" w:cs="Times New Roman"/>
                      <w:color w:val="auto"/>
                      <w:spacing w:val="-2"/>
                      <w:sz w:val="21"/>
                      <w:u w:val="none"/>
                    </w:rPr>
                  </w:pPr>
                </w:p>
              </w:tc>
            </w:tr>
            <w:tr w14:paraId="26F72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99" w:type="dxa"/>
                  <w:vMerge w:val="continue"/>
                  <w:tcBorders>
                    <w:tl2br w:val="nil"/>
                    <w:tr2bl w:val="nil"/>
                  </w:tcBorders>
                  <w:vAlign w:val="center"/>
                </w:tcPr>
                <w:p w14:paraId="25246BE8">
                  <w:pPr>
                    <w:spacing w:before="24" w:after="24" w:line="240" w:lineRule="auto"/>
                    <w:jc w:val="center"/>
                    <w:rPr>
                      <w:rFonts w:ascii="Times New Roman" w:hAnsi="Times New Roman" w:eastAsia="宋体" w:cs="Times New Roman"/>
                      <w:color w:val="auto"/>
                      <w:spacing w:val="-2"/>
                      <w:sz w:val="21"/>
                      <w:u w:val="none"/>
                    </w:rPr>
                  </w:pPr>
                </w:p>
              </w:tc>
              <w:tc>
                <w:tcPr>
                  <w:tcW w:w="2375" w:type="dxa"/>
                  <w:tcBorders>
                    <w:tl2br w:val="nil"/>
                    <w:tr2bl w:val="nil"/>
                  </w:tcBorders>
                  <w:tcMar>
                    <w:top w:w="15" w:type="dxa"/>
                    <w:left w:w="7" w:type="dxa"/>
                    <w:bottom w:w="0" w:type="dxa"/>
                    <w:right w:w="7" w:type="dxa"/>
                  </w:tcMar>
                  <w:vAlign w:val="center"/>
                </w:tcPr>
                <w:p w14:paraId="43037220">
                  <w:pPr>
                    <w:spacing w:before="24" w:after="24" w:line="240" w:lineRule="auto"/>
                    <w:jc w:val="center"/>
                    <w:rPr>
                      <w:rFonts w:ascii="Times New Roman" w:hAnsi="Times New Roman" w:eastAsia="宋体" w:cs="Times New Roman"/>
                      <w:color w:val="auto"/>
                      <w:spacing w:val="-2"/>
                      <w:sz w:val="21"/>
                      <w:u w:val="none"/>
                    </w:rPr>
                  </w:pPr>
                  <w:r>
                    <w:rPr>
                      <w:rFonts w:ascii="Times New Roman" w:hAnsi="Times New Roman" w:eastAsia="宋体" w:cs="Times New Roman"/>
                      <w:color w:val="auto"/>
                      <w:spacing w:val="-2"/>
                      <w:sz w:val="21"/>
                      <w:u w:val="none"/>
                    </w:rPr>
                    <w:t>湿地公园</w:t>
                  </w:r>
                </w:p>
              </w:tc>
              <w:tc>
                <w:tcPr>
                  <w:tcW w:w="595" w:type="dxa"/>
                  <w:tcBorders>
                    <w:tl2br w:val="nil"/>
                    <w:tr2bl w:val="nil"/>
                  </w:tcBorders>
                  <w:tcMar>
                    <w:top w:w="15" w:type="dxa"/>
                    <w:left w:w="7" w:type="dxa"/>
                    <w:bottom w:w="0" w:type="dxa"/>
                    <w:right w:w="7" w:type="dxa"/>
                  </w:tcMar>
                  <w:vAlign w:val="center"/>
                </w:tcPr>
                <w:p w14:paraId="29F5103B">
                  <w:pPr>
                    <w:spacing w:before="24" w:after="24" w:line="240" w:lineRule="auto"/>
                    <w:jc w:val="center"/>
                    <w:rPr>
                      <w:rFonts w:ascii="Times New Roman" w:hAnsi="Times New Roman" w:eastAsia="宋体" w:cs="Times New Roman"/>
                      <w:color w:val="auto"/>
                      <w:spacing w:val="-2"/>
                      <w:sz w:val="21"/>
                      <w:u w:val="none"/>
                    </w:rPr>
                  </w:pPr>
                  <w:r>
                    <w:rPr>
                      <w:rFonts w:ascii="Times New Roman" w:hAnsi="Times New Roman" w:eastAsia="宋体" w:cs="Times New Roman"/>
                      <w:color w:val="auto"/>
                      <w:spacing w:val="-2"/>
                      <w:sz w:val="21"/>
                      <w:u w:val="none"/>
                    </w:rPr>
                    <w:t>无</w:t>
                  </w:r>
                </w:p>
              </w:tc>
              <w:tc>
                <w:tcPr>
                  <w:tcW w:w="1897" w:type="dxa"/>
                  <w:tcBorders>
                    <w:tl2br w:val="nil"/>
                    <w:tr2bl w:val="nil"/>
                  </w:tcBorders>
                  <w:tcMar>
                    <w:top w:w="15" w:type="dxa"/>
                    <w:left w:w="7" w:type="dxa"/>
                    <w:bottom w:w="0" w:type="dxa"/>
                    <w:right w:w="7" w:type="dxa"/>
                  </w:tcMar>
                  <w:vAlign w:val="center"/>
                </w:tcPr>
                <w:p w14:paraId="33A7FD0B">
                  <w:pPr>
                    <w:spacing w:before="24" w:after="24" w:line="240" w:lineRule="auto"/>
                    <w:jc w:val="center"/>
                    <w:rPr>
                      <w:rFonts w:ascii="Times New Roman" w:hAnsi="Times New Roman" w:eastAsia="宋体" w:cs="Times New Roman"/>
                      <w:color w:val="auto"/>
                      <w:spacing w:val="-2"/>
                      <w:sz w:val="21"/>
                      <w:u w:val="none"/>
                    </w:rPr>
                  </w:pPr>
                  <w:r>
                    <w:rPr>
                      <w:rFonts w:ascii="Times New Roman" w:hAnsi="Times New Roman" w:eastAsia="宋体" w:cs="Times New Roman"/>
                      <w:color w:val="auto"/>
                      <w:spacing w:val="-2"/>
                      <w:sz w:val="21"/>
                      <w:u w:val="none"/>
                    </w:rPr>
                    <w:t>经调查不涉及</w:t>
                  </w:r>
                </w:p>
              </w:tc>
              <w:tc>
                <w:tcPr>
                  <w:tcW w:w="2242" w:type="dxa"/>
                  <w:vMerge w:val="continue"/>
                  <w:tcBorders>
                    <w:tl2br w:val="nil"/>
                    <w:tr2bl w:val="nil"/>
                  </w:tcBorders>
                  <w:vAlign w:val="center"/>
                </w:tcPr>
                <w:p w14:paraId="341F1B86">
                  <w:pPr>
                    <w:spacing w:before="24" w:after="24" w:line="240" w:lineRule="auto"/>
                    <w:jc w:val="center"/>
                    <w:rPr>
                      <w:rFonts w:ascii="Times New Roman" w:hAnsi="Times New Roman" w:eastAsia="宋体" w:cs="Times New Roman"/>
                      <w:color w:val="auto"/>
                      <w:spacing w:val="-2"/>
                      <w:sz w:val="21"/>
                      <w:u w:val="none"/>
                    </w:rPr>
                  </w:pPr>
                </w:p>
              </w:tc>
            </w:tr>
            <w:tr w14:paraId="17D15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99" w:type="dxa"/>
                  <w:vMerge w:val="continue"/>
                  <w:tcBorders>
                    <w:tl2br w:val="nil"/>
                    <w:tr2bl w:val="nil"/>
                  </w:tcBorders>
                  <w:vAlign w:val="center"/>
                </w:tcPr>
                <w:p w14:paraId="34DF0D7D">
                  <w:pPr>
                    <w:spacing w:before="24" w:after="24" w:line="240" w:lineRule="auto"/>
                    <w:jc w:val="center"/>
                    <w:rPr>
                      <w:rFonts w:ascii="Times New Roman" w:hAnsi="Times New Roman" w:eastAsia="宋体" w:cs="Times New Roman"/>
                      <w:color w:val="auto"/>
                      <w:spacing w:val="-2"/>
                      <w:sz w:val="21"/>
                      <w:u w:val="none"/>
                    </w:rPr>
                  </w:pPr>
                </w:p>
              </w:tc>
              <w:tc>
                <w:tcPr>
                  <w:tcW w:w="2375" w:type="dxa"/>
                  <w:tcBorders>
                    <w:tl2br w:val="nil"/>
                    <w:tr2bl w:val="nil"/>
                  </w:tcBorders>
                  <w:tcMar>
                    <w:top w:w="15" w:type="dxa"/>
                    <w:left w:w="7" w:type="dxa"/>
                    <w:bottom w:w="0" w:type="dxa"/>
                    <w:right w:w="7" w:type="dxa"/>
                  </w:tcMar>
                  <w:vAlign w:val="center"/>
                </w:tcPr>
                <w:p w14:paraId="3B24946C">
                  <w:pPr>
                    <w:spacing w:before="24" w:after="24" w:line="240" w:lineRule="auto"/>
                    <w:jc w:val="center"/>
                    <w:rPr>
                      <w:rFonts w:ascii="Times New Roman" w:hAnsi="Times New Roman" w:eastAsia="宋体" w:cs="Times New Roman"/>
                      <w:color w:val="auto"/>
                      <w:spacing w:val="-2"/>
                      <w:sz w:val="21"/>
                      <w:u w:val="none"/>
                    </w:rPr>
                  </w:pPr>
                  <w:r>
                    <w:rPr>
                      <w:rFonts w:ascii="Times New Roman" w:hAnsi="Times New Roman" w:eastAsia="宋体" w:cs="Times New Roman"/>
                      <w:color w:val="auto"/>
                      <w:spacing w:val="-2"/>
                      <w:sz w:val="21"/>
                      <w:u w:val="none"/>
                    </w:rPr>
                    <w:t>地质公园</w:t>
                  </w:r>
                </w:p>
              </w:tc>
              <w:tc>
                <w:tcPr>
                  <w:tcW w:w="595" w:type="dxa"/>
                  <w:tcBorders>
                    <w:tl2br w:val="nil"/>
                    <w:tr2bl w:val="nil"/>
                  </w:tcBorders>
                  <w:tcMar>
                    <w:top w:w="15" w:type="dxa"/>
                    <w:left w:w="7" w:type="dxa"/>
                    <w:bottom w:w="0" w:type="dxa"/>
                    <w:right w:w="7" w:type="dxa"/>
                  </w:tcMar>
                  <w:vAlign w:val="center"/>
                </w:tcPr>
                <w:p w14:paraId="5E4247BF">
                  <w:pPr>
                    <w:spacing w:before="24" w:after="24" w:line="240" w:lineRule="auto"/>
                    <w:jc w:val="center"/>
                    <w:rPr>
                      <w:rFonts w:ascii="Times New Roman" w:hAnsi="Times New Roman" w:eastAsia="宋体" w:cs="Times New Roman"/>
                      <w:color w:val="auto"/>
                      <w:spacing w:val="-2"/>
                      <w:sz w:val="21"/>
                      <w:u w:val="none"/>
                    </w:rPr>
                  </w:pPr>
                  <w:r>
                    <w:rPr>
                      <w:rFonts w:ascii="Times New Roman" w:hAnsi="Times New Roman" w:eastAsia="宋体" w:cs="Times New Roman"/>
                      <w:color w:val="auto"/>
                      <w:spacing w:val="-2"/>
                      <w:sz w:val="21"/>
                      <w:u w:val="none"/>
                    </w:rPr>
                    <w:t>无</w:t>
                  </w:r>
                </w:p>
              </w:tc>
              <w:tc>
                <w:tcPr>
                  <w:tcW w:w="1897" w:type="dxa"/>
                  <w:tcBorders>
                    <w:tl2br w:val="nil"/>
                    <w:tr2bl w:val="nil"/>
                  </w:tcBorders>
                  <w:tcMar>
                    <w:top w:w="15" w:type="dxa"/>
                    <w:left w:w="7" w:type="dxa"/>
                    <w:bottom w:w="0" w:type="dxa"/>
                    <w:right w:w="7" w:type="dxa"/>
                  </w:tcMar>
                  <w:vAlign w:val="center"/>
                </w:tcPr>
                <w:p w14:paraId="6FBD89DD">
                  <w:pPr>
                    <w:spacing w:before="24" w:after="24" w:line="240" w:lineRule="auto"/>
                    <w:jc w:val="center"/>
                    <w:rPr>
                      <w:rFonts w:ascii="Times New Roman" w:hAnsi="Times New Roman" w:eastAsia="宋体" w:cs="Times New Roman"/>
                      <w:color w:val="auto"/>
                      <w:spacing w:val="-2"/>
                      <w:sz w:val="21"/>
                      <w:u w:val="none"/>
                    </w:rPr>
                  </w:pPr>
                  <w:r>
                    <w:rPr>
                      <w:rFonts w:ascii="Times New Roman" w:hAnsi="Times New Roman" w:eastAsia="宋体" w:cs="Times New Roman"/>
                      <w:color w:val="auto"/>
                      <w:spacing w:val="-2"/>
                      <w:sz w:val="21"/>
                      <w:u w:val="none"/>
                    </w:rPr>
                    <w:t>经调查不涉及</w:t>
                  </w:r>
                </w:p>
              </w:tc>
              <w:tc>
                <w:tcPr>
                  <w:tcW w:w="2242" w:type="dxa"/>
                  <w:vMerge w:val="continue"/>
                  <w:tcBorders>
                    <w:tl2br w:val="nil"/>
                    <w:tr2bl w:val="nil"/>
                  </w:tcBorders>
                  <w:tcMar>
                    <w:top w:w="15" w:type="dxa"/>
                    <w:left w:w="7" w:type="dxa"/>
                    <w:bottom w:w="0" w:type="dxa"/>
                    <w:right w:w="7" w:type="dxa"/>
                  </w:tcMar>
                  <w:vAlign w:val="center"/>
                </w:tcPr>
                <w:p w14:paraId="112B6981">
                  <w:pPr>
                    <w:spacing w:before="24" w:after="24" w:line="240" w:lineRule="auto"/>
                    <w:jc w:val="center"/>
                    <w:rPr>
                      <w:rFonts w:ascii="Times New Roman" w:hAnsi="Times New Roman" w:eastAsia="宋体" w:cs="Times New Roman"/>
                      <w:color w:val="auto"/>
                      <w:spacing w:val="-2"/>
                      <w:sz w:val="21"/>
                      <w:u w:val="none"/>
                    </w:rPr>
                  </w:pPr>
                </w:p>
              </w:tc>
            </w:tr>
            <w:tr w14:paraId="6B4D9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99" w:type="dxa"/>
                  <w:vMerge w:val="continue"/>
                  <w:tcBorders>
                    <w:tl2br w:val="nil"/>
                    <w:tr2bl w:val="nil"/>
                  </w:tcBorders>
                  <w:vAlign w:val="center"/>
                </w:tcPr>
                <w:p w14:paraId="15AAD313">
                  <w:pPr>
                    <w:spacing w:before="24" w:after="24" w:line="240" w:lineRule="auto"/>
                    <w:jc w:val="center"/>
                    <w:rPr>
                      <w:rFonts w:ascii="Times New Roman" w:hAnsi="Times New Roman" w:eastAsia="宋体" w:cs="Times New Roman"/>
                      <w:color w:val="auto"/>
                      <w:spacing w:val="-2"/>
                      <w:sz w:val="21"/>
                      <w:u w:val="none"/>
                    </w:rPr>
                  </w:pPr>
                </w:p>
              </w:tc>
              <w:tc>
                <w:tcPr>
                  <w:tcW w:w="2375" w:type="dxa"/>
                  <w:tcBorders>
                    <w:tl2br w:val="nil"/>
                    <w:tr2bl w:val="nil"/>
                  </w:tcBorders>
                  <w:tcMar>
                    <w:top w:w="15" w:type="dxa"/>
                    <w:left w:w="7" w:type="dxa"/>
                    <w:bottom w:w="0" w:type="dxa"/>
                    <w:right w:w="7" w:type="dxa"/>
                  </w:tcMar>
                  <w:vAlign w:val="center"/>
                </w:tcPr>
                <w:p w14:paraId="440457B5">
                  <w:pPr>
                    <w:spacing w:before="24" w:after="24" w:line="240" w:lineRule="auto"/>
                    <w:jc w:val="center"/>
                    <w:rPr>
                      <w:rFonts w:ascii="Times New Roman" w:hAnsi="Times New Roman" w:eastAsia="宋体" w:cs="Times New Roman"/>
                      <w:color w:val="auto"/>
                      <w:spacing w:val="-2"/>
                      <w:sz w:val="21"/>
                      <w:u w:val="none"/>
                    </w:rPr>
                  </w:pPr>
                  <w:r>
                    <w:rPr>
                      <w:rFonts w:ascii="Times New Roman" w:hAnsi="Times New Roman" w:eastAsia="宋体" w:cs="Times New Roman"/>
                      <w:color w:val="auto"/>
                      <w:spacing w:val="-2"/>
                      <w:sz w:val="21"/>
                      <w:u w:val="none"/>
                    </w:rPr>
                    <w:t>风景名胜区</w:t>
                  </w:r>
                </w:p>
              </w:tc>
              <w:tc>
                <w:tcPr>
                  <w:tcW w:w="595" w:type="dxa"/>
                  <w:tcBorders>
                    <w:tl2br w:val="nil"/>
                    <w:tr2bl w:val="nil"/>
                  </w:tcBorders>
                  <w:tcMar>
                    <w:top w:w="15" w:type="dxa"/>
                    <w:left w:w="7" w:type="dxa"/>
                    <w:bottom w:w="0" w:type="dxa"/>
                    <w:right w:w="7" w:type="dxa"/>
                  </w:tcMar>
                  <w:vAlign w:val="center"/>
                </w:tcPr>
                <w:p w14:paraId="0F9CD498">
                  <w:pPr>
                    <w:spacing w:before="24" w:after="24" w:line="240" w:lineRule="auto"/>
                    <w:jc w:val="center"/>
                    <w:rPr>
                      <w:rFonts w:ascii="Times New Roman" w:hAnsi="Times New Roman" w:eastAsia="宋体" w:cs="Times New Roman"/>
                      <w:color w:val="auto"/>
                      <w:spacing w:val="-2"/>
                      <w:sz w:val="21"/>
                      <w:u w:val="none"/>
                    </w:rPr>
                  </w:pPr>
                  <w:r>
                    <w:rPr>
                      <w:rFonts w:ascii="Times New Roman" w:hAnsi="Times New Roman" w:eastAsia="宋体" w:cs="Times New Roman"/>
                      <w:color w:val="auto"/>
                      <w:spacing w:val="-2"/>
                      <w:sz w:val="21"/>
                      <w:u w:val="none"/>
                    </w:rPr>
                    <w:t>无</w:t>
                  </w:r>
                </w:p>
              </w:tc>
              <w:tc>
                <w:tcPr>
                  <w:tcW w:w="1897" w:type="dxa"/>
                  <w:tcBorders>
                    <w:tl2br w:val="nil"/>
                    <w:tr2bl w:val="nil"/>
                  </w:tcBorders>
                  <w:tcMar>
                    <w:top w:w="15" w:type="dxa"/>
                    <w:left w:w="7" w:type="dxa"/>
                    <w:bottom w:w="0" w:type="dxa"/>
                    <w:right w:w="7" w:type="dxa"/>
                  </w:tcMar>
                  <w:vAlign w:val="center"/>
                </w:tcPr>
                <w:p w14:paraId="17D5D131">
                  <w:pPr>
                    <w:spacing w:before="24" w:after="24" w:line="240" w:lineRule="auto"/>
                    <w:jc w:val="center"/>
                    <w:rPr>
                      <w:rFonts w:ascii="Times New Roman" w:hAnsi="Times New Roman" w:eastAsia="宋体" w:cs="Times New Roman"/>
                      <w:color w:val="auto"/>
                      <w:spacing w:val="-2"/>
                      <w:sz w:val="21"/>
                      <w:u w:val="none"/>
                    </w:rPr>
                  </w:pPr>
                  <w:r>
                    <w:rPr>
                      <w:rFonts w:ascii="Times New Roman" w:hAnsi="Times New Roman" w:eastAsia="宋体" w:cs="Times New Roman"/>
                      <w:color w:val="auto"/>
                      <w:spacing w:val="-2"/>
                      <w:sz w:val="21"/>
                      <w:u w:val="none"/>
                    </w:rPr>
                    <w:t>经调查不涉及</w:t>
                  </w:r>
                </w:p>
              </w:tc>
              <w:tc>
                <w:tcPr>
                  <w:tcW w:w="2242" w:type="dxa"/>
                  <w:vMerge w:val="continue"/>
                  <w:tcBorders>
                    <w:tl2br w:val="nil"/>
                    <w:tr2bl w:val="nil"/>
                  </w:tcBorders>
                  <w:vAlign w:val="center"/>
                </w:tcPr>
                <w:p w14:paraId="5BDFBE27">
                  <w:pPr>
                    <w:spacing w:before="24" w:after="24" w:line="240" w:lineRule="auto"/>
                    <w:jc w:val="center"/>
                    <w:rPr>
                      <w:rFonts w:ascii="Times New Roman" w:hAnsi="Times New Roman" w:eastAsia="宋体" w:cs="Times New Roman"/>
                      <w:color w:val="auto"/>
                      <w:spacing w:val="-2"/>
                      <w:sz w:val="21"/>
                      <w:u w:val="none"/>
                    </w:rPr>
                  </w:pPr>
                </w:p>
              </w:tc>
            </w:tr>
            <w:tr w14:paraId="71E2D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99" w:type="dxa"/>
                  <w:vMerge w:val="continue"/>
                  <w:tcBorders>
                    <w:tl2br w:val="nil"/>
                    <w:tr2bl w:val="nil"/>
                  </w:tcBorders>
                  <w:vAlign w:val="center"/>
                </w:tcPr>
                <w:p w14:paraId="7A94017B">
                  <w:pPr>
                    <w:spacing w:before="24" w:after="24" w:line="240" w:lineRule="auto"/>
                    <w:jc w:val="center"/>
                    <w:rPr>
                      <w:rFonts w:ascii="Times New Roman" w:hAnsi="Times New Roman" w:eastAsia="宋体" w:cs="Times New Roman"/>
                      <w:color w:val="auto"/>
                      <w:spacing w:val="-2"/>
                      <w:sz w:val="21"/>
                      <w:u w:val="none"/>
                    </w:rPr>
                  </w:pPr>
                </w:p>
              </w:tc>
              <w:tc>
                <w:tcPr>
                  <w:tcW w:w="2375" w:type="dxa"/>
                  <w:tcBorders>
                    <w:tl2br w:val="nil"/>
                    <w:tr2bl w:val="nil"/>
                  </w:tcBorders>
                  <w:tcMar>
                    <w:top w:w="15" w:type="dxa"/>
                    <w:left w:w="7" w:type="dxa"/>
                    <w:bottom w:w="0" w:type="dxa"/>
                    <w:right w:w="7" w:type="dxa"/>
                  </w:tcMar>
                  <w:vAlign w:val="center"/>
                </w:tcPr>
                <w:p w14:paraId="6F990BFD">
                  <w:pPr>
                    <w:spacing w:before="24" w:after="24" w:line="240" w:lineRule="auto"/>
                    <w:jc w:val="center"/>
                    <w:rPr>
                      <w:rFonts w:ascii="Times New Roman" w:hAnsi="Times New Roman" w:eastAsia="宋体" w:cs="Times New Roman"/>
                      <w:color w:val="auto"/>
                      <w:spacing w:val="-2"/>
                      <w:sz w:val="21"/>
                      <w:u w:val="none"/>
                    </w:rPr>
                  </w:pPr>
                  <w:r>
                    <w:rPr>
                      <w:rFonts w:ascii="Times New Roman" w:hAnsi="Times New Roman" w:eastAsia="宋体" w:cs="Times New Roman"/>
                      <w:color w:val="auto"/>
                      <w:spacing w:val="-2"/>
                      <w:sz w:val="21"/>
                      <w:u w:val="none"/>
                    </w:rPr>
                    <w:t>鸟类主要迁徙通道和迁徙地等区域</w:t>
                  </w:r>
                </w:p>
              </w:tc>
              <w:tc>
                <w:tcPr>
                  <w:tcW w:w="595" w:type="dxa"/>
                  <w:tcBorders>
                    <w:tl2br w:val="nil"/>
                    <w:tr2bl w:val="nil"/>
                  </w:tcBorders>
                  <w:tcMar>
                    <w:top w:w="15" w:type="dxa"/>
                    <w:left w:w="7" w:type="dxa"/>
                    <w:bottom w:w="0" w:type="dxa"/>
                    <w:right w:w="7" w:type="dxa"/>
                  </w:tcMar>
                  <w:vAlign w:val="center"/>
                </w:tcPr>
                <w:p w14:paraId="45C6706D">
                  <w:pPr>
                    <w:spacing w:before="24" w:after="24" w:line="240" w:lineRule="auto"/>
                    <w:jc w:val="center"/>
                    <w:rPr>
                      <w:rFonts w:ascii="Times New Roman" w:hAnsi="Times New Roman" w:eastAsia="宋体" w:cs="Times New Roman"/>
                      <w:color w:val="auto"/>
                      <w:spacing w:val="-2"/>
                      <w:sz w:val="21"/>
                      <w:u w:val="none"/>
                    </w:rPr>
                  </w:pPr>
                  <w:r>
                    <w:rPr>
                      <w:rFonts w:ascii="Times New Roman" w:hAnsi="Times New Roman" w:eastAsia="宋体" w:cs="Times New Roman"/>
                      <w:color w:val="auto"/>
                      <w:spacing w:val="-2"/>
                      <w:sz w:val="21"/>
                      <w:u w:val="none"/>
                    </w:rPr>
                    <w:t>无</w:t>
                  </w:r>
                </w:p>
              </w:tc>
              <w:tc>
                <w:tcPr>
                  <w:tcW w:w="1897" w:type="dxa"/>
                  <w:tcBorders>
                    <w:tl2br w:val="nil"/>
                    <w:tr2bl w:val="nil"/>
                  </w:tcBorders>
                  <w:tcMar>
                    <w:top w:w="15" w:type="dxa"/>
                    <w:left w:w="7" w:type="dxa"/>
                    <w:bottom w:w="0" w:type="dxa"/>
                    <w:right w:w="7" w:type="dxa"/>
                  </w:tcMar>
                  <w:vAlign w:val="center"/>
                </w:tcPr>
                <w:p w14:paraId="6E4CB447">
                  <w:pPr>
                    <w:spacing w:before="24" w:after="24" w:line="240" w:lineRule="auto"/>
                    <w:jc w:val="center"/>
                    <w:rPr>
                      <w:rFonts w:ascii="Times New Roman" w:hAnsi="Times New Roman" w:eastAsia="宋体" w:cs="Times New Roman"/>
                      <w:color w:val="auto"/>
                      <w:spacing w:val="-2"/>
                      <w:sz w:val="21"/>
                      <w:u w:val="none"/>
                    </w:rPr>
                  </w:pPr>
                  <w:r>
                    <w:rPr>
                      <w:rFonts w:ascii="Times New Roman" w:hAnsi="Times New Roman" w:eastAsia="宋体" w:cs="Times New Roman"/>
                      <w:color w:val="auto"/>
                      <w:spacing w:val="-2"/>
                      <w:sz w:val="21"/>
                      <w:u w:val="none"/>
                    </w:rPr>
                    <w:t>经调查不涉及</w:t>
                  </w:r>
                </w:p>
              </w:tc>
              <w:tc>
                <w:tcPr>
                  <w:tcW w:w="2242" w:type="dxa"/>
                  <w:tcBorders>
                    <w:tl2br w:val="nil"/>
                    <w:tr2bl w:val="nil"/>
                  </w:tcBorders>
                  <w:vAlign w:val="center"/>
                </w:tcPr>
                <w:p w14:paraId="509562D0">
                  <w:pPr>
                    <w:spacing w:before="24" w:after="24" w:line="240" w:lineRule="auto"/>
                    <w:jc w:val="center"/>
                    <w:rPr>
                      <w:rFonts w:ascii="Times New Roman" w:hAnsi="Times New Roman" w:eastAsia="宋体" w:cs="Times New Roman"/>
                      <w:color w:val="auto"/>
                      <w:spacing w:val="-2"/>
                      <w:sz w:val="21"/>
                      <w:u w:val="none"/>
                    </w:rPr>
                  </w:pPr>
                  <w:r>
                    <w:rPr>
                      <w:rFonts w:hint="default" w:ascii="Times New Roman" w:hAnsi="Times New Roman" w:eastAsia="宋体" w:cs="Times New Roman"/>
                      <w:color w:val="auto"/>
                      <w:spacing w:val="-2"/>
                      <w:sz w:val="21"/>
                      <w:u w:val="none"/>
                      <w:lang w:eastAsia="zh-CN"/>
                    </w:rPr>
                    <w:t>通道县</w:t>
                  </w:r>
                  <w:r>
                    <w:rPr>
                      <w:rFonts w:hint="default" w:ascii="Times New Roman" w:hAnsi="Times New Roman" w:eastAsia="宋体" w:cs="Times New Roman"/>
                      <w:color w:val="auto"/>
                      <w:spacing w:val="-2"/>
                      <w:sz w:val="21"/>
                      <w:u w:val="none"/>
                      <w:lang w:val="en-US" w:eastAsia="zh-CN"/>
                    </w:rPr>
                    <w:t>林</w:t>
                  </w:r>
                  <w:r>
                    <w:rPr>
                      <w:rFonts w:hint="default" w:ascii="Times New Roman" w:hAnsi="Times New Roman" w:eastAsia="宋体" w:cs="Times New Roman"/>
                      <w:color w:val="auto"/>
                      <w:spacing w:val="-2"/>
                      <w:sz w:val="21"/>
                      <w:u w:val="none"/>
                    </w:rPr>
                    <w:t>业局的选址意见</w:t>
                  </w:r>
                  <w:r>
                    <w:rPr>
                      <w:rFonts w:hint="default" w:ascii="Times New Roman" w:hAnsi="Times New Roman" w:eastAsia="宋体" w:cs="Times New Roman"/>
                      <w:color w:val="auto"/>
                      <w:spacing w:val="-2"/>
                      <w:sz w:val="21"/>
                      <w:u w:val="none"/>
                      <w:lang w:eastAsia="zh-CN"/>
                    </w:rPr>
                    <w:t>，</w:t>
                  </w:r>
                  <w:r>
                    <w:rPr>
                      <w:rFonts w:hint="default" w:ascii="Times New Roman" w:hAnsi="Times New Roman" w:eastAsia="宋体" w:cs="Times New Roman"/>
                      <w:color w:val="auto"/>
                      <w:spacing w:val="-2"/>
                      <w:sz w:val="21"/>
                      <w:u w:val="none"/>
                    </w:rPr>
                    <w:t>生态调查</w:t>
                  </w:r>
                </w:p>
              </w:tc>
            </w:tr>
            <w:tr w14:paraId="03FB2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99" w:type="dxa"/>
                  <w:vMerge w:val="continue"/>
                  <w:tcBorders>
                    <w:tl2br w:val="nil"/>
                    <w:tr2bl w:val="nil"/>
                  </w:tcBorders>
                  <w:vAlign w:val="center"/>
                </w:tcPr>
                <w:p w14:paraId="1A2A5345">
                  <w:pPr>
                    <w:spacing w:before="24" w:after="24" w:line="240" w:lineRule="auto"/>
                    <w:jc w:val="center"/>
                    <w:rPr>
                      <w:rFonts w:ascii="Times New Roman" w:hAnsi="Times New Roman" w:eastAsia="宋体" w:cs="Times New Roman"/>
                      <w:color w:val="auto"/>
                      <w:spacing w:val="-2"/>
                      <w:sz w:val="21"/>
                      <w:u w:val="none"/>
                    </w:rPr>
                  </w:pPr>
                </w:p>
              </w:tc>
              <w:tc>
                <w:tcPr>
                  <w:tcW w:w="2375" w:type="dxa"/>
                  <w:tcBorders>
                    <w:tl2br w:val="nil"/>
                    <w:tr2bl w:val="nil"/>
                  </w:tcBorders>
                  <w:tcMar>
                    <w:top w:w="15" w:type="dxa"/>
                    <w:left w:w="7" w:type="dxa"/>
                    <w:bottom w:w="0" w:type="dxa"/>
                    <w:right w:w="7" w:type="dxa"/>
                  </w:tcMar>
                  <w:vAlign w:val="center"/>
                </w:tcPr>
                <w:p w14:paraId="12AC14BD">
                  <w:pPr>
                    <w:spacing w:before="24" w:after="24" w:line="240" w:lineRule="auto"/>
                    <w:jc w:val="center"/>
                    <w:rPr>
                      <w:rFonts w:ascii="Times New Roman" w:hAnsi="Times New Roman" w:eastAsia="宋体" w:cs="Times New Roman"/>
                      <w:color w:val="auto"/>
                      <w:spacing w:val="-2"/>
                      <w:sz w:val="21"/>
                      <w:u w:val="none"/>
                    </w:rPr>
                  </w:pPr>
                  <w:r>
                    <w:rPr>
                      <w:rFonts w:ascii="Times New Roman" w:hAnsi="Times New Roman" w:eastAsia="宋体" w:cs="Times New Roman"/>
                      <w:color w:val="auto"/>
                      <w:spacing w:val="-2"/>
                      <w:sz w:val="21"/>
                      <w:u w:val="none"/>
                    </w:rPr>
                    <w:t>沿海基干林带和消浪林带</w:t>
                  </w:r>
                </w:p>
              </w:tc>
              <w:tc>
                <w:tcPr>
                  <w:tcW w:w="595" w:type="dxa"/>
                  <w:tcBorders>
                    <w:tl2br w:val="nil"/>
                    <w:tr2bl w:val="nil"/>
                  </w:tcBorders>
                  <w:tcMar>
                    <w:top w:w="15" w:type="dxa"/>
                    <w:left w:w="7" w:type="dxa"/>
                    <w:bottom w:w="0" w:type="dxa"/>
                    <w:right w:w="7" w:type="dxa"/>
                  </w:tcMar>
                  <w:vAlign w:val="center"/>
                </w:tcPr>
                <w:p w14:paraId="28F8C7C8">
                  <w:pPr>
                    <w:spacing w:before="24" w:after="24" w:line="240" w:lineRule="auto"/>
                    <w:jc w:val="center"/>
                    <w:rPr>
                      <w:rFonts w:ascii="Times New Roman" w:hAnsi="Times New Roman" w:eastAsia="宋体" w:cs="Times New Roman"/>
                      <w:color w:val="auto"/>
                      <w:spacing w:val="-2"/>
                      <w:sz w:val="21"/>
                      <w:u w:val="none"/>
                    </w:rPr>
                  </w:pPr>
                  <w:r>
                    <w:rPr>
                      <w:rFonts w:ascii="Times New Roman" w:hAnsi="Times New Roman" w:eastAsia="宋体" w:cs="Times New Roman"/>
                      <w:color w:val="auto"/>
                      <w:spacing w:val="-2"/>
                      <w:sz w:val="21"/>
                      <w:u w:val="none"/>
                    </w:rPr>
                    <w:t>无</w:t>
                  </w:r>
                </w:p>
              </w:tc>
              <w:tc>
                <w:tcPr>
                  <w:tcW w:w="1897" w:type="dxa"/>
                  <w:tcBorders>
                    <w:tl2br w:val="nil"/>
                    <w:tr2bl w:val="nil"/>
                  </w:tcBorders>
                  <w:tcMar>
                    <w:top w:w="15" w:type="dxa"/>
                    <w:left w:w="7" w:type="dxa"/>
                    <w:bottom w:w="0" w:type="dxa"/>
                    <w:right w:w="7" w:type="dxa"/>
                  </w:tcMar>
                  <w:vAlign w:val="center"/>
                </w:tcPr>
                <w:p w14:paraId="0551AAD9">
                  <w:pPr>
                    <w:spacing w:before="24" w:after="24" w:line="240" w:lineRule="auto"/>
                    <w:jc w:val="center"/>
                    <w:rPr>
                      <w:rFonts w:ascii="Times New Roman" w:hAnsi="Times New Roman" w:eastAsia="宋体" w:cs="Times New Roman"/>
                      <w:color w:val="auto"/>
                      <w:spacing w:val="-2"/>
                      <w:sz w:val="21"/>
                      <w:u w:val="none"/>
                    </w:rPr>
                  </w:pPr>
                  <w:r>
                    <w:rPr>
                      <w:rFonts w:ascii="Times New Roman" w:hAnsi="Times New Roman" w:eastAsia="宋体" w:cs="Times New Roman"/>
                      <w:color w:val="auto"/>
                      <w:spacing w:val="-2"/>
                      <w:sz w:val="21"/>
                      <w:u w:val="none"/>
                    </w:rPr>
                    <w:t>经调查不涉及</w:t>
                  </w:r>
                </w:p>
              </w:tc>
              <w:tc>
                <w:tcPr>
                  <w:tcW w:w="2242" w:type="dxa"/>
                  <w:tcBorders>
                    <w:tl2br w:val="nil"/>
                    <w:tr2bl w:val="nil"/>
                  </w:tcBorders>
                  <w:vAlign w:val="center"/>
                </w:tcPr>
                <w:p w14:paraId="71A90650">
                  <w:pPr>
                    <w:spacing w:before="24" w:after="24" w:line="240" w:lineRule="auto"/>
                    <w:jc w:val="center"/>
                    <w:rPr>
                      <w:rFonts w:ascii="Times New Roman" w:hAnsi="Times New Roman" w:eastAsia="宋体" w:cs="Times New Roman"/>
                      <w:color w:val="auto"/>
                      <w:spacing w:val="-2"/>
                      <w:sz w:val="21"/>
                      <w:u w:val="none"/>
                    </w:rPr>
                  </w:pPr>
                  <w:r>
                    <w:rPr>
                      <w:rFonts w:ascii="Times New Roman" w:hAnsi="Times New Roman" w:eastAsia="宋体" w:cs="Times New Roman"/>
                      <w:color w:val="auto"/>
                      <w:spacing w:val="-2"/>
                      <w:sz w:val="21"/>
                      <w:u w:val="none"/>
                    </w:rPr>
                    <w:t>/</w:t>
                  </w:r>
                </w:p>
              </w:tc>
            </w:tr>
            <w:tr w14:paraId="7D392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99" w:type="dxa"/>
                  <w:vMerge w:val="continue"/>
                  <w:tcBorders>
                    <w:tl2br w:val="nil"/>
                    <w:tr2bl w:val="nil"/>
                  </w:tcBorders>
                  <w:vAlign w:val="center"/>
                </w:tcPr>
                <w:p w14:paraId="79D91DF5">
                  <w:pPr>
                    <w:spacing w:before="24" w:after="24" w:line="240" w:lineRule="auto"/>
                    <w:jc w:val="center"/>
                    <w:rPr>
                      <w:rFonts w:ascii="Times New Roman" w:hAnsi="Times New Roman" w:eastAsia="宋体" w:cs="Times New Roman"/>
                      <w:color w:val="auto"/>
                      <w:spacing w:val="-2"/>
                      <w:sz w:val="21"/>
                      <w:u w:val="none"/>
                    </w:rPr>
                  </w:pPr>
                </w:p>
              </w:tc>
              <w:tc>
                <w:tcPr>
                  <w:tcW w:w="2375" w:type="dxa"/>
                  <w:tcBorders>
                    <w:tl2br w:val="nil"/>
                    <w:tr2bl w:val="nil"/>
                  </w:tcBorders>
                  <w:tcMar>
                    <w:top w:w="15" w:type="dxa"/>
                    <w:left w:w="7" w:type="dxa"/>
                    <w:bottom w:w="0" w:type="dxa"/>
                    <w:right w:w="7" w:type="dxa"/>
                  </w:tcMar>
                  <w:vAlign w:val="center"/>
                </w:tcPr>
                <w:p w14:paraId="1A4A50F1">
                  <w:pPr>
                    <w:spacing w:before="24" w:after="24" w:line="240" w:lineRule="auto"/>
                    <w:jc w:val="center"/>
                    <w:rPr>
                      <w:rFonts w:ascii="Times New Roman" w:hAnsi="Times New Roman" w:eastAsia="宋体" w:cs="Times New Roman"/>
                      <w:color w:val="auto"/>
                      <w:spacing w:val="-2"/>
                      <w:sz w:val="21"/>
                      <w:u w:val="none"/>
                    </w:rPr>
                  </w:pPr>
                  <w:r>
                    <w:rPr>
                      <w:rFonts w:ascii="Times New Roman" w:hAnsi="Times New Roman" w:eastAsia="宋体" w:cs="Times New Roman"/>
                      <w:color w:val="auto"/>
                      <w:spacing w:val="-2"/>
                      <w:sz w:val="21"/>
                      <w:u w:val="none"/>
                    </w:rPr>
                    <w:t>一级国家级公益林地</w:t>
                  </w:r>
                </w:p>
              </w:tc>
              <w:tc>
                <w:tcPr>
                  <w:tcW w:w="595" w:type="dxa"/>
                  <w:tcBorders>
                    <w:tl2br w:val="nil"/>
                    <w:tr2bl w:val="nil"/>
                  </w:tcBorders>
                  <w:tcMar>
                    <w:top w:w="15" w:type="dxa"/>
                    <w:left w:w="7" w:type="dxa"/>
                    <w:bottom w:w="0" w:type="dxa"/>
                    <w:right w:w="7" w:type="dxa"/>
                  </w:tcMar>
                  <w:vAlign w:val="center"/>
                </w:tcPr>
                <w:p w14:paraId="4B26A97D">
                  <w:pPr>
                    <w:spacing w:before="24" w:after="24" w:line="240" w:lineRule="auto"/>
                    <w:jc w:val="center"/>
                    <w:rPr>
                      <w:rFonts w:ascii="Times New Roman" w:hAnsi="Times New Roman" w:eastAsia="宋体" w:cs="Times New Roman"/>
                      <w:color w:val="auto"/>
                      <w:spacing w:val="-2"/>
                      <w:sz w:val="21"/>
                      <w:u w:val="none"/>
                    </w:rPr>
                  </w:pPr>
                  <w:r>
                    <w:rPr>
                      <w:rFonts w:ascii="Times New Roman" w:hAnsi="Times New Roman" w:eastAsia="宋体" w:cs="Times New Roman"/>
                      <w:color w:val="auto"/>
                      <w:spacing w:val="-2"/>
                      <w:sz w:val="21"/>
                      <w:u w:val="none"/>
                    </w:rPr>
                    <w:t>无</w:t>
                  </w:r>
                </w:p>
              </w:tc>
              <w:tc>
                <w:tcPr>
                  <w:tcW w:w="1897" w:type="dxa"/>
                  <w:tcBorders>
                    <w:tl2br w:val="nil"/>
                    <w:tr2bl w:val="nil"/>
                  </w:tcBorders>
                  <w:tcMar>
                    <w:top w:w="15" w:type="dxa"/>
                    <w:left w:w="7" w:type="dxa"/>
                    <w:bottom w:w="0" w:type="dxa"/>
                    <w:right w:w="7" w:type="dxa"/>
                  </w:tcMar>
                  <w:vAlign w:val="center"/>
                </w:tcPr>
                <w:p w14:paraId="4B75CD37">
                  <w:pPr>
                    <w:spacing w:before="24" w:after="24" w:line="240" w:lineRule="auto"/>
                    <w:jc w:val="center"/>
                    <w:rPr>
                      <w:rFonts w:ascii="Times New Roman" w:hAnsi="Times New Roman" w:eastAsia="宋体" w:cs="Times New Roman"/>
                      <w:color w:val="auto"/>
                      <w:spacing w:val="-2"/>
                      <w:sz w:val="21"/>
                      <w:u w:val="none"/>
                    </w:rPr>
                  </w:pPr>
                  <w:r>
                    <w:rPr>
                      <w:rFonts w:ascii="Times New Roman" w:hAnsi="Times New Roman" w:eastAsia="宋体" w:cs="Times New Roman"/>
                      <w:color w:val="auto"/>
                      <w:spacing w:val="-2"/>
                      <w:sz w:val="21"/>
                      <w:u w:val="none"/>
                    </w:rPr>
                    <w:t>经调查不涉及</w:t>
                  </w:r>
                </w:p>
              </w:tc>
              <w:tc>
                <w:tcPr>
                  <w:tcW w:w="2242" w:type="dxa"/>
                  <w:tcBorders>
                    <w:tl2br w:val="nil"/>
                    <w:tr2bl w:val="nil"/>
                  </w:tcBorders>
                  <w:vAlign w:val="center"/>
                </w:tcPr>
                <w:p w14:paraId="2CBCA540">
                  <w:pPr>
                    <w:spacing w:before="24" w:after="24" w:line="240" w:lineRule="auto"/>
                    <w:jc w:val="center"/>
                    <w:rPr>
                      <w:rFonts w:ascii="Times New Roman" w:hAnsi="Times New Roman" w:eastAsia="宋体" w:cs="Times New Roman"/>
                      <w:color w:val="auto"/>
                      <w:spacing w:val="-2"/>
                      <w:sz w:val="21"/>
                      <w:u w:val="none"/>
                    </w:rPr>
                  </w:pPr>
                  <w:r>
                    <w:rPr>
                      <w:rFonts w:hint="default" w:ascii="Times New Roman" w:hAnsi="Times New Roman" w:eastAsia="宋体" w:cs="Times New Roman"/>
                      <w:color w:val="auto"/>
                      <w:spacing w:val="-2"/>
                      <w:sz w:val="21"/>
                      <w:u w:val="none"/>
                      <w:lang w:eastAsia="zh-CN"/>
                    </w:rPr>
                    <w:t>通道县</w:t>
                  </w:r>
                  <w:r>
                    <w:rPr>
                      <w:rFonts w:hint="default" w:ascii="Times New Roman" w:hAnsi="Times New Roman" w:eastAsia="宋体" w:cs="Times New Roman"/>
                      <w:color w:val="auto"/>
                      <w:spacing w:val="-2"/>
                      <w:sz w:val="21"/>
                      <w:u w:val="none"/>
                    </w:rPr>
                    <w:t>林业局</w:t>
                  </w:r>
                  <w:r>
                    <w:rPr>
                      <w:rFonts w:ascii="Times New Roman" w:hAnsi="Times New Roman" w:eastAsia="宋体" w:cs="Times New Roman"/>
                      <w:color w:val="auto"/>
                      <w:spacing w:val="-2"/>
                      <w:sz w:val="21"/>
                      <w:u w:val="none"/>
                    </w:rPr>
                    <w:t>的选址意见</w:t>
                  </w:r>
                </w:p>
              </w:tc>
            </w:tr>
            <w:tr w14:paraId="7D3CA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99" w:type="dxa"/>
                  <w:vMerge w:val="continue"/>
                  <w:tcBorders>
                    <w:tl2br w:val="nil"/>
                    <w:tr2bl w:val="nil"/>
                  </w:tcBorders>
                  <w:vAlign w:val="center"/>
                </w:tcPr>
                <w:p w14:paraId="0B8FB2FE">
                  <w:pPr>
                    <w:spacing w:before="24" w:after="24" w:line="240" w:lineRule="auto"/>
                    <w:jc w:val="center"/>
                    <w:rPr>
                      <w:rFonts w:ascii="Times New Roman" w:hAnsi="Times New Roman" w:eastAsia="宋体" w:cs="Times New Roman"/>
                      <w:color w:val="auto"/>
                      <w:spacing w:val="-2"/>
                      <w:sz w:val="21"/>
                      <w:u w:val="none"/>
                    </w:rPr>
                  </w:pPr>
                </w:p>
              </w:tc>
              <w:tc>
                <w:tcPr>
                  <w:tcW w:w="2375" w:type="dxa"/>
                  <w:tcBorders>
                    <w:tl2br w:val="nil"/>
                    <w:tr2bl w:val="nil"/>
                  </w:tcBorders>
                  <w:tcMar>
                    <w:top w:w="15" w:type="dxa"/>
                    <w:left w:w="7" w:type="dxa"/>
                    <w:bottom w:w="0" w:type="dxa"/>
                    <w:right w:w="7" w:type="dxa"/>
                  </w:tcMar>
                  <w:vAlign w:val="center"/>
                </w:tcPr>
                <w:p w14:paraId="787E203F">
                  <w:pPr>
                    <w:spacing w:before="24" w:after="24" w:line="240" w:lineRule="auto"/>
                    <w:jc w:val="center"/>
                    <w:rPr>
                      <w:rFonts w:ascii="Times New Roman" w:hAnsi="Times New Roman" w:eastAsia="宋体" w:cs="Times New Roman"/>
                      <w:color w:val="auto"/>
                      <w:spacing w:val="-2"/>
                      <w:sz w:val="21"/>
                      <w:u w:val="none"/>
                    </w:rPr>
                  </w:pPr>
                  <w:r>
                    <w:rPr>
                      <w:rFonts w:ascii="Times New Roman" w:hAnsi="Times New Roman" w:eastAsia="宋体" w:cs="Times New Roman"/>
                      <w:color w:val="auto"/>
                      <w:spacing w:val="-2"/>
                      <w:sz w:val="21"/>
                      <w:u w:val="none"/>
                    </w:rPr>
                    <w:t>二级国家级公益林中有林地集中区域</w:t>
                  </w:r>
                </w:p>
              </w:tc>
              <w:tc>
                <w:tcPr>
                  <w:tcW w:w="595" w:type="dxa"/>
                  <w:tcBorders>
                    <w:tl2br w:val="nil"/>
                    <w:tr2bl w:val="nil"/>
                  </w:tcBorders>
                  <w:tcMar>
                    <w:top w:w="15" w:type="dxa"/>
                    <w:left w:w="7" w:type="dxa"/>
                    <w:bottom w:w="0" w:type="dxa"/>
                    <w:right w:w="7" w:type="dxa"/>
                  </w:tcMar>
                  <w:vAlign w:val="center"/>
                </w:tcPr>
                <w:p w14:paraId="73BE38DD">
                  <w:pPr>
                    <w:spacing w:before="24" w:after="24" w:line="240" w:lineRule="auto"/>
                    <w:jc w:val="center"/>
                    <w:rPr>
                      <w:rFonts w:ascii="Times New Roman" w:hAnsi="Times New Roman" w:eastAsia="宋体" w:cs="Times New Roman"/>
                      <w:color w:val="auto"/>
                      <w:spacing w:val="-2"/>
                      <w:sz w:val="21"/>
                      <w:u w:val="none"/>
                    </w:rPr>
                  </w:pPr>
                  <w:r>
                    <w:rPr>
                      <w:rFonts w:ascii="Times New Roman" w:hAnsi="Times New Roman" w:eastAsia="宋体" w:cs="Times New Roman"/>
                      <w:color w:val="auto"/>
                      <w:spacing w:val="-2"/>
                      <w:sz w:val="21"/>
                      <w:u w:val="none"/>
                    </w:rPr>
                    <w:t>无</w:t>
                  </w:r>
                </w:p>
              </w:tc>
              <w:tc>
                <w:tcPr>
                  <w:tcW w:w="1897" w:type="dxa"/>
                  <w:tcBorders>
                    <w:tl2br w:val="nil"/>
                    <w:tr2bl w:val="nil"/>
                  </w:tcBorders>
                  <w:tcMar>
                    <w:top w:w="15" w:type="dxa"/>
                    <w:left w:w="7" w:type="dxa"/>
                    <w:bottom w:w="0" w:type="dxa"/>
                    <w:right w:w="7" w:type="dxa"/>
                  </w:tcMar>
                  <w:vAlign w:val="center"/>
                </w:tcPr>
                <w:p w14:paraId="043D518E">
                  <w:pPr>
                    <w:spacing w:before="24" w:after="24" w:line="240" w:lineRule="auto"/>
                    <w:jc w:val="center"/>
                    <w:rPr>
                      <w:rFonts w:ascii="Times New Roman" w:hAnsi="Times New Roman" w:eastAsia="宋体" w:cs="Times New Roman"/>
                      <w:color w:val="auto"/>
                      <w:spacing w:val="-2"/>
                      <w:sz w:val="21"/>
                      <w:u w:val="none"/>
                    </w:rPr>
                  </w:pPr>
                  <w:r>
                    <w:rPr>
                      <w:rFonts w:ascii="Times New Roman" w:hAnsi="Times New Roman" w:eastAsia="宋体" w:cs="Times New Roman"/>
                      <w:color w:val="auto"/>
                      <w:spacing w:val="-2"/>
                      <w:sz w:val="21"/>
                      <w:u w:val="none"/>
                    </w:rPr>
                    <w:t>经调查不涉及</w:t>
                  </w:r>
                </w:p>
              </w:tc>
              <w:tc>
                <w:tcPr>
                  <w:tcW w:w="2242" w:type="dxa"/>
                  <w:tcBorders>
                    <w:tl2br w:val="nil"/>
                    <w:tr2bl w:val="nil"/>
                  </w:tcBorders>
                  <w:vAlign w:val="center"/>
                </w:tcPr>
                <w:p w14:paraId="7EB8294B">
                  <w:pPr>
                    <w:spacing w:before="24" w:after="24" w:line="240" w:lineRule="auto"/>
                    <w:jc w:val="center"/>
                    <w:rPr>
                      <w:rFonts w:ascii="Times New Roman" w:hAnsi="Times New Roman" w:eastAsia="宋体" w:cs="Times New Roman"/>
                      <w:color w:val="auto"/>
                      <w:spacing w:val="-2"/>
                      <w:sz w:val="21"/>
                      <w:u w:val="none"/>
                    </w:rPr>
                  </w:pPr>
                  <w:r>
                    <w:rPr>
                      <w:rFonts w:hint="default" w:ascii="Times New Roman" w:hAnsi="Times New Roman" w:eastAsia="宋体" w:cs="Times New Roman"/>
                      <w:color w:val="auto"/>
                      <w:spacing w:val="-2"/>
                      <w:sz w:val="21"/>
                      <w:u w:val="none"/>
                    </w:rPr>
                    <w:t>《湖南省主体功能区规划》</w:t>
                  </w:r>
                </w:p>
              </w:tc>
            </w:tr>
          </w:tbl>
          <w:p w14:paraId="2DD2AFAA">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本项目已取得</w:t>
            </w:r>
            <w:r>
              <w:rPr>
                <w:rFonts w:hint="eastAsia"/>
                <w:color w:val="000000" w:themeColor="text1"/>
                <w:lang w:eastAsia="zh-CN"/>
                <w14:textFill>
                  <w14:solidFill>
                    <w14:schemeClr w14:val="tx1"/>
                  </w14:solidFill>
                </w14:textFill>
              </w:rPr>
              <w:t>怀化市通道县</w:t>
            </w:r>
            <w:r>
              <w:rPr>
                <w:rFonts w:hint="eastAsia"/>
                <w:color w:val="000000" w:themeColor="text1"/>
                <w14:textFill>
                  <w14:solidFill>
                    <w14:schemeClr w14:val="tx1"/>
                  </w14:solidFill>
                </w14:textFill>
              </w:rPr>
              <w:t>林业局</w:t>
            </w:r>
            <w:r>
              <w:rPr>
                <w:color w:val="000000" w:themeColor="text1"/>
                <w14:textFill>
                  <w14:solidFill>
                    <w14:schemeClr w14:val="tx1"/>
                  </w14:solidFill>
                </w14:textFill>
              </w:rPr>
              <w:t>关于本项目占地意见（附件</w:t>
            </w:r>
            <w:r>
              <w:rPr>
                <w:rFonts w:hint="eastAsia"/>
                <w:color w:val="000000" w:themeColor="text1"/>
                <w:lang w:val="en-US" w:eastAsia="zh-CN"/>
                <w14:textFill>
                  <w14:solidFill>
                    <w14:schemeClr w14:val="tx1"/>
                  </w14:solidFill>
                </w14:textFill>
              </w:rPr>
              <w:t>7</w:t>
            </w:r>
            <w:r>
              <w:rPr>
                <w:color w:val="000000" w:themeColor="text1"/>
                <w14:textFill>
                  <w14:solidFill>
                    <w14:schemeClr w14:val="tx1"/>
                  </w14:solidFill>
                </w14:textFill>
              </w:rPr>
              <w:t>）：</w:t>
            </w:r>
            <w:bookmarkStart w:id="18" w:name="_Hlk29987929"/>
            <w:r>
              <w:rPr>
                <w:rFonts w:hint="eastAsia"/>
                <w:color w:val="000000" w:themeColor="text1"/>
                <w14:textFill>
                  <w14:solidFill>
                    <w14:schemeClr w14:val="tx1"/>
                  </w14:solidFill>
                </w14:textFill>
              </w:rPr>
              <w:t>该项目选址位于湖南省怀化市通道侗族自治县牙屯堡、坪坦乡、双江镇一带山脉，拟建风机平台和升压站选址使用林地范围不涉及国家一级公益林、国家二级公益林的有林地、天然乔木林(竹林)地、自然保护地、鸟类迁徙通道以及国家森林公园等生态敏感区限制风电开发的因素，</w:t>
            </w:r>
            <w:r>
              <w:rPr>
                <w:color w:val="000000" w:themeColor="text1"/>
                <w14:textFill>
                  <w14:solidFill>
                    <w14:schemeClr w14:val="tx1"/>
                  </w14:solidFill>
                </w14:textFill>
              </w:rPr>
              <w:t>项目选址不在《关于进一步规范风电发展的通知》(湘发改能源〔2016〕822号)和《国家林业和草原局关于规范风电场项目建设使用林地的通知》（林资发[2019]17号）中禁止建设的区域。</w:t>
            </w:r>
            <w:r>
              <w:rPr>
                <w:rFonts w:hint="eastAsia"/>
                <w:color w:val="000000" w:themeColor="text1"/>
                <w:lang w:val="en-US" w:eastAsia="zh-CN"/>
                <w14:textFill>
                  <w14:solidFill>
                    <w14:schemeClr w14:val="tx1"/>
                  </w14:solidFill>
                </w14:textFill>
              </w:rPr>
              <w:t xml:space="preserve"> </w:t>
            </w:r>
            <w:bookmarkEnd w:id="18"/>
            <w:r>
              <w:rPr>
                <w:color w:val="000000" w:themeColor="text1"/>
                <w14:textFill>
                  <w14:solidFill>
                    <w14:schemeClr w14:val="tx1"/>
                  </w14:solidFill>
                </w14:textFill>
              </w:rPr>
              <w:t>本项目符合《国家林业和草原局关于规范风电场项目使用林地的通知》（林资发[2019]17号）要求。</w:t>
            </w:r>
          </w:p>
          <w:p w14:paraId="72CC9E0C">
            <w:pPr>
              <w:ind w:firstLine="480" w:firstLineChars="200"/>
              <w:rPr>
                <w:color w:val="auto"/>
              </w:rPr>
            </w:pPr>
            <w:r>
              <w:rPr>
                <w:rFonts w:hint="eastAsia"/>
                <w:color w:val="auto"/>
              </w:rPr>
              <w:t>1.1.7</w:t>
            </w:r>
            <w:r>
              <w:rPr>
                <w:color w:val="auto"/>
              </w:rPr>
              <w:t>《水利部关于加强河湖水域岸线空间管控的指导意见》符合性分析</w:t>
            </w:r>
          </w:p>
          <w:p w14:paraId="59E726E2">
            <w:pPr>
              <w:ind w:firstLine="480" w:firstLineChars="200"/>
              <w:rPr>
                <w:color w:val="auto"/>
              </w:rPr>
            </w:pPr>
            <w:r>
              <w:rPr>
                <w:color w:val="auto"/>
              </w:rPr>
              <w:t>根据《水利部关于加强河湖水域岸线空间管控的指导意见》（</w:t>
            </w:r>
            <w:r>
              <w:rPr>
                <w:rFonts w:hint="eastAsia"/>
                <w:color w:val="auto"/>
              </w:rPr>
              <w:t>水河湖</w:t>
            </w:r>
            <w:r>
              <w:rPr>
                <w:color w:val="auto"/>
              </w:rPr>
              <w:t>[2</w:t>
            </w:r>
            <w:r>
              <w:rPr>
                <w:rFonts w:hint="eastAsia"/>
                <w:color w:val="auto"/>
              </w:rPr>
              <w:t>022</w:t>
            </w:r>
            <w:r>
              <w:rPr>
                <w:color w:val="auto"/>
              </w:rPr>
              <w:t>]</w:t>
            </w:r>
            <w:r>
              <w:rPr>
                <w:rFonts w:hint="eastAsia"/>
                <w:color w:val="auto"/>
              </w:rPr>
              <w:t>216</w:t>
            </w:r>
            <w:r>
              <w:rPr>
                <w:color w:val="auto"/>
              </w:rPr>
              <w:t>号）（20</w:t>
            </w:r>
            <w:r>
              <w:rPr>
                <w:rFonts w:hint="eastAsia"/>
                <w:color w:val="auto"/>
              </w:rPr>
              <w:t>22</w:t>
            </w:r>
            <w:r>
              <w:rPr>
                <w:color w:val="auto"/>
              </w:rPr>
              <w:t>年</w:t>
            </w:r>
            <w:r>
              <w:rPr>
                <w:rFonts w:hint="eastAsia"/>
                <w:color w:val="auto"/>
              </w:rPr>
              <w:t>5</w:t>
            </w:r>
            <w:r>
              <w:rPr>
                <w:color w:val="auto"/>
              </w:rPr>
              <w:t>月2</w:t>
            </w:r>
            <w:r>
              <w:rPr>
                <w:rFonts w:hint="eastAsia"/>
                <w:color w:val="auto"/>
              </w:rPr>
              <w:t>0</w:t>
            </w:r>
            <w:r>
              <w:rPr>
                <w:color w:val="auto"/>
              </w:rPr>
              <w:t>日）：</w:t>
            </w:r>
            <w:r>
              <w:rPr>
                <w:rFonts w:hint="eastAsia"/>
                <w:color w:val="auto"/>
              </w:rPr>
              <w:t>“（五）严格管控各类水域岸线利用行为。光伏电站、风力发电等项目不得在河道、湖泊、水库内建设。在湖泊周边、水库库汊建设光伏、风电项目的，要科学论证，严格管控，不得布设在具有防洪、供水功能和水生态、水环境保护需求的区域，不得妨碍行洪通畅，不得危害水库大坝和堤防等水利工程设施安全，不得影响河势稳定和航运安全。”</w:t>
            </w:r>
          </w:p>
          <w:p w14:paraId="5E4E6389">
            <w:pPr>
              <w:ind w:firstLine="480" w:firstLineChars="200"/>
              <w:rPr>
                <w:rFonts w:hint="eastAsia"/>
                <w:color w:val="auto"/>
              </w:rPr>
            </w:pPr>
            <w:r>
              <w:rPr>
                <w:rFonts w:hint="eastAsia"/>
                <w:color w:val="auto"/>
              </w:rPr>
              <w:t>本项目位于</w:t>
            </w:r>
            <w:r>
              <w:rPr>
                <w:rFonts w:hint="eastAsia"/>
                <w:color w:val="auto"/>
                <w:lang w:val="en-US" w:eastAsia="zh-CN"/>
              </w:rPr>
              <w:t>通道县</w:t>
            </w:r>
            <w:r>
              <w:rPr>
                <w:rFonts w:hint="eastAsia"/>
                <w:color w:val="auto"/>
              </w:rPr>
              <w:t>境内的丘陵地貌区，项目占地不涉及河道、湖泊、水库，不在湖泊周边、水库库汊内，因此，本项目建设符合</w:t>
            </w:r>
            <w:r>
              <w:rPr>
                <w:color w:val="auto"/>
              </w:rPr>
              <w:t>《水利部关于加强河湖水域岸线空间管控的指导意见》（</w:t>
            </w:r>
            <w:r>
              <w:rPr>
                <w:rFonts w:hint="eastAsia"/>
                <w:color w:val="auto"/>
              </w:rPr>
              <w:t>水河湖</w:t>
            </w:r>
            <w:r>
              <w:rPr>
                <w:color w:val="auto"/>
              </w:rPr>
              <w:t>[2</w:t>
            </w:r>
            <w:r>
              <w:rPr>
                <w:rFonts w:hint="eastAsia"/>
                <w:color w:val="auto"/>
              </w:rPr>
              <w:t>022</w:t>
            </w:r>
            <w:r>
              <w:rPr>
                <w:color w:val="auto"/>
              </w:rPr>
              <w:t>]</w:t>
            </w:r>
            <w:r>
              <w:rPr>
                <w:rFonts w:hint="eastAsia"/>
                <w:color w:val="auto"/>
              </w:rPr>
              <w:t>216</w:t>
            </w:r>
            <w:r>
              <w:rPr>
                <w:color w:val="auto"/>
              </w:rPr>
              <w:t>号）</w:t>
            </w:r>
            <w:r>
              <w:rPr>
                <w:rFonts w:hint="eastAsia"/>
                <w:color w:val="auto"/>
              </w:rPr>
              <w:t>要求。</w:t>
            </w:r>
          </w:p>
          <w:p w14:paraId="144F38E6">
            <w:pPr>
              <w:ind w:firstLine="482" w:firstLineChars="200"/>
              <w:rPr>
                <w:rFonts w:hint="eastAsia" w:ascii="Times New Roman" w:hAnsi="Times New Roman" w:eastAsia="宋体" w:cs="Times New Roman"/>
                <w:b/>
                <w:bCs/>
                <w:color w:val="auto"/>
                <w:kern w:val="2"/>
                <w:sz w:val="24"/>
                <w:szCs w:val="32"/>
                <w:u w:val="none"/>
                <w:lang w:val="en-US" w:eastAsia="zh-CN" w:bidi="ar-SA"/>
              </w:rPr>
            </w:pPr>
            <w:r>
              <w:rPr>
                <w:rFonts w:hint="eastAsia" w:cs="Times New Roman"/>
                <w:b/>
                <w:bCs/>
                <w:color w:val="auto"/>
                <w:kern w:val="2"/>
                <w:sz w:val="24"/>
                <w:szCs w:val="32"/>
                <w:u w:val="none"/>
                <w:lang w:val="en-US" w:eastAsia="zh-CN" w:bidi="ar-SA"/>
              </w:rPr>
              <w:t>1.1.8</w:t>
            </w:r>
            <w:r>
              <w:rPr>
                <w:rFonts w:hint="eastAsia" w:ascii="Times New Roman" w:hAnsi="Times New Roman" w:eastAsia="宋体" w:cs="Times New Roman"/>
                <w:b/>
                <w:bCs/>
                <w:color w:val="auto"/>
                <w:kern w:val="2"/>
                <w:sz w:val="24"/>
                <w:szCs w:val="32"/>
                <w:u w:val="none"/>
                <w:lang w:val="en-US" w:eastAsia="zh-CN" w:bidi="ar-SA"/>
              </w:rPr>
              <w:t>与《中共中央 国务院关于完整准确全面贯彻新发展理念做好碳达峰碳中和工作的意见》（2021 年 9 月 22 日）符合性分析</w:t>
            </w:r>
          </w:p>
          <w:p w14:paraId="39926B10">
            <w:pPr>
              <w:ind w:firstLine="480" w:firstLineChars="200"/>
              <w:rPr>
                <w:rFonts w:hint="eastAsia"/>
                <w:color w:val="auto"/>
                <w:u w:val="none"/>
                <w:lang w:val="en-US" w:eastAsia="zh-CN"/>
              </w:rPr>
            </w:pPr>
            <w:r>
              <w:rPr>
                <w:rFonts w:hint="eastAsia"/>
                <w:color w:val="auto"/>
                <w:u w:val="none"/>
                <w:lang w:val="en-US" w:eastAsia="zh-CN"/>
              </w:rPr>
              <w:t>根据《中共中央 国务院关于完整准确全面贯彻新发展理念做好碳达峰</w:t>
            </w:r>
          </w:p>
          <w:p w14:paraId="08C37491">
            <w:pPr>
              <w:ind w:firstLine="480" w:firstLineChars="200"/>
              <w:rPr>
                <w:rFonts w:hint="eastAsia"/>
                <w:color w:val="auto"/>
                <w:u w:val="none"/>
                <w:lang w:val="en-US" w:eastAsia="zh-CN"/>
              </w:rPr>
            </w:pPr>
            <w:r>
              <w:rPr>
                <w:rFonts w:hint="eastAsia"/>
                <w:color w:val="auto"/>
                <w:u w:val="none"/>
                <w:lang w:val="en-US" w:eastAsia="zh-CN"/>
              </w:rPr>
              <w:t>碳中和工作的意见》（2021年9月22日），第二章中提到“到2030年，</w:t>
            </w:r>
          </w:p>
          <w:p w14:paraId="6847700F">
            <w:pPr>
              <w:ind w:firstLine="480" w:firstLineChars="200"/>
              <w:rPr>
                <w:rFonts w:hint="eastAsia"/>
                <w:color w:val="auto"/>
                <w:u w:val="none"/>
                <w:lang w:val="en-US" w:eastAsia="zh-CN"/>
              </w:rPr>
            </w:pPr>
            <w:r>
              <w:rPr>
                <w:rFonts w:hint="eastAsia"/>
                <w:color w:val="auto"/>
                <w:u w:val="none"/>
                <w:lang w:val="en-US" w:eastAsia="zh-CN"/>
              </w:rPr>
              <w:t>经济社会发展全面绿色转型取得显著成效，重点耗能行业能源利用效率达到国际先进水平。单位国内生产总值能耗大幅下降；单位国内生产总值二氧化碳排放比2005年下降 65%以上；非化石能源消费比重达到25%左右，风电、太阳能发电总装机容量达到12亿千瓦以上；森林覆盖率达到25%左右，森林蓄积量达到190亿立方米，二氧化碳排放量达到峰值并实现稳中有降。”，第五章提到“（十二）积极发展非化石能源。实施可再生能源替代行动，大力发展风能、太阳能、生物质能、海洋能、地热能等，不断提高非化石能源消费比重。坚持集中式与分布式并举，优先推动风能、太阳能就地就近开发利用。因地制宜开发水能。积极安全有序发展核电。合理利用生物质能。加快推进抽水蓄能和新型储能规模化应用。统筹推进氢能“制储输用”全链条发展。构建以新能源为主体的新型电力系统，提高电网对高比例可再生能源的消纳和调控能力。”</w:t>
            </w:r>
          </w:p>
          <w:p w14:paraId="3380CC1C">
            <w:pPr>
              <w:ind w:firstLine="480" w:firstLineChars="200"/>
              <w:rPr>
                <w:rFonts w:hint="eastAsia"/>
                <w:color w:val="auto"/>
                <w:u w:val="none"/>
                <w:lang w:val="en-US" w:eastAsia="zh-CN"/>
              </w:rPr>
            </w:pPr>
            <w:r>
              <w:rPr>
                <w:rFonts w:hint="eastAsia"/>
                <w:color w:val="auto"/>
                <w:u w:val="none"/>
                <w:lang w:val="en-US" w:eastAsia="zh-CN"/>
              </w:rPr>
              <w:t>本工程为风力发电项目，项目总装机容量75MW，每年可为电网提供</w:t>
            </w:r>
          </w:p>
          <w:p w14:paraId="5FAFF625">
            <w:pPr>
              <w:ind w:firstLine="480" w:firstLineChars="200"/>
              <w:rPr>
                <w:rFonts w:hint="eastAsia"/>
                <w:color w:val="auto"/>
                <w:u w:val="none"/>
                <w:lang w:val="en-US" w:eastAsia="zh-CN"/>
              </w:rPr>
            </w:pPr>
            <w:r>
              <w:rPr>
                <w:rFonts w:hint="eastAsia"/>
                <w:color w:val="auto"/>
                <w:u w:val="none"/>
                <w:lang w:val="en-US" w:eastAsia="zh-CN"/>
              </w:rPr>
              <w:t>电量163.55GkW·h，有利于实现“意见”中到2030年，非化石能源消费比重达到25%左右，风电、太阳能发电总装机容量达到12亿千瓦以上的目标；同时也是“意见”中发展非化石能源，实施可再生能源替代行动需要大力发展的风能利用项目。因此，本工程与《中共中央 国务院关于完整准确全面贯彻新发展理念做好碳达峰碳中和工作的意见》（2021年9月22日）是相符的。</w:t>
            </w:r>
          </w:p>
          <w:p w14:paraId="436CB578">
            <w:pPr>
              <w:ind w:firstLine="482" w:firstLineChars="200"/>
              <w:rPr>
                <w:rFonts w:hint="eastAsia" w:cs="Times New Roman"/>
                <w:b/>
                <w:bCs/>
                <w:color w:val="auto"/>
                <w:kern w:val="2"/>
                <w:sz w:val="24"/>
                <w:szCs w:val="32"/>
                <w:u w:val="none"/>
                <w:lang w:val="en-US" w:eastAsia="zh-CN" w:bidi="ar-SA"/>
              </w:rPr>
            </w:pPr>
            <w:bookmarkStart w:id="19" w:name="_Toc5609"/>
            <w:bookmarkStart w:id="20" w:name="_Toc2577"/>
            <w:bookmarkStart w:id="21" w:name="_Toc30532255"/>
            <w:r>
              <w:rPr>
                <w:rFonts w:hint="eastAsia" w:cs="Times New Roman"/>
                <w:b/>
                <w:bCs/>
                <w:color w:val="auto"/>
                <w:kern w:val="2"/>
                <w:sz w:val="24"/>
                <w:szCs w:val="32"/>
                <w:u w:val="none"/>
                <w:lang w:val="en-US" w:eastAsia="zh-CN" w:bidi="ar-SA"/>
              </w:rPr>
              <w:t>1.1.9与《输变电建设项目环境保护技术要求》（HJ1113-2020）符合性分析</w:t>
            </w:r>
          </w:p>
          <w:p w14:paraId="57092A53">
            <w:pPr>
              <w:ind w:firstLine="480" w:firstLineChars="200"/>
              <w:jc w:val="left"/>
              <w:rPr>
                <w:color w:val="000000" w:themeColor="text1"/>
                <w:u w:val="none"/>
                <w14:textFill>
                  <w14:solidFill>
                    <w14:schemeClr w14:val="tx1"/>
                  </w14:solidFill>
                </w14:textFill>
              </w:rPr>
            </w:pPr>
            <w:r>
              <w:rPr>
                <w:rFonts w:hint="eastAsia" w:ascii="Times New Roman" w:hAnsi="Times New Roman" w:eastAsia="宋体" w:cs="Times New Roman"/>
                <w:b w:val="0"/>
                <w:bCs w:val="0"/>
                <w:color w:val="auto"/>
                <w:kern w:val="2"/>
                <w:sz w:val="24"/>
                <w:szCs w:val="24"/>
                <w:u w:val="none"/>
                <w:lang w:val="en-US" w:eastAsia="zh-CN" w:bidi="ar-SA"/>
              </w:rPr>
              <w:t>本项目升压站送出线路的电磁环境影响评价工作不包括在本次评价内。根据《输变电建设项目环境保护技术要求》（HJ1113-2020）中的关于选址、设计、保护措施等要求，具体分析本项目与该技术规范相符性如下表。</w:t>
            </w:r>
          </w:p>
          <w:p w14:paraId="712BA5E7">
            <w:pPr>
              <w:ind w:firstLine="480" w:firstLineChars="200"/>
              <w:jc w:val="left"/>
              <w:rPr>
                <w:color w:val="000000" w:themeColor="text1"/>
                <w:u w:val="none"/>
                <w14:textFill>
                  <w14:solidFill>
                    <w14:schemeClr w14:val="tx1"/>
                  </w14:solidFill>
                </w14:textFill>
              </w:rPr>
            </w:pPr>
            <w:r>
              <w:rPr>
                <w:color w:val="000000" w:themeColor="text1"/>
                <w:u w:val="none"/>
                <w14:textFill>
                  <w14:solidFill>
                    <w14:schemeClr w14:val="tx1"/>
                  </w14:solidFill>
                </w14:textFill>
              </w:rPr>
              <w:t>表1</w:t>
            </w:r>
            <w:r>
              <w:rPr>
                <w:rFonts w:hint="eastAsia"/>
                <w:color w:val="000000" w:themeColor="text1"/>
                <w:u w:val="none"/>
                <w14:textFill>
                  <w14:solidFill>
                    <w14:schemeClr w14:val="tx1"/>
                  </w14:solidFill>
                </w14:textFill>
              </w:rPr>
              <w:t>.1</w:t>
            </w:r>
            <w:r>
              <w:rPr>
                <w:color w:val="000000" w:themeColor="text1"/>
                <w:u w:val="none"/>
                <w14:textFill>
                  <w14:solidFill>
                    <w14:schemeClr w14:val="tx1"/>
                  </w14:solidFill>
                </w14:textFill>
              </w:rPr>
              <w:t>-</w:t>
            </w:r>
            <w:r>
              <w:rPr>
                <w:rFonts w:hint="eastAsia"/>
                <w:color w:val="000000" w:themeColor="text1"/>
                <w:u w:val="none"/>
                <w:lang w:val="en-US" w:eastAsia="zh-CN"/>
                <w14:textFill>
                  <w14:solidFill>
                    <w14:schemeClr w14:val="tx1"/>
                  </w14:solidFill>
                </w14:textFill>
              </w:rPr>
              <w:t>3</w:t>
            </w:r>
            <w:r>
              <w:rPr>
                <w:color w:val="000000" w:themeColor="text1"/>
                <w:u w:val="none"/>
                <w14:textFill>
                  <w14:solidFill>
                    <w14:schemeClr w14:val="tx1"/>
                  </w14:solidFill>
                </w14:textFill>
              </w:rPr>
              <w:t xml:space="preserve">  本项目与</w:t>
            </w:r>
            <w:r>
              <w:rPr>
                <w:rFonts w:hint="eastAsia"/>
                <w:color w:val="000000" w:themeColor="text1"/>
                <w:u w:val="none"/>
                <w14:textFill>
                  <w14:solidFill>
                    <w14:schemeClr w14:val="tx1"/>
                  </w14:solidFill>
                </w14:textFill>
              </w:rPr>
              <w:t>《输变电建设项目环境保护技术要求》（HJ1113-2020）</w:t>
            </w:r>
            <w:r>
              <w:rPr>
                <w:color w:val="000000" w:themeColor="text1"/>
                <w:u w:val="none"/>
                <w14:textFill>
                  <w14:solidFill>
                    <w14:schemeClr w14:val="tx1"/>
                  </w14:solidFill>
                </w14:textFill>
              </w:rPr>
              <w:t>相符性分析一览表</w:t>
            </w:r>
          </w:p>
          <w:tbl>
            <w:tblPr>
              <w:tblStyle w:val="26"/>
              <w:tblW w:w="78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52"/>
              <w:gridCol w:w="2920"/>
              <w:gridCol w:w="2864"/>
              <w:gridCol w:w="1274"/>
            </w:tblGrid>
            <w:tr w14:paraId="75E49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52" w:type="dxa"/>
                  <w:tcBorders>
                    <w:tl2br w:val="nil"/>
                    <w:tr2bl w:val="nil"/>
                  </w:tcBorders>
                  <w:tcMar>
                    <w:top w:w="15" w:type="dxa"/>
                    <w:left w:w="7" w:type="dxa"/>
                    <w:bottom w:w="0" w:type="dxa"/>
                    <w:right w:w="7" w:type="dxa"/>
                  </w:tcMar>
                  <w:vAlign w:val="center"/>
                </w:tcPr>
                <w:p w14:paraId="6B2446A9">
                  <w:pPr>
                    <w:spacing w:before="24" w:after="24" w:line="240" w:lineRule="auto"/>
                    <w:jc w:val="center"/>
                    <w:rPr>
                      <w:rFonts w:hint="default" w:ascii="Times New Roman" w:hAnsi="Times New Roman" w:eastAsia="宋体" w:cs="Times New Roman"/>
                      <w:b w:val="0"/>
                      <w:bCs w:val="0"/>
                      <w:color w:val="auto"/>
                      <w:spacing w:val="-2"/>
                      <w:sz w:val="21"/>
                      <w:u w:val="none"/>
                      <w:lang w:val="en-US" w:eastAsia="zh-CN"/>
                    </w:rPr>
                  </w:pPr>
                  <w:r>
                    <w:rPr>
                      <w:rFonts w:hint="default" w:ascii="Times New Roman" w:hAnsi="Times New Roman" w:eastAsia="宋体" w:cs="Times New Roman"/>
                      <w:b w:val="0"/>
                      <w:bCs w:val="0"/>
                      <w:color w:val="auto"/>
                      <w:spacing w:val="-2"/>
                      <w:sz w:val="21"/>
                      <w:u w:val="none"/>
                      <w:lang w:val="en-US" w:eastAsia="zh-CN"/>
                    </w:rPr>
                    <w:t>规范</w:t>
                  </w:r>
                </w:p>
              </w:tc>
              <w:tc>
                <w:tcPr>
                  <w:tcW w:w="2920" w:type="dxa"/>
                  <w:tcBorders>
                    <w:tl2br w:val="nil"/>
                    <w:tr2bl w:val="nil"/>
                  </w:tcBorders>
                  <w:tcMar>
                    <w:top w:w="15" w:type="dxa"/>
                    <w:left w:w="7" w:type="dxa"/>
                    <w:bottom w:w="0" w:type="dxa"/>
                    <w:right w:w="7" w:type="dxa"/>
                  </w:tcMar>
                  <w:vAlign w:val="center"/>
                </w:tcPr>
                <w:p w14:paraId="5782AE78">
                  <w:pPr>
                    <w:spacing w:before="24" w:after="24" w:line="240" w:lineRule="auto"/>
                    <w:jc w:val="center"/>
                    <w:rPr>
                      <w:rFonts w:hint="default" w:ascii="Times New Roman" w:hAnsi="Times New Roman" w:eastAsia="宋体" w:cs="Times New Roman"/>
                      <w:b w:val="0"/>
                      <w:bCs w:val="0"/>
                      <w:color w:val="auto"/>
                      <w:spacing w:val="-2"/>
                      <w:sz w:val="21"/>
                      <w:u w:val="none"/>
                      <w:lang w:val="en-US" w:eastAsia="zh-CN"/>
                    </w:rPr>
                  </w:pPr>
                  <w:r>
                    <w:rPr>
                      <w:rFonts w:hint="default" w:ascii="Times New Roman" w:hAnsi="Times New Roman" w:eastAsia="宋体" w:cs="Times New Roman"/>
                      <w:b w:val="0"/>
                      <w:bCs w:val="0"/>
                      <w:color w:val="auto"/>
                      <w:spacing w:val="-2"/>
                      <w:sz w:val="21"/>
                      <w:u w:val="none"/>
                      <w:lang w:val="en-US" w:eastAsia="zh-CN"/>
                    </w:rPr>
                    <w:t xml:space="preserve">要求 </w:t>
                  </w:r>
                </w:p>
              </w:tc>
              <w:tc>
                <w:tcPr>
                  <w:tcW w:w="2864" w:type="dxa"/>
                  <w:tcBorders>
                    <w:tl2br w:val="nil"/>
                    <w:tr2bl w:val="nil"/>
                  </w:tcBorders>
                  <w:tcMar>
                    <w:top w:w="15" w:type="dxa"/>
                    <w:left w:w="7" w:type="dxa"/>
                    <w:bottom w:w="0" w:type="dxa"/>
                    <w:right w:w="7" w:type="dxa"/>
                  </w:tcMar>
                  <w:vAlign w:val="center"/>
                </w:tcPr>
                <w:p w14:paraId="4B245025">
                  <w:pPr>
                    <w:spacing w:before="24" w:after="24" w:line="240" w:lineRule="auto"/>
                    <w:jc w:val="center"/>
                    <w:rPr>
                      <w:rFonts w:hint="default" w:ascii="Times New Roman" w:hAnsi="Times New Roman" w:eastAsia="宋体" w:cs="Times New Roman"/>
                      <w:b w:val="0"/>
                      <w:bCs w:val="0"/>
                      <w:color w:val="auto"/>
                      <w:spacing w:val="-2"/>
                      <w:sz w:val="21"/>
                      <w:u w:val="none"/>
                      <w:lang w:val="en-US" w:eastAsia="zh-CN"/>
                    </w:rPr>
                  </w:pPr>
                  <w:r>
                    <w:rPr>
                      <w:rFonts w:hint="default" w:ascii="Times New Roman" w:hAnsi="Times New Roman" w:eastAsia="宋体" w:cs="Times New Roman"/>
                      <w:b w:val="0"/>
                      <w:bCs w:val="0"/>
                      <w:color w:val="auto"/>
                      <w:spacing w:val="-2"/>
                      <w:sz w:val="21"/>
                      <w:u w:val="none"/>
                      <w:lang w:val="en-US" w:eastAsia="zh-CN"/>
                    </w:rPr>
                    <w:t>本项目</w:t>
                  </w:r>
                </w:p>
              </w:tc>
              <w:tc>
                <w:tcPr>
                  <w:tcW w:w="1274" w:type="dxa"/>
                  <w:tcBorders>
                    <w:tl2br w:val="nil"/>
                    <w:tr2bl w:val="nil"/>
                  </w:tcBorders>
                  <w:tcMar>
                    <w:top w:w="15" w:type="dxa"/>
                    <w:left w:w="7" w:type="dxa"/>
                    <w:bottom w:w="0" w:type="dxa"/>
                    <w:right w:w="7" w:type="dxa"/>
                  </w:tcMar>
                  <w:vAlign w:val="center"/>
                </w:tcPr>
                <w:p w14:paraId="5C06CB76">
                  <w:pPr>
                    <w:spacing w:before="24" w:after="24" w:line="240" w:lineRule="auto"/>
                    <w:jc w:val="center"/>
                    <w:rPr>
                      <w:rFonts w:hint="default" w:ascii="Times New Roman" w:hAnsi="Times New Roman" w:eastAsia="宋体" w:cs="Times New Roman"/>
                      <w:b w:val="0"/>
                      <w:bCs w:val="0"/>
                      <w:color w:val="auto"/>
                      <w:spacing w:val="-2"/>
                      <w:sz w:val="21"/>
                      <w:u w:val="none"/>
                      <w:lang w:val="en-US" w:eastAsia="zh-CN"/>
                    </w:rPr>
                  </w:pPr>
                  <w:r>
                    <w:rPr>
                      <w:rFonts w:hint="default" w:ascii="Times New Roman" w:hAnsi="Times New Roman" w:eastAsia="宋体" w:cs="Times New Roman"/>
                      <w:b w:val="0"/>
                      <w:bCs w:val="0"/>
                      <w:color w:val="auto"/>
                      <w:spacing w:val="-2"/>
                      <w:sz w:val="21"/>
                      <w:u w:val="none"/>
                      <w:lang w:val="en-US" w:eastAsia="zh-CN"/>
                    </w:rPr>
                    <w:t>符合性</w:t>
                  </w:r>
                </w:p>
              </w:tc>
            </w:tr>
            <w:tr w14:paraId="79B79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52" w:type="dxa"/>
                  <w:vMerge w:val="restart"/>
                  <w:tcBorders>
                    <w:tl2br w:val="nil"/>
                    <w:tr2bl w:val="nil"/>
                  </w:tcBorders>
                  <w:tcMar>
                    <w:top w:w="15" w:type="dxa"/>
                    <w:left w:w="7" w:type="dxa"/>
                    <w:bottom w:w="0" w:type="dxa"/>
                    <w:right w:w="7" w:type="dxa"/>
                  </w:tcMar>
                  <w:vAlign w:val="center"/>
                </w:tcPr>
                <w:p w14:paraId="3217D91D">
                  <w:pPr>
                    <w:spacing w:before="24" w:after="24" w:line="240" w:lineRule="auto"/>
                    <w:jc w:val="center"/>
                    <w:rPr>
                      <w:rFonts w:hint="default" w:ascii="Times New Roman" w:hAnsi="Times New Roman" w:eastAsia="宋体" w:cs="Times New Roman"/>
                      <w:color w:val="auto"/>
                      <w:spacing w:val="-2"/>
                      <w:sz w:val="21"/>
                      <w:u w:val="none"/>
                      <w:lang w:val="en-US" w:eastAsia="zh-CN"/>
                    </w:rPr>
                  </w:pPr>
                  <w:r>
                    <w:rPr>
                      <w:rFonts w:hint="default" w:ascii="Times New Roman" w:hAnsi="Times New Roman" w:eastAsia="宋体" w:cs="Times New Roman"/>
                      <w:color w:val="auto"/>
                      <w:spacing w:val="-2"/>
                      <w:sz w:val="21"/>
                      <w:u w:val="none"/>
                      <w:lang w:val="en-US" w:eastAsia="zh-CN"/>
                    </w:rPr>
                    <w:t>选址</w:t>
                  </w:r>
                </w:p>
                <w:p w14:paraId="5898BCF1">
                  <w:pPr>
                    <w:spacing w:before="24" w:after="24" w:line="240" w:lineRule="auto"/>
                    <w:jc w:val="center"/>
                    <w:rPr>
                      <w:rFonts w:hint="default" w:ascii="Times New Roman" w:hAnsi="Times New Roman" w:eastAsia="宋体" w:cs="Times New Roman"/>
                      <w:color w:val="auto"/>
                      <w:spacing w:val="-2"/>
                      <w:sz w:val="21"/>
                      <w:u w:val="none"/>
                      <w:lang w:val="en-US" w:eastAsia="zh-CN"/>
                    </w:rPr>
                  </w:pPr>
                  <w:r>
                    <w:rPr>
                      <w:rFonts w:hint="default" w:ascii="Times New Roman" w:hAnsi="Times New Roman" w:eastAsia="宋体" w:cs="Times New Roman"/>
                      <w:color w:val="auto"/>
                      <w:spacing w:val="-2"/>
                      <w:sz w:val="21"/>
                      <w:u w:val="none"/>
                      <w:lang w:val="en-US" w:eastAsia="zh-CN"/>
                    </w:rPr>
                    <w:t xml:space="preserve">选线 </w:t>
                  </w:r>
                </w:p>
              </w:tc>
              <w:tc>
                <w:tcPr>
                  <w:tcW w:w="2920" w:type="dxa"/>
                  <w:tcBorders>
                    <w:tl2br w:val="nil"/>
                    <w:tr2bl w:val="nil"/>
                  </w:tcBorders>
                  <w:tcMar>
                    <w:top w:w="15" w:type="dxa"/>
                    <w:left w:w="7" w:type="dxa"/>
                    <w:bottom w:w="0" w:type="dxa"/>
                    <w:right w:w="7" w:type="dxa"/>
                  </w:tcMar>
                  <w:vAlign w:val="center"/>
                </w:tcPr>
                <w:p w14:paraId="738F8D3A">
                  <w:pPr>
                    <w:spacing w:before="24" w:after="24" w:line="240" w:lineRule="auto"/>
                    <w:jc w:val="center"/>
                    <w:rPr>
                      <w:rFonts w:hint="default" w:ascii="Times New Roman" w:hAnsi="Times New Roman" w:eastAsia="宋体" w:cs="Times New Roman"/>
                      <w:color w:val="auto"/>
                      <w:spacing w:val="-2"/>
                      <w:sz w:val="21"/>
                      <w:u w:val="none"/>
                    </w:rPr>
                  </w:pPr>
                  <w:r>
                    <w:rPr>
                      <w:rFonts w:hint="default" w:ascii="Times New Roman" w:hAnsi="Times New Roman" w:eastAsia="宋体" w:cs="Times New Roman"/>
                      <w:color w:val="auto"/>
                      <w:spacing w:val="-2"/>
                      <w:sz w:val="21"/>
                      <w:u w:val="none"/>
                    </w:rPr>
                    <w:t>输变电建设项目选址选线应符合生态保护红线管控要求，避让自然保护区、饮用水水源保护区等环境敏感区。</w:t>
                  </w:r>
                </w:p>
              </w:tc>
              <w:tc>
                <w:tcPr>
                  <w:tcW w:w="2864" w:type="dxa"/>
                  <w:tcBorders>
                    <w:tl2br w:val="nil"/>
                    <w:tr2bl w:val="nil"/>
                  </w:tcBorders>
                  <w:tcMar>
                    <w:top w:w="15" w:type="dxa"/>
                    <w:left w:w="7" w:type="dxa"/>
                    <w:bottom w:w="0" w:type="dxa"/>
                    <w:right w:w="7" w:type="dxa"/>
                  </w:tcMar>
                  <w:vAlign w:val="center"/>
                </w:tcPr>
                <w:p w14:paraId="05E18180">
                  <w:pPr>
                    <w:spacing w:before="24" w:after="24" w:line="240" w:lineRule="auto"/>
                    <w:jc w:val="center"/>
                    <w:rPr>
                      <w:rFonts w:hint="default" w:ascii="Times New Roman" w:hAnsi="Times New Roman" w:eastAsia="宋体" w:cs="Times New Roman"/>
                      <w:color w:val="auto"/>
                      <w:spacing w:val="-2"/>
                      <w:sz w:val="21"/>
                      <w:u w:val="none"/>
                    </w:rPr>
                  </w:pPr>
                  <w:r>
                    <w:rPr>
                      <w:rFonts w:hint="default" w:ascii="Times New Roman" w:hAnsi="Times New Roman" w:eastAsia="宋体" w:cs="Times New Roman"/>
                      <w:color w:val="auto"/>
                      <w:spacing w:val="-2"/>
                      <w:sz w:val="21"/>
                      <w:u w:val="none"/>
                    </w:rPr>
                    <w:t>本项目升压站选址不涉及生态保护红线、自然保护区、饮用水水源保护区等环境敏感区；</w:t>
                  </w:r>
                </w:p>
              </w:tc>
              <w:tc>
                <w:tcPr>
                  <w:tcW w:w="1274" w:type="dxa"/>
                  <w:tcBorders>
                    <w:tl2br w:val="nil"/>
                    <w:tr2bl w:val="nil"/>
                  </w:tcBorders>
                  <w:tcMar>
                    <w:top w:w="15" w:type="dxa"/>
                    <w:left w:w="7" w:type="dxa"/>
                    <w:bottom w:w="0" w:type="dxa"/>
                    <w:right w:w="7" w:type="dxa"/>
                  </w:tcMar>
                  <w:vAlign w:val="center"/>
                </w:tcPr>
                <w:p w14:paraId="0F5D9B44">
                  <w:pPr>
                    <w:spacing w:before="24" w:after="24" w:line="240" w:lineRule="auto"/>
                    <w:jc w:val="center"/>
                    <w:rPr>
                      <w:rFonts w:hint="default" w:ascii="Times New Roman" w:hAnsi="Times New Roman" w:eastAsia="宋体" w:cs="Times New Roman"/>
                      <w:color w:val="auto"/>
                      <w:spacing w:val="-2"/>
                      <w:sz w:val="21"/>
                      <w:u w:val="none"/>
                      <w:lang w:eastAsia="zh-CN"/>
                    </w:rPr>
                  </w:pPr>
                  <w:r>
                    <w:rPr>
                      <w:rFonts w:hint="default" w:ascii="Times New Roman" w:hAnsi="Times New Roman" w:eastAsia="宋体" w:cs="Times New Roman"/>
                      <w:color w:val="auto"/>
                      <w:spacing w:val="-2"/>
                      <w:sz w:val="21"/>
                      <w:u w:val="none"/>
                      <w:lang w:val="en-US" w:eastAsia="zh-CN"/>
                    </w:rPr>
                    <w:t>符合</w:t>
                  </w:r>
                </w:p>
              </w:tc>
            </w:tr>
            <w:tr w14:paraId="202C9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52" w:type="dxa"/>
                  <w:vMerge w:val="continue"/>
                  <w:tcBorders>
                    <w:tl2br w:val="nil"/>
                    <w:tr2bl w:val="nil"/>
                  </w:tcBorders>
                  <w:vAlign w:val="center"/>
                </w:tcPr>
                <w:p w14:paraId="53E7CCAE">
                  <w:pPr>
                    <w:spacing w:before="24" w:after="24" w:line="240" w:lineRule="auto"/>
                    <w:jc w:val="center"/>
                    <w:rPr>
                      <w:rFonts w:hint="default" w:ascii="Times New Roman" w:hAnsi="Times New Roman" w:eastAsia="宋体" w:cs="Times New Roman"/>
                      <w:color w:val="auto"/>
                      <w:spacing w:val="-2"/>
                      <w:sz w:val="21"/>
                      <w:u w:val="none"/>
                    </w:rPr>
                  </w:pPr>
                </w:p>
              </w:tc>
              <w:tc>
                <w:tcPr>
                  <w:tcW w:w="2920" w:type="dxa"/>
                  <w:tcBorders>
                    <w:tl2br w:val="nil"/>
                    <w:tr2bl w:val="nil"/>
                  </w:tcBorders>
                  <w:tcMar>
                    <w:top w:w="15" w:type="dxa"/>
                    <w:left w:w="7" w:type="dxa"/>
                    <w:bottom w:w="0" w:type="dxa"/>
                    <w:right w:w="7" w:type="dxa"/>
                  </w:tcMar>
                  <w:vAlign w:val="center"/>
                </w:tcPr>
                <w:p w14:paraId="29736080">
                  <w:pPr>
                    <w:spacing w:before="24" w:after="24" w:line="240" w:lineRule="auto"/>
                    <w:jc w:val="center"/>
                    <w:rPr>
                      <w:rFonts w:hint="default" w:ascii="Times New Roman" w:hAnsi="Times New Roman" w:eastAsia="宋体" w:cs="Times New Roman"/>
                      <w:color w:val="auto"/>
                      <w:spacing w:val="-2"/>
                      <w:sz w:val="21"/>
                      <w:u w:val="none"/>
                    </w:rPr>
                  </w:pPr>
                  <w:r>
                    <w:rPr>
                      <w:rFonts w:hint="default" w:ascii="Times New Roman" w:hAnsi="Times New Roman" w:eastAsia="宋体" w:cs="Times New Roman"/>
                      <w:color w:val="auto"/>
                      <w:spacing w:val="-2"/>
                      <w:sz w:val="21"/>
                      <w:u w:val="none"/>
                    </w:rPr>
                    <w:t>变电工程在选址时应按终期规模综合考虑进出线走廊规划，避免进出线进入自然保护区、饮用水水源保护区等环境敏感区；</w:t>
                  </w:r>
                </w:p>
              </w:tc>
              <w:tc>
                <w:tcPr>
                  <w:tcW w:w="2864" w:type="dxa"/>
                  <w:tcBorders>
                    <w:tl2br w:val="nil"/>
                    <w:tr2bl w:val="nil"/>
                  </w:tcBorders>
                  <w:tcMar>
                    <w:top w:w="15" w:type="dxa"/>
                    <w:left w:w="7" w:type="dxa"/>
                    <w:bottom w:w="0" w:type="dxa"/>
                    <w:right w:w="7" w:type="dxa"/>
                  </w:tcMar>
                  <w:vAlign w:val="center"/>
                </w:tcPr>
                <w:p w14:paraId="49AB0CE6">
                  <w:pPr>
                    <w:spacing w:before="24" w:after="24" w:line="240" w:lineRule="auto"/>
                    <w:jc w:val="center"/>
                    <w:rPr>
                      <w:rFonts w:hint="default" w:ascii="Times New Roman" w:hAnsi="Times New Roman" w:eastAsia="宋体" w:cs="Times New Roman"/>
                      <w:color w:val="auto"/>
                      <w:spacing w:val="-2"/>
                      <w:sz w:val="21"/>
                      <w:u w:val="none"/>
                    </w:rPr>
                  </w:pPr>
                  <w:r>
                    <w:rPr>
                      <w:rFonts w:hint="default" w:ascii="Times New Roman" w:hAnsi="Times New Roman" w:eastAsia="宋体" w:cs="Times New Roman"/>
                      <w:color w:val="auto"/>
                      <w:spacing w:val="-2"/>
                      <w:sz w:val="21"/>
                      <w:u w:val="none"/>
                    </w:rPr>
                    <w:t>升压站出线走廊初步方案未进入自然保护区、饮用水水源保护区等环境敏感区</w:t>
                  </w:r>
                </w:p>
              </w:tc>
              <w:tc>
                <w:tcPr>
                  <w:tcW w:w="1274" w:type="dxa"/>
                  <w:tcBorders>
                    <w:tl2br w:val="nil"/>
                    <w:tr2bl w:val="nil"/>
                  </w:tcBorders>
                  <w:vAlign w:val="center"/>
                </w:tcPr>
                <w:p w14:paraId="4BB4C81A">
                  <w:pPr>
                    <w:spacing w:before="24" w:after="24" w:line="240" w:lineRule="auto"/>
                    <w:ind w:firstLineChars="200"/>
                    <w:jc w:val="center"/>
                    <w:rPr>
                      <w:rFonts w:hint="default" w:ascii="Times New Roman" w:hAnsi="Times New Roman" w:eastAsia="宋体" w:cs="Times New Roman"/>
                      <w:color w:val="auto"/>
                      <w:spacing w:val="-2"/>
                      <w:sz w:val="21"/>
                      <w:u w:val="none"/>
                    </w:rPr>
                  </w:pPr>
                  <w:r>
                    <w:rPr>
                      <w:rFonts w:hint="default" w:ascii="Times New Roman" w:hAnsi="Times New Roman" w:eastAsia="宋体" w:cs="Times New Roman"/>
                      <w:color w:val="auto"/>
                      <w:spacing w:val="-2"/>
                      <w:sz w:val="21"/>
                      <w:u w:val="none"/>
                      <w:lang w:val="en-US" w:eastAsia="zh-CN"/>
                    </w:rPr>
                    <w:t>符合</w:t>
                  </w:r>
                </w:p>
              </w:tc>
            </w:tr>
            <w:tr w14:paraId="1D1C3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52" w:type="dxa"/>
                  <w:vMerge w:val="continue"/>
                  <w:tcBorders>
                    <w:tl2br w:val="nil"/>
                    <w:tr2bl w:val="nil"/>
                  </w:tcBorders>
                  <w:vAlign w:val="center"/>
                </w:tcPr>
                <w:p w14:paraId="5570C362">
                  <w:pPr>
                    <w:spacing w:before="24" w:after="24" w:line="240" w:lineRule="auto"/>
                    <w:jc w:val="center"/>
                    <w:rPr>
                      <w:rFonts w:hint="default" w:ascii="Times New Roman" w:hAnsi="Times New Roman" w:eastAsia="宋体" w:cs="Times New Roman"/>
                      <w:color w:val="auto"/>
                      <w:spacing w:val="-2"/>
                      <w:sz w:val="21"/>
                      <w:u w:val="none"/>
                    </w:rPr>
                  </w:pPr>
                </w:p>
              </w:tc>
              <w:tc>
                <w:tcPr>
                  <w:tcW w:w="2920" w:type="dxa"/>
                  <w:tcBorders>
                    <w:tl2br w:val="nil"/>
                    <w:tr2bl w:val="nil"/>
                  </w:tcBorders>
                  <w:tcMar>
                    <w:top w:w="15" w:type="dxa"/>
                    <w:left w:w="7" w:type="dxa"/>
                    <w:bottom w:w="0" w:type="dxa"/>
                    <w:right w:w="7" w:type="dxa"/>
                  </w:tcMar>
                  <w:vAlign w:val="center"/>
                </w:tcPr>
                <w:p w14:paraId="533E785A">
                  <w:pPr>
                    <w:spacing w:before="24" w:after="24" w:line="240" w:lineRule="auto"/>
                    <w:jc w:val="center"/>
                    <w:rPr>
                      <w:rFonts w:hint="default" w:ascii="Times New Roman" w:hAnsi="Times New Roman" w:eastAsia="宋体" w:cs="Times New Roman"/>
                      <w:color w:val="auto"/>
                      <w:spacing w:val="-2"/>
                      <w:sz w:val="21"/>
                      <w:u w:val="none"/>
                    </w:rPr>
                  </w:pPr>
                  <w:r>
                    <w:rPr>
                      <w:rFonts w:hint="default" w:ascii="Times New Roman" w:hAnsi="Times New Roman" w:eastAsia="宋体" w:cs="Times New Roman"/>
                      <w:color w:val="auto"/>
                      <w:spacing w:val="-2"/>
                      <w:sz w:val="21"/>
                      <w:u w:val="none"/>
                    </w:rPr>
                    <w:t>变电工程选址时，应综合考虑减少土地占用、植被砍伐和弃土弃渣等，以减少对生态环境的不利影响；</w:t>
                  </w:r>
                </w:p>
              </w:tc>
              <w:tc>
                <w:tcPr>
                  <w:tcW w:w="2864" w:type="dxa"/>
                  <w:tcBorders>
                    <w:tl2br w:val="nil"/>
                    <w:tr2bl w:val="nil"/>
                  </w:tcBorders>
                  <w:tcMar>
                    <w:top w:w="15" w:type="dxa"/>
                    <w:left w:w="7" w:type="dxa"/>
                    <w:bottom w:w="0" w:type="dxa"/>
                    <w:right w:w="7" w:type="dxa"/>
                  </w:tcMar>
                  <w:vAlign w:val="center"/>
                </w:tcPr>
                <w:p w14:paraId="36147278">
                  <w:pPr>
                    <w:spacing w:before="24" w:after="24" w:line="240" w:lineRule="auto"/>
                    <w:jc w:val="center"/>
                    <w:rPr>
                      <w:rFonts w:hint="default" w:ascii="Times New Roman" w:hAnsi="Times New Roman" w:eastAsia="宋体" w:cs="Times New Roman"/>
                      <w:color w:val="auto"/>
                      <w:spacing w:val="-2"/>
                      <w:sz w:val="21"/>
                      <w:u w:val="none"/>
                    </w:rPr>
                  </w:pPr>
                  <w:r>
                    <w:rPr>
                      <w:rFonts w:hint="default" w:ascii="Times New Roman" w:hAnsi="Times New Roman" w:eastAsia="宋体" w:cs="Times New Roman"/>
                      <w:color w:val="auto"/>
                      <w:spacing w:val="-2"/>
                      <w:sz w:val="21"/>
                      <w:u w:val="none"/>
                    </w:rPr>
                    <w:t>升压站选址时已充分考虑占地情况，尽可能少占地；</w:t>
                  </w:r>
                </w:p>
              </w:tc>
              <w:tc>
                <w:tcPr>
                  <w:tcW w:w="1274" w:type="dxa"/>
                  <w:tcBorders>
                    <w:tl2br w:val="nil"/>
                    <w:tr2bl w:val="nil"/>
                  </w:tcBorders>
                  <w:vAlign w:val="center"/>
                </w:tcPr>
                <w:p w14:paraId="424893F3">
                  <w:pPr>
                    <w:spacing w:before="24" w:after="24" w:line="240" w:lineRule="auto"/>
                    <w:ind w:firstLineChars="200"/>
                    <w:jc w:val="center"/>
                    <w:rPr>
                      <w:rFonts w:hint="default" w:ascii="Times New Roman" w:hAnsi="Times New Roman" w:eastAsia="宋体" w:cs="Times New Roman"/>
                      <w:color w:val="auto"/>
                      <w:spacing w:val="-2"/>
                      <w:sz w:val="21"/>
                      <w:u w:val="none"/>
                    </w:rPr>
                  </w:pPr>
                  <w:r>
                    <w:rPr>
                      <w:rFonts w:hint="default" w:ascii="Times New Roman" w:hAnsi="Times New Roman" w:eastAsia="宋体" w:cs="Times New Roman"/>
                      <w:color w:val="auto"/>
                      <w:spacing w:val="-2"/>
                      <w:sz w:val="21"/>
                      <w:u w:val="none"/>
                      <w:lang w:val="en-US" w:eastAsia="zh-CN"/>
                    </w:rPr>
                    <w:t>符合</w:t>
                  </w:r>
                </w:p>
              </w:tc>
            </w:tr>
            <w:tr w14:paraId="25C67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52" w:type="dxa"/>
                  <w:vMerge w:val="continue"/>
                  <w:tcBorders>
                    <w:tl2br w:val="nil"/>
                    <w:tr2bl w:val="nil"/>
                  </w:tcBorders>
                  <w:vAlign w:val="center"/>
                </w:tcPr>
                <w:p w14:paraId="64A35452">
                  <w:pPr>
                    <w:spacing w:before="24" w:after="24" w:line="240" w:lineRule="auto"/>
                    <w:jc w:val="center"/>
                    <w:rPr>
                      <w:rFonts w:hint="default" w:ascii="Times New Roman" w:hAnsi="Times New Roman" w:eastAsia="宋体" w:cs="Times New Roman"/>
                      <w:color w:val="auto"/>
                      <w:spacing w:val="-2"/>
                      <w:sz w:val="21"/>
                      <w:u w:val="none"/>
                    </w:rPr>
                  </w:pPr>
                </w:p>
              </w:tc>
              <w:tc>
                <w:tcPr>
                  <w:tcW w:w="2920" w:type="dxa"/>
                  <w:tcBorders>
                    <w:tl2br w:val="nil"/>
                    <w:tr2bl w:val="nil"/>
                  </w:tcBorders>
                  <w:tcMar>
                    <w:top w:w="15" w:type="dxa"/>
                    <w:left w:w="7" w:type="dxa"/>
                    <w:bottom w:w="0" w:type="dxa"/>
                    <w:right w:w="7" w:type="dxa"/>
                  </w:tcMar>
                  <w:vAlign w:val="center"/>
                </w:tcPr>
                <w:p w14:paraId="13FA83E1">
                  <w:pPr>
                    <w:spacing w:before="24" w:after="24" w:line="240" w:lineRule="auto"/>
                    <w:jc w:val="center"/>
                    <w:rPr>
                      <w:rFonts w:hint="default" w:ascii="Times New Roman" w:hAnsi="Times New Roman" w:eastAsia="宋体" w:cs="Times New Roman"/>
                      <w:color w:val="auto"/>
                      <w:spacing w:val="-2"/>
                      <w:sz w:val="21"/>
                      <w:u w:val="none"/>
                    </w:rPr>
                  </w:pPr>
                  <w:r>
                    <w:rPr>
                      <w:rFonts w:hint="default" w:ascii="Times New Roman" w:hAnsi="Times New Roman" w:eastAsia="宋体" w:cs="Times New Roman"/>
                      <w:color w:val="auto"/>
                      <w:spacing w:val="-2"/>
                      <w:sz w:val="21"/>
                      <w:u w:val="none"/>
                    </w:rPr>
                    <w:t>原则上避免在0类声环境功能区建设变电工程；</w:t>
                  </w:r>
                </w:p>
              </w:tc>
              <w:tc>
                <w:tcPr>
                  <w:tcW w:w="2864" w:type="dxa"/>
                  <w:tcBorders>
                    <w:tl2br w:val="nil"/>
                    <w:tr2bl w:val="nil"/>
                  </w:tcBorders>
                  <w:tcMar>
                    <w:top w:w="15" w:type="dxa"/>
                    <w:left w:w="7" w:type="dxa"/>
                    <w:bottom w:w="0" w:type="dxa"/>
                    <w:right w:w="7" w:type="dxa"/>
                  </w:tcMar>
                  <w:vAlign w:val="center"/>
                </w:tcPr>
                <w:p w14:paraId="0B6AB315">
                  <w:pPr>
                    <w:spacing w:before="24" w:after="24" w:line="240" w:lineRule="auto"/>
                    <w:jc w:val="center"/>
                    <w:rPr>
                      <w:rFonts w:hint="default" w:ascii="Times New Roman" w:hAnsi="Times New Roman" w:eastAsia="宋体" w:cs="Times New Roman"/>
                      <w:color w:val="auto"/>
                      <w:spacing w:val="-2"/>
                      <w:sz w:val="21"/>
                      <w:u w:val="none"/>
                    </w:rPr>
                  </w:pPr>
                  <w:r>
                    <w:rPr>
                      <w:rFonts w:hint="default" w:ascii="Times New Roman" w:hAnsi="Times New Roman" w:eastAsia="宋体" w:cs="Times New Roman"/>
                      <w:color w:val="auto"/>
                      <w:spacing w:val="-2"/>
                      <w:sz w:val="21"/>
                      <w:u w:val="none"/>
                    </w:rPr>
                    <w:t>升压站选址位于2类声环境功能区；</w:t>
                  </w:r>
                </w:p>
              </w:tc>
              <w:tc>
                <w:tcPr>
                  <w:tcW w:w="1274" w:type="dxa"/>
                  <w:tcBorders>
                    <w:tl2br w:val="nil"/>
                    <w:tr2bl w:val="nil"/>
                  </w:tcBorders>
                  <w:vAlign w:val="center"/>
                </w:tcPr>
                <w:p w14:paraId="6A70AE33">
                  <w:pPr>
                    <w:spacing w:before="24" w:after="24" w:line="240" w:lineRule="auto"/>
                    <w:jc w:val="center"/>
                    <w:rPr>
                      <w:rFonts w:hint="default" w:ascii="Times New Roman" w:hAnsi="Times New Roman" w:eastAsia="宋体" w:cs="Times New Roman"/>
                      <w:color w:val="auto"/>
                      <w:spacing w:val="-2"/>
                      <w:sz w:val="21"/>
                      <w:u w:val="none"/>
                    </w:rPr>
                  </w:pPr>
                  <w:r>
                    <w:rPr>
                      <w:rFonts w:hint="default" w:ascii="Times New Roman" w:hAnsi="Times New Roman" w:eastAsia="宋体" w:cs="Times New Roman"/>
                      <w:color w:val="auto"/>
                      <w:spacing w:val="-2"/>
                      <w:sz w:val="21"/>
                      <w:u w:val="none"/>
                      <w:lang w:val="en-US" w:eastAsia="zh-CN"/>
                    </w:rPr>
                    <w:t>符合</w:t>
                  </w:r>
                </w:p>
              </w:tc>
            </w:tr>
            <w:tr w14:paraId="31A10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52" w:type="dxa"/>
                  <w:tcBorders>
                    <w:tl2br w:val="nil"/>
                    <w:tr2bl w:val="nil"/>
                  </w:tcBorders>
                  <w:vAlign w:val="center"/>
                </w:tcPr>
                <w:p w14:paraId="05268FC1">
                  <w:pPr>
                    <w:spacing w:before="24" w:after="24" w:line="240" w:lineRule="auto"/>
                    <w:jc w:val="center"/>
                    <w:rPr>
                      <w:rFonts w:hint="default" w:ascii="Times New Roman" w:hAnsi="Times New Roman" w:eastAsia="宋体" w:cs="Times New Roman"/>
                      <w:color w:val="auto"/>
                      <w:spacing w:val="-2"/>
                      <w:sz w:val="21"/>
                      <w:u w:val="none"/>
                      <w:lang w:val="en-US" w:eastAsia="zh-CN"/>
                    </w:rPr>
                  </w:pPr>
                  <w:r>
                    <w:rPr>
                      <w:rFonts w:hint="default" w:ascii="Times New Roman" w:hAnsi="Times New Roman" w:eastAsia="宋体" w:cs="Times New Roman"/>
                      <w:color w:val="auto"/>
                      <w:spacing w:val="-2"/>
                      <w:sz w:val="21"/>
                      <w:u w:val="none"/>
                      <w:lang w:val="en-US" w:eastAsia="zh-CN"/>
                    </w:rPr>
                    <w:t>设计</w:t>
                  </w:r>
                </w:p>
              </w:tc>
              <w:tc>
                <w:tcPr>
                  <w:tcW w:w="2920" w:type="dxa"/>
                  <w:tcBorders>
                    <w:tl2br w:val="nil"/>
                    <w:tr2bl w:val="nil"/>
                  </w:tcBorders>
                  <w:tcMar>
                    <w:top w:w="15" w:type="dxa"/>
                    <w:left w:w="7" w:type="dxa"/>
                    <w:bottom w:w="0" w:type="dxa"/>
                    <w:right w:w="7" w:type="dxa"/>
                  </w:tcMar>
                  <w:vAlign w:val="center"/>
                </w:tcPr>
                <w:p w14:paraId="6607E730">
                  <w:pPr>
                    <w:spacing w:before="24" w:after="24" w:line="240" w:lineRule="auto"/>
                    <w:jc w:val="center"/>
                    <w:rPr>
                      <w:rFonts w:hint="default" w:ascii="Times New Roman" w:hAnsi="Times New Roman" w:eastAsia="宋体" w:cs="Times New Roman"/>
                      <w:color w:val="auto"/>
                      <w:spacing w:val="-2"/>
                      <w:sz w:val="21"/>
                      <w:u w:val="none"/>
                    </w:rPr>
                  </w:pPr>
                  <w:r>
                    <w:rPr>
                      <w:rFonts w:hint="default" w:ascii="Times New Roman" w:hAnsi="Times New Roman" w:eastAsia="宋体" w:cs="Times New Roman"/>
                      <w:color w:val="auto"/>
                      <w:spacing w:val="-2"/>
                      <w:sz w:val="21"/>
                      <w:u w:val="none"/>
                    </w:rPr>
                    <w:t>变电工程应设置足够容量的事故油池及其配套的拦截、防雨、防渗等措施和设施。一旦发生泄漏，应能及时进行拦截和处理，确保油及油水混合物全部收集、不外排。</w:t>
                  </w:r>
                </w:p>
              </w:tc>
              <w:tc>
                <w:tcPr>
                  <w:tcW w:w="2864" w:type="dxa"/>
                  <w:tcBorders>
                    <w:tl2br w:val="nil"/>
                    <w:tr2bl w:val="nil"/>
                  </w:tcBorders>
                  <w:tcMar>
                    <w:top w:w="15" w:type="dxa"/>
                    <w:left w:w="7" w:type="dxa"/>
                    <w:bottom w:w="0" w:type="dxa"/>
                    <w:right w:w="7" w:type="dxa"/>
                  </w:tcMar>
                  <w:vAlign w:val="center"/>
                </w:tcPr>
                <w:p w14:paraId="34CF584A">
                  <w:pPr>
                    <w:spacing w:before="24" w:after="24" w:line="240" w:lineRule="auto"/>
                    <w:jc w:val="center"/>
                    <w:rPr>
                      <w:rFonts w:hint="default" w:ascii="Times New Roman" w:hAnsi="Times New Roman" w:eastAsia="宋体" w:cs="Times New Roman"/>
                      <w:color w:val="auto"/>
                      <w:spacing w:val="-2"/>
                      <w:sz w:val="21"/>
                      <w:u w:val="none"/>
                    </w:rPr>
                  </w:pPr>
                  <w:r>
                    <w:rPr>
                      <w:rFonts w:hint="default" w:ascii="Times New Roman" w:hAnsi="Times New Roman" w:eastAsia="宋体" w:cs="Times New Roman"/>
                      <w:color w:val="auto"/>
                      <w:spacing w:val="-2"/>
                      <w:sz w:val="21"/>
                      <w:u w:val="none"/>
                    </w:rPr>
                    <w:t>升压站设置了事故油池，主变下方铺设了卵石层，四周设有排油槽并与事故油池相连，事故发生</w:t>
                  </w:r>
                </w:p>
                <w:p w14:paraId="7297F16B">
                  <w:pPr>
                    <w:spacing w:before="24" w:after="24" w:line="240" w:lineRule="auto"/>
                    <w:jc w:val="center"/>
                    <w:rPr>
                      <w:rFonts w:hint="default" w:ascii="Times New Roman" w:hAnsi="Times New Roman" w:eastAsia="宋体" w:cs="Times New Roman"/>
                      <w:color w:val="auto"/>
                      <w:spacing w:val="-2"/>
                      <w:sz w:val="21"/>
                      <w:u w:val="none"/>
                      <w:lang w:eastAsia="zh-CN"/>
                    </w:rPr>
                  </w:pPr>
                  <w:r>
                    <w:rPr>
                      <w:rFonts w:hint="default" w:ascii="Times New Roman" w:hAnsi="Times New Roman" w:eastAsia="宋体" w:cs="Times New Roman"/>
                      <w:color w:val="auto"/>
                      <w:spacing w:val="-2"/>
                      <w:sz w:val="21"/>
                      <w:u w:val="none"/>
                    </w:rPr>
                    <w:t>后，油及油水混合物不会外泄</w:t>
                  </w:r>
                  <w:r>
                    <w:rPr>
                      <w:rFonts w:hint="default" w:ascii="Times New Roman" w:hAnsi="Times New Roman" w:eastAsia="宋体" w:cs="Times New Roman"/>
                      <w:color w:val="auto"/>
                      <w:spacing w:val="-2"/>
                      <w:sz w:val="21"/>
                      <w:u w:val="none"/>
                      <w:lang w:eastAsia="zh-CN"/>
                    </w:rPr>
                    <w:t>。</w:t>
                  </w:r>
                </w:p>
              </w:tc>
              <w:tc>
                <w:tcPr>
                  <w:tcW w:w="1274" w:type="dxa"/>
                  <w:tcBorders>
                    <w:tl2br w:val="nil"/>
                    <w:tr2bl w:val="nil"/>
                  </w:tcBorders>
                  <w:vAlign w:val="center"/>
                </w:tcPr>
                <w:p w14:paraId="5C8059D6">
                  <w:pPr>
                    <w:spacing w:before="24" w:after="24" w:line="240" w:lineRule="auto"/>
                    <w:ind w:firstLineChars="200"/>
                    <w:jc w:val="center"/>
                    <w:rPr>
                      <w:rFonts w:hint="default" w:ascii="Times New Roman" w:hAnsi="Times New Roman" w:eastAsia="宋体" w:cs="Times New Roman"/>
                      <w:color w:val="auto"/>
                      <w:spacing w:val="-2"/>
                      <w:sz w:val="21"/>
                      <w:u w:val="none"/>
                    </w:rPr>
                  </w:pPr>
                  <w:r>
                    <w:rPr>
                      <w:rFonts w:hint="default" w:ascii="Times New Roman" w:hAnsi="Times New Roman" w:eastAsia="宋体" w:cs="Times New Roman"/>
                      <w:color w:val="auto"/>
                      <w:spacing w:val="-2"/>
                      <w:sz w:val="21"/>
                      <w:u w:val="none"/>
                      <w:lang w:val="en-US" w:eastAsia="zh-CN"/>
                    </w:rPr>
                    <w:t>符合</w:t>
                  </w:r>
                </w:p>
              </w:tc>
            </w:tr>
            <w:tr w14:paraId="22C44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52" w:type="dxa"/>
                  <w:tcBorders>
                    <w:tl2br w:val="nil"/>
                    <w:tr2bl w:val="nil"/>
                  </w:tcBorders>
                  <w:vAlign w:val="center"/>
                </w:tcPr>
                <w:p w14:paraId="524CB858">
                  <w:pPr>
                    <w:spacing w:before="24" w:after="24" w:line="240" w:lineRule="auto"/>
                    <w:jc w:val="center"/>
                    <w:rPr>
                      <w:rFonts w:hint="default" w:ascii="Times New Roman" w:hAnsi="Times New Roman" w:eastAsia="宋体" w:cs="Times New Roman"/>
                      <w:color w:val="auto"/>
                      <w:spacing w:val="-2"/>
                      <w:sz w:val="21"/>
                      <w:u w:val="none"/>
                    </w:rPr>
                  </w:pPr>
                  <w:r>
                    <w:rPr>
                      <w:rFonts w:hint="default" w:ascii="Times New Roman" w:hAnsi="Times New Roman" w:eastAsia="宋体" w:cs="Times New Roman"/>
                      <w:color w:val="auto"/>
                      <w:spacing w:val="-2"/>
                      <w:sz w:val="21"/>
                      <w:u w:val="none"/>
                    </w:rPr>
                    <w:t>电磁</w:t>
                  </w:r>
                </w:p>
                <w:p w14:paraId="68280E08">
                  <w:pPr>
                    <w:spacing w:before="24" w:after="24" w:line="240" w:lineRule="auto"/>
                    <w:jc w:val="center"/>
                    <w:rPr>
                      <w:rFonts w:hint="default" w:ascii="Times New Roman" w:hAnsi="Times New Roman" w:eastAsia="宋体" w:cs="Times New Roman"/>
                      <w:color w:val="auto"/>
                      <w:spacing w:val="-2"/>
                      <w:sz w:val="21"/>
                      <w:u w:val="none"/>
                    </w:rPr>
                  </w:pPr>
                  <w:r>
                    <w:rPr>
                      <w:rFonts w:hint="default" w:ascii="Times New Roman" w:hAnsi="Times New Roman" w:eastAsia="宋体" w:cs="Times New Roman"/>
                      <w:color w:val="auto"/>
                      <w:spacing w:val="-2"/>
                      <w:sz w:val="21"/>
                      <w:u w:val="none"/>
                    </w:rPr>
                    <w:t>环境</w:t>
                  </w:r>
                </w:p>
                <w:p w14:paraId="65A5FCBC">
                  <w:pPr>
                    <w:spacing w:before="24" w:after="24" w:line="240" w:lineRule="auto"/>
                    <w:jc w:val="center"/>
                    <w:rPr>
                      <w:rFonts w:hint="default" w:ascii="Times New Roman" w:hAnsi="Times New Roman" w:eastAsia="宋体" w:cs="Times New Roman"/>
                      <w:color w:val="auto"/>
                      <w:spacing w:val="-2"/>
                      <w:sz w:val="21"/>
                      <w:u w:val="none"/>
                    </w:rPr>
                  </w:pPr>
                  <w:r>
                    <w:rPr>
                      <w:rFonts w:hint="default" w:ascii="Times New Roman" w:hAnsi="Times New Roman" w:eastAsia="宋体" w:cs="Times New Roman"/>
                      <w:color w:val="auto"/>
                      <w:spacing w:val="-2"/>
                      <w:sz w:val="21"/>
                      <w:u w:val="none"/>
                    </w:rPr>
                    <w:t>保护</w:t>
                  </w:r>
                </w:p>
              </w:tc>
              <w:tc>
                <w:tcPr>
                  <w:tcW w:w="2920" w:type="dxa"/>
                  <w:tcBorders>
                    <w:tl2br w:val="nil"/>
                    <w:tr2bl w:val="nil"/>
                  </w:tcBorders>
                  <w:tcMar>
                    <w:top w:w="15" w:type="dxa"/>
                    <w:left w:w="7" w:type="dxa"/>
                    <w:bottom w:w="0" w:type="dxa"/>
                    <w:right w:w="7" w:type="dxa"/>
                  </w:tcMar>
                  <w:vAlign w:val="center"/>
                </w:tcPr>
                <w:p w14:paraId="20A0DD54">
                  <w:pPr>
                    <w:spacing w:before="24" w:after="24" w:line="240" w:lineRule="auto"/>
                    <w:jc w:val="center"/>
                    <w:rPr>
                      <w:rFonts w:hint="default" w:ascii="Times New Roman" w:hAnsi="Times New Roman" w:eastAsia="宋体" w:cs="Times New Roman"/>
                      <w:color w:val="auto"/>
                      <w:spacing w:val="-2"/>
                      <w:sz w:val="21"/>
                      <w:u w:val="none"/>
                    </w:rPr>
                  </w:pPr>
                  <w:r>
                    <w:rPr>
                      <w:rFonts w:hint="default" w:ascii="Times New Roman" w:hAnsi="Times New Roman" w:eastAsia="宋体" w:cs="Times New Roman"/>
                      <w:color w:val="auto"/>
                      <w:spacing w:val="-2"/>
                      <w:sz w:val="21"/>
                      <w:u w:val="none"/>
                    </w:rPr>
                    <w:t>工程设计应对产生的工频电场、工频磁场、直流合成电场等电磁环境影响因子进行验算，采取相应防护措施，确保电磁环境影响满足国家标准要求；</w:t>
                  </w:r>
                </w:p>
              </w:tc>
              <w:tc>
                <w:tcPr>
                  <w:tcW w:w="2864" w:type="dxa"/>
                  <w:tcBorders>
                    <w:tl2br w:val="nil"/>
                    <w:tr2bl w:val="nil"/>
                  </w:tcBorders>
                  <w:tcMar>
                    <w:top w:w="15" w:type="dxa"/>
                    <w:left w:w="7" w:type="dxa"/>
                    <w:bottom w:w="0" w:type="dxa"/>
                    <w:right w:w="7" w:type="dxa"/>
                  </w:tcMar>
                  <w:vAlign w:val="center"/>
                </w:tcPr>
                <w:p w14:paraId="655FDB3A">
                  <w:pPr>
                    <w:spacing w:before="24" w:after="24" w:line="240" w:lineRule="auto"/>
                    <w:jc w:val="center"/>
                    <w:rPr>
                      <w:rFonts w:hint="default" w:ascii="Times New Roman" w:hAnsi="Times New Roman" w:eastAsia="宋体" w:cs="Times New Roman"/>
                      <w:color w:val="auto"/>
                      <w:spacing w:val="-2"/>
                      <w:sz w:val="21"/>
                      <w:u w:val="none"/>
                    </w:rPr>
                  </w:pPr>
                  <w:r>
                    <w:rPr>
                      <w:rFonts w:hint="default" w:ascii="Times New Roman" w:hAnsi="Times New Roman" w:eastAsia="宋体" w:cs="Times New Roman"/>
                      <w:color w:val="auto"/>
                      <w:spacing w:val="-2"/>
                      <w:sz w:val="21"/>
                      <w:u w:val="none"/>
                    </w:rPr>
                    <w:t>根据电磁环境影响专题分析，升压站电磁环境影响满足国家标准要求</w:t>
                  </w:r>
                </w:p>
              </w:tc>
              <w:tc>
                <w:tcPr>
                  <w:tcW w:w="1274" w:type="dxa"/>
                  <w:tcBorders>
                    <w:tl2br w:val="nil"/>
                    <w:tr2bl w:val="nil"/>
                  </w:tcBorders>
                  <w:tcMar>
                    <w:top w:w="15" w:type="dxa"/>
                    <w:left w:w="7" w:type="dxa"/>
                    <w:bottom w:w="0" w:type="dxa"/>
                    <w:right w:w="7" w:type="dxa"/>
                  </w:tcMar>
                  <w:vAlign w:val="center"/>
                </w:tcPr>
                <w:p w14:paraId="2053AD75">
                  <w:pPr>
                    <w:spacing w:before="24" w:after="24" w:line="240" w:lineRule="auto"/>
                    <w:ind w:firstLineChars="200"/>
                    <w:jc w:val="center"/>
                    <w:rPr>
                      <w:rFonts w:hint="default" w:ascii="Times New Roman" w:hAnsi="Times New Roman" w:eastAsia="宋体" w:cs="Times New Roman"/>
                      <w:color w:val="auto"/>
                      <w:spacing w:val="-2"/>
                      <w:sz w:val="21"/>
                      <w:u w:val="none"/>
                    </w:rPr>
                  </w:pPr>
                  <w:r>
                    <w:rPr>
                      <w:rFonts w:hint="default" w:ascii="Times New Roman" w:hAnsi="Times New Roman" w:eastAsia="宋体" w:cs="Times New Roman"/>
                      <w:color w:val="auto"/>
                      <w:spacing w:val="-2"/>
                      <w:sz w:val="21"/>
                      <w:u w:val="none"/>
                      <w:lang w:val="en-US" w:eastAsia="zh-CN"/>
                    </w:rPr>
                    <w:t>符合</w:t>
                  </w:r>
                </w:p>
              </w:tc>
            </w:tr>
            <w:tr w14:paraId="32055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52" w:type="dxa"/>
                  <w:tcBorders>
                    <w:tl2br w:val="nil"/>
                    <w:tr2bl w:val="nil"/>
                  </w:tcBorders>
                  <w:vAlign w:val="center"/>
                </w:tcPr>
                <w:p w14:paraId="146FF986">
                  <w:pPr>
                    <w:spacing w:before="24" w:after="24" w:line="240" w:lineRule="auto"/>
                    <w:jc w:val="center"/>
                    <w:rPr>
                      <w:rFonts w:hint="default" w:ascii="Times New Roman" w:hAnsi="Times New Roman" w:eastAsia="宋体" w:cs="Times New Roman"/>
                      <w:color w:val="auto"/>
                      <w:spacing w:val="-2"/>
                      <w:sz w:val="21"/>
                      <w:u w:val="none"/>
                    </w:rPr>
                  </w:pPr>
                  <w:r>
                    <w:rPr>
                      <w:rFonts w:hint="default" w:ascii="Times New Roman" w:hAnsi="Times New Roman" w:eastAsia="宋体" w:cs="Times New Roman"/>
                      <w:color w:val="auto"/>
                      <w:spacing w:val="-2"/>
                      <w:sz w:val="21"/>
                      <w:u w:val="none"/>
                    </w:rPr>
                    <w:t>声环</w:t>
                  </w:r>
                </w:p>
                <w:p w14:paraId="3023BE42">
                  <w:pPr>
                    <w:spacing w:before="24" w:after="24" w:line="240" w:lineRule="auto"/>
                    <w:jc w:val="center"/>
                    <w:rPr>
                      <w:rFonts w:hint="default" w:ascii="Times New Roman" w:hAnsi="Times New Roman" w:eastAsia="宋体" w:cs="Times New Roman"/>
                      <w:color w:val="auto"/>
                      <w:spacing w:val="-2"/>
                      <w:sz w:val="21"/>
                      <w:u w:val="none"/>
                    </w:rPr>
                  </w:pPr>
                  <w:r>
                    <w:rPr>
                      <w:rFonts w:hint="default" w:ascii="Times New Roman" w:hAnsi="Times New Roman" w:eastAsia="宋体" w:cs="Times New Roman"/>
                      <w:color w:val="auto"/>
                      <w:spacing w:val="-2"/>
                      <w:sz w:val="21"/>
                      <w:u w:val="none"/>
                    </w:rPr>
                    <w:t>境保</w:t>
                  </w:r>
                </w:p>
                <w:p w14:paraId="4798E288">
                  <w:pPr>
                    <w:spacing w:before="24" w:after="24" w:line="240" w:lineRule="auto"/>
                    <w:jc w:val="center"/>
                    <w:rPr>
                      <w:rFonts w:hint="default" w:ascii="Times New Roman" w:hAnsi="Times New Roman" w:eastAsia="宋体" w:cs="Times New Roman"/>
                      <w:color w:val="auto"/>
                      <w:spacing w:val="-2"/>
                      <w:sz w:val="21"/>
                      <w:u w:val="none"/>
                    </w:rPr>
                  </w:pPr>
                  <w:r>
                    <w:rPr>
                      <w:rFonts w:hint="default" w:ascii="Times New Roman" w:hAnsi="Times New Roman" w:eastAsia="宋体" w:cs="Times New Roman"/>
                      <w:color w:val="auto"/>
                      <w:spacing w:val="-2"/>
                      <w:sz w:val="21"/>
                      <w:u w:val="none"/>
                    </w:rPr>
                    <w:t>护</w:t>
                  </w:r>
                </w:p>
              </w:tc>
              <w:tc>
                <w:tcPr>
                  <w:tcW w:w="2920" w:type="dxa"/>
                  <w:tcBorders>
                    <w:tl2br w:val="nil"/>
                    <w:tr2bl w:val="nil"/>
                  </w:tcBorders>
                  <w:tcMar>
                    <w:top w:w="15" w:type="dxa"/>
                    <w:left w:w="7" w:type="dxa"/>
                    <w:bottom w:w="0" w:type="dxa"/>
                    <w:right w:w="7" w:type="dxa"/>
                  </w:tcMar>
                  <w:vAlign w:val="center"/>
                </w:tcPr>
                <w:p w14:paraId="18B42E7B">
                  <w:pPr>
                    <w:spacing w:before="24" w:after="24" w:line="240" w:lineRule="auto"/>
                    <w:jc w:val="center"/>
                    <w:rPr>
                      <w:rFonts w:hint="default" w:ascii="Times New Roman" w:hAnsi="Times New Roman" w:eastAsia="宋体" w:cs="Times New Roman"/>
                      <w:color w:val="auto"/>
                      <w:spacing w:val="-2"/>
                      <w:sz w:val="21"/>
                      <w:u w:val="none"/>
                    </w:rPr>
                  </w:pPr>
                  <w:r>
                    <w:rPr>
                      <w:rFonts w:hint="default" w:ascii="Times New Roman" w:hAnsi="Times New Roman" w:eastAsia="宋体" w:cs="Times New Roman"/>
                      <w:color w:val="auto"/>
                      <w:spacing w:val="-2"/>
                      <w:sz w:val="21"/>
                      <w:u w:val="none"/>
                    </w:rPr>
                    <w:t>变电工程噪声控制设计应首先从噪声源强上进行控制，选择低噪声设备；对于声源上无法根治的噪声，应采用隔声、吸声、消声、防震、减震等降噪措施，确保厂界</w:t>
                  </w:r>
                </w:p>
                <w:p w14:paraId="5031F69D">
                  <w:pPr>
                    <w:spacing w:before="24" w:after="24" w:line="240" w:lineRule="auto"/>
                    <w:jc w:val="center"/>
                    <w:rPr>
                      <w:rFonts w:hint="default" w:ascii="Times New Roman" w:hAnsi="Times New Roman" w:eastAsia="宋体" w:cs="Times New Roman"/>
                      <w:color w:val="auto"/>
                      <w:spacing w:val="-2"/>
                      <w:sz w:val="21"/>
                      <w:u w:val="none"/>
                    </w:rPr>
                  </w:pPr>
                  <w:r>
                    <w:rPr>
                      <w:rFonts w:hint="default" w:ascii="Times New Roman" w:hAnsi="Times New Roman" w:eastAsia="宋体" w:cs="Times New Roman"/>
                      <w:color w:val="auto"/>
                      <w:spacing w:val="-2"/>
                      <w:sz w:val="21"/>
                      <w:u w:val="none"/>
                    </w:rPr>
                    <w:t>排放噪声和周围声环境敏感目标分别满足 GB12348和 GB3096 要求。</w:t>
                  </w:r>
                </w:p>
              </w:tc>
              <w:tc>
                <w:tcPr>
                  <w:tcW w:w="2864" w:type="dxa"/>
                  <w:tcBorders>
                    <w:tl2br w:val="nil"/>
                    <w:tr2bl w:val="nil"/>
                  </w:tcBorders>
                  <w:tcMar>
                    <w:top w:w="15" w:type="dxa"/>
                    <w:left w:w="7" w:type="dxa"/>
                    <w:bottom w:w="0" w:type="dxa"/>
                    <w:right w:w="7" w:type="dxa"/>
                  </w:tcMar>
                  <w:vAlign w:val="center"/>
                </w:tcPr>
                <w:p w14:paraId="7F0F5DAA">
                  <w:pPr>
                    <w:spacing w:before="24" w:after="24" w:line="240" w:lineRule="auto"/>
                    <w:jc w:val="center"/>
                    <w:rPr>
                      <w:rFonts w:hint="default" w:ascii="Times New Roman" w:hAnsi="Times New Roman" w:eastAsia="宋体" w:cs="Times New Roman"/>
                      <w:color w:val="auto"/>
                      <w:spacing w:val="-2"/>
                      <w:sz w:val="21"/>
                      <w:u w:val="none"/>
                      <w:lang w:eastAsia="zh-CN"/>
                    </w:rPr>
                  </w:pPr>
                  <w:r>
                    <w:rPr>
                      <w:rFonts w:hint="default" w:ascii="Times New Roman" w:hAnsi="Times New Roman" w:eastAsia="宋体" w:cs="Times New Roman"/>
                      <w:color w:val="auto"/>
                      <w:spacing w:val="-2"/>
                      <w:sz w:val="21"/>
                      <w:u w:val="none"/>
                    </w:rPr>
                    <w:t>根据本报告声环境影响分析，升压站可以做到厂界达标，升压站周边无声环境敏感目标</w:t>
                  </w:r>
                  <w:r>
                    <w:rPr>
                      <w:rFonts w:hint="default" w:ascii="Times New Roman" w:hAnsi="Times New Roman" w:eastAsia="宋体" w:cs="Times New Roman"/>
                      <w:color w:val="auto"/>
                      <w:spacing w:val="-2"/>
                      <w:sz w:val="21"/>
                      <w:u w:val="none"/>
                      <w:lang w:eastAsia="zh-CN"/>
                    </w:rPr>
                    <w:t>。</w:t>
                  </w:r>
                </w:p>
              </w:tc>
              <w:tc>
                <w:tcPr>
                  <w:tcW w:w="1274" w:type="dxa"/>
                  <w:tcBorders>
                    <w:tl2br w:val="nil"/>
                    <w:tr2bl w:val="nil"/>
                  </w:tcBorders>
                  <w:vAlign w:val="center"/>
                </w:tcPr>
                <w:p w14:paraId="45C7983C">
                  <w:pPr>
                    <w:spacing w:before="24" w:after="24" w:line="240" w:lineRule="auto"/>
                    <w:jc w:val="center"/>
                    <w:rPr>
                      <w:rFonts w:hint="default" w:ascii="Times New Roman" w:hAnsi="Times New Roman" w:eastAsia="宋体" w:cs="Times New Roman"/>
                      <w:color w:val="auto"/>
                      <w:spacing w:val="-2"/>
                      <w:sz w:val="21"/>
                      <w:u w:val="none"/>
                    </w:rPr>
                  </w:pPr>
                  <w:r>
                    <w:rPr>
                      <w:rFonts w:hint="default" w:ascii="Times New Roman" w:hAnsi="Times New Roman" w:eastAsia="宋体" w:cs="Times New Roman"/>
                      <w:color w:val="auto"/>
                      <w:spacing w:val="-2"/>
                      <w:sz w:val="21"/>
                      <w:u w:val="none"/>
                      <w:lang w:val="en-US" w:eastAsia="zh-CN"/>
                    </w:rPr>
                    <w:t>符合</w:t>
                  </w:r>
                </w:p>
              </w:tc>
            </w:tr>
            <w:tr w14:paraId="32BED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52" w:type="dxa"/>
                  <w:vMerge w:val="restart"/>
                  <w:tcBorders>
                    <w:tl2br w:val="nil"/>
                    <w:tr2bl w:val="nil"/>
                  </w:tcBorders>
                  <w:vAlign w:val="center"/>
                </w:tcPr>
                <w:p w14:paraId="6BE510FA">
                  <w:pPr>
                    <w:spacing w:before="24" w:after="24" w:line="240" w:lineRule="auto"/>
                    <w:jc w:val="center"/>
                    <w:rPr>
                      <w:rFonts w:hint="default" w:ascii="Times New Roman" w:hAnsi="Times New Roman" w:eastAsia="宋体" w:cs="Times New Roman"/>
                      <w:color w:val="auto"/>
                      <w:spacing w:val="-2"/>
                      <w:sz w:val="21"/>
                      <w:u w:val="none"/>
                    </w:rPr>
                  </w:pPr>
                  <w:r>
                    <w:rPr>
                      <w:rFonts w:hint="default" w:ascii="Times New Roman" w:hAnsi="Times New Roman" w:eastAsia="宋体" w:cs="Times New Roman"/>
                      <w:color w:val="auto"/>
                      <w:spacing w:val="-2"/>
                      <w:sz w:val="21"/>
                      <w:u w:val="none"/>
                    </w:rPr>
                    <w:t>生态</w:t>
                  </w:r>
                </w:p>
                <w:p w14:paraId="333626DA">
                  <w:pPr>
                    <w:spacing w:before="24" w:after="24" w:line="240" w:lineRule="auto"/>
                    <w:jc w:val="center"/>
                    <w:rPr>
                      <w:rFonts w:hint="default" w:ascii="Times New Roman" w:hAnsi="Times New Roman" w:eastAsia="宋体" w:cs="Times New Roman"/>
                      <w:color w:val="auto"/>
                      <w:spacing w:val="-2"/>
                      <w:sz w:val="21"/>
                      <w:u w:val="none"/>
                    </w:rPr>
                  </w:pPr>
                  <w:r>
                    <w:rPr>
                      <w:rFonts w:hint="default" w:ascii="Times New Roman" w:hAnsi="Times New Roman" w:eastAsia="宋体" w:cs="Times New Roman"/>
                      <w:color w:val="auto"/>
                      <w:spacing w:val="-2"/>
                      <w:sz w:val="21"/>
                      <w:u w:val="none"/>
                    </w:rPr>
                    <w:t>保护</w:t>
                  </w:r>
                </w:p>
              </w:tc>
              <w:tc>
                <w:tcPr>
                  <w:tcW w:w="2920" w:type="dxa"/>
                  <w:tcBorders>
                    <w:tl2br w:val="nil"/>
                    <w:tr2bl w:val="nil"/>
                  </w:tcBorders>
                  <w:tcMar>
                    <w:top w:w="15" w:type="dxa"/>
                    <w:left w:w="7" w:type="dxa"/>
                    <w:bottom w:w="0" w:type="dxa"/>
                    <w:right w:w="7" w:type="dxa"/>
                  </w:tcMar>
                  <w:vAlign w:val="center"/>
                </w:tcPr>
                <w:p w14:paraId="4D13471F">
                  <w:pPr>
                    <w:spacing w:before="24" w:after="24" w:line="240" w:lineRule="auto"/>
                    <w:jc w:val="center"/>
                    <w:rPr>
                      <w:rFonts w:hint="default" w:ascii="Times New Roman" w:hAnsi="Times New Roman" w:eastAsia="宋体" w:cs="Times New Roman"/>
                      <w:color w:val="auto"/>
                      <w:spacing w:val="-2"/>
                      <w:sz w:val="21"/>
                      <w:u w:val="none"/>
                    </w:rPr>
                  </w:pPr>
                  <w:r>
                    <w:rPr>
                      <w:rFonts w:hint="default" w:ascii="Times New Roman" w:hAnsi="Times New Roman" w:eastAsia="宋体" w:cs="Times New Roman"/>
                      <w:color w:val="auto"/>
                      <w:spacing w:val="-2"/>
                      <w:sz w:val="21"/>
                      <w:u w:val="none"/>
                    </w:rPr>
                    <w:t>输变电建设项目在设计过程中应按照避让、减缓、恢复的次序提出生态影响防护与恢复的措施；</w:t>
                  </w:r>
                </w:p>
              </w:tc>
              <w:tc>
                <w:tcPr>
                  <w:tcW w:w="2864" w:type="dxa"/>
                  <w:tcBorders>
                    <w:tl2br w:val="nil"/>
                    <w:tr2bl w:val="nil"/>
                  </w:tcBorders>
                  <w:tcMar>
                    <w:top w:w="15" w:type="dxa"/>
                    <w:left w:w="7" w:type="dxa"/>
                    <w:bottom w:w="0" w:type="dxa"/>
                    <w:right w:w="7" w:type="dxa"/>
                  </w:tcMar>
                  <w:vAlign w:val="center"/>
                </w:tcPr>
                <w:p w14:paraId="4CD7CB33">
                  <w:pPr>
                    <w:spacing w:before="24" w:after="24" w:line="240" w:lineRule="auto"/>
                    <w:jc w:val="center"/>
                    <w:rPr>
                      <w:rFonts w:hint="default" w:ascii="Times New Roman" w:hAnsi="Times New Roman" w:eastAsia="宋体" w:cs="Times New Roman"/>
                      <w:color w:val="auto"/>
                      <w:spacing w:val="-2"/>
                      <w:sz w:val="21"/>
                      <w:u w:val="none"/>
                    </w:rPr>
                  </w:pPr>
                  <w:r>
                    <w:rPr>
                      <w:rFonts w:hint="default" w:ascii="Times New Roman" w:hAnsi="Times New Roman" w:eastAsia="宋体" w:cs="Times New Roman"/>
                      <w:color w:val="auto"/>
                      <w:spacing w:val="-2"/>
                      <w:sz w:val="21"/>
                      <w:u w:val="none"/>
                    </w:rPr>
                    <w:t>本报告生态保护措施部分提出了避让、减缓、恢复的生态保护措施</w:t>
                  </w:r>
                </w:p>
              </w:tc>
              <w:tc>
                <w:tcPr>
                  <w:tcW w:w="1274" w:type="dxa"/>
                  <w:tcBorders>
                    <w:tl2br w:val="nil"/>
                    <w:tr2bl w:val="nil"/>
                  </w:tcBorders>
                  <w:vAlign w:val="center"/>
                </w:tcPr>
                <w:p w14:paraId="5746E427">
                  <w:pPr>
                    <w:spacing w:before="24" w:after="24" w:line="240" w:lineRule="auto"/>
                    <w:jc w:val="center"/>
                    <w:rPr>
                      <w:rFonts w:hint="default" w:ascii="Times New Roman" w:hAnsi="Times New Roman" w:eastAsia="宋体" w:cs="Times New Roman"/>
                      <w:color w:val="auto"/>
                      <w:spacing w:val="-2"/>
                      <w:sz w:val="21"/>
                      <w:u w:val="none"/>
                    </w:rPr>
                  </w:pPr>
                  <w:r>
                    <w:rPr>
                      <w:rFonts w:hint="default" w:ascii="Times New Roman" w:hAnsi="Times New Roman" w:eastAsia="宋体" w:cs="Times New Roman"/>
                      <w:color w:val="auto"/>
                      <w:spacing w:val="-2"/>
                      <w:sz w:val="21"/>
                      <w:u w:val="none"/>
                      <w:lang w:val="en-US" w:eastAsia="zh-CN"/>
                    </w:rPr>
                    <w:t>符合</w:t>
                  </w:r>
                </w:p>
              </w:tc>
            </w:tr>
            <w:tr w14:paraId="36109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52" w:type="dxa"/>
                  <w:vMerge w:val="continue"/>
                  <w:tcBorders>
                    <w:tl2br w:val="nil"/>
                    <w:tr2bl w:val="nil"/>
                  </w:tcBorders>
                  <w:vAlign w:val="center"/>
                </w:tcPr>
                <w:p w14:paraId="5790BBF3">
                  <w:pPr>
                    <w:spacing w:before="24" w:after="24" w:line="240" w:lineRule="auto"/>
                    <w:jc w:val="center"/>
                    <w:rPr>
                      <w:rFonts w:hint="default" w:ascii="Times New Roman" w:hAnsi="Times New Roman" w:eastAsia="宋体" w:cs="Times New Roman"/>
                      <w:color w:val="auto"/>
                      <w:spacing w:val="-2"/>
                      <w:sz w:val="21"/>
                      <w:u w:val="none"/>
                    </w:rPr>
                  </w:pPr>
                </w:p>
              </w:tc>
              <w:tc>
                <w:tcPr>
                  <w:tcW w:w="2920" w:type="dxa"/>
                  <w:tcBorders>
                    <w:tl2br w:val="nil"/>
                    <w:tr2bl w:val="nil"/>
                  </w:tcBorders>
                  <w:tcMar>
                    <w:top w:w="15" w:type="dxa"/>
                    <w:left w:w="7" w:type="dxa"/>
                    <w:bottom w:w="0" w:type="dxa"/>
                    <w:right w:w="7" w:type="dxa"/>
                  </w:tcMar>
                  <w:vAlign w:val="center"/>
                </w:tcPr>
                <w:p w14:paraId="5DB74B4E">
                  <w:pPr>
                    <w:spacing w:before="24" w:after="24" w:line="240" w:lineRule="auto"/>
                    <w:jc w:val="center"/>
                    <w:rPr>
                      <w:rFonts w:hint="default" w:ascii="Times New Roman" w:hAnsi="Times New Roman" w:eastAsia="宋体" w:cs="Times New Roman"/>
                      <w:color w:val="auto"/>
                      <w:spacing w:val="-2"/>
                      <w:sz w:val="21"/>
                      <w:u w:val="none"/>
                    </w:rPr>
                  </w:pPr>
                  <w:r>
                    <w:rPr>
                      <w:rFonts w:hint="default" w:ascii="Times New Roman" w:hAnsi="Times New Roman" w:eastAsia="宋体" w:cs="Times New Roman"/>
                      <w:color w:val="auto"/>
                      <w:spacing w:val="-2"/>
                      <w:sz w:val="21"/>
                      <w:u w:val="none"/>
                    </w:rPr>
                    <w:t>输变电建设项目临时占地，应因地制宜进行土地功能恢复设计。</w:t>
                  </w:r>
                </w:p>
              </w:tc>
              <w:tc>
                <w:tcPr>
                  <w:tcW w:w="2864" w:type="dxa"/>
                  <w:tcBorders>
                    <w:tl2br w:val="nil"/>
                    <w:tr2bl w:val="nil"/>
                  </w:tcBorders>
                  <w:tcMar>
                    <w:top w:w="15" w:type="dxa"/>
                    <w:left w:w="7" w:type="dxa"/>
                    <w:bottom w:w="0" w:type="dxa"/>
                    <w:right w:w="7" w:type="dxa"/>
                  </w:tcMar>
                  <w:vAlign w:val="center"/>
                </w:tcPr>
                <w:p w14:paraId="19386DE3">
                  <w:pPr>
                    <w:spacing w:before="24" w:after="24" w:line="240" w:lineRule="auto"/>
                    <w:jc w:val="center"/>
                    <w:rPr>
                      <w:rFonts w:hint="default" w:ascii="Times New Roman" w:hAnsi="Times New Roman" w:eastAsia="宋体" w:cs="Times New Roman"/>
                      <w:color w:val="auto"/>
                      <w:spacing w:val="-2"/>
                      <w:sz w:val="21"/>
                      <w:u w:val="none"/>
                    </w:rPr>
                  </w:pPr>
                  <w:r>
                    <w:rPr>
                      <w:rFonts w:hint="default" w:ascii="Times New Roman" w:hAnsi="Times New Roman" w:eastAsia="宋体" w:cs="Times New Roman"/>
                      <w:color w:val="auto"/>
                      <w:spacing w:val="-2"/>
                      <w:sz w:val="21"/>
                      <w:u w:val="none"/>
                    </w:rPr>
                    <w:t>本报告提出了临时占地复垦绿化的要求</w:t>
                  </w:r>
                </w:p>
              </w:tc>
              <w:tc>
                <w:tcPr>
                  <w:tcW w:w="1274" w:type="dxa"/>
                  <w:tcBorders>
                    <w:tl2br w:val="nil"/>
                    <w:tr2bl w:val="nil"/>
                  </w:tcBorders>
                  <w:vAlign w:val="center"/>
                </w:tcPr>
                <w:p w14:paraId="1B5A74BA">
                  <w:pPr>
                    <w:spacing w:before="24" w:after="24" w:line="240" w:lineRule="auto"/>
                    <w:jc w:val="center"/>
                    <w:rPr>
                      <w:rFonts w:hint="default" w:ascii="Times New Roman" w:hAnsi="Times New Roman" w:eastAsia="宋体" w:cs="Times New Roman"/>
                      <w:color w:val="auto"/>
                      <w:spacing w:val="-2"/>
                      <w:sz w:val="21"/>
                      <w:u w:val="none"/>
                    </w:rPr>
                  </w:pPr>
                  <w:r>
                    <w:rPr>
                      <w:rFonts w:hint="default" w:ascii="Times New Roman" w:hAnsi="Times New Roman" w:eastAsia="宋体" w:cs="Times New Roman"/>
                      <w:color w:val="auto"/>
                      <w:spacing w:val="-2"/>
                      <w:sz w:val="21"/>
                      <w:u w:val="none"/>
                      <w:lang w:val="en-US" w:eastAsia="zh-CN"/>
                    </w:rPr>
                    <w:t>符合</w:t>
                  </w:r>
                </w:p>
              </w:tc>
            </w:tr>
            <w:tr w14:paraId="4741F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52" w:type="dxa"/>
                  <w:tcBorders>
                    <w:tl2br w:val="nil"/>
                    <w:tr2bl w:val="nil"/>
                  </w:tcBorders>
                  <w:vAlign w:val="center"/>
                </w:tcPr>
                <w:p w14:paraId="3532A832">
                  <w:pPr>
                    <w:spacing w:before="24" w:after="24" w:line="240" w:lineRule="auto"/>
                    <w:jc w:val="center"/>
                    <w:rPr>
                      <w:rFonts w:hint="default" w:ascii="Times New Roman" w:hAnsi="Times New Roman" w:eastAsia="宋体" w:cs="Times New Roman"/>
                      <w:color w:val="auto"/>
                      <w:spacing w:val="-2"/>
                      <w:sz w:val="21"/>
                      <w:u w:val="none"/>
                      <w:lang w:val="en-US" w:eastAsia="zh-CN"/>
                    </w:rPr>
                  </w:pPr>
                  <w:r>
                    <w:rPr>
                      <w:rFonts w:hint="default" w:ascii="Times New Roman" w:hAnsi="Times New Roman" w:eastAsia="宋体" w:cs="Times New Roman"/>
                      <w:color w:val="auto"/>
                      <w:spacing w:val="-2"/>
                      <w:sz w:val="21"/>
                      <w:u w:val="none"/>
                      <w:lang w:val="en-US" w:eastAsia="zh-CN"/>
                    </w:rPr>
                    <w:t>水环境保护</w:t>
                  </w:r>
                </w:p>
              </w:tc>
              <w:tc>
                <w:tcPr>
                  <w:tcW w:w="2920" w:type="dxa"/>
                  <w:tcBorders>
                    <w:tl2br w:val="nil"/>
                    <w:tr2bl w:val="nil"/>
                  </w:tcBorders>
                  <w:tcMar>
                    <w:top w:w="15" w:type="dxa"/>
                    <w:left w:w="7" w:type="dxa"/>
                    <w:bottom w:w="0" w:type="dxa"/>
                    <w:right w:w="7" w:type="dxa"/>
                  </w:tcMar>
                  <w:vAlign w:val="center"/>
                </w:tcPr>
                <w:p w14:paraId="6C89B05A">
                  <w:pPr>
                    <w:spacing w:before="24" w:after="24" w:line="240" w:lineRule="auto"/>
                    <w:jc w:val="center"/>
                    <w:rPr>
                      <w:rFonts w:hint="default" w:ascii="Times New Roman" w:hAnsi="Times New Roman" w:eastAsia="宋体" w:cs="Times New Roman"/>
                      <w:color w:val="auto"/>
                      <w:spacing w:val="-2"/>
                      <w:sz w:val="21"/>
                      <w:u w:val="none"/>
                    </w:rPr>
                  </w:pPr>
                  <w:r>
                    <w:rPr>
                      <w:rFonts w:hint="default" w:ascii="Times New Roman" w:hAnsi="Times New Roman" w:eastAsia="宋体" w:cs="Times New Roman"/>
                      <w:color w:val="auto"/>
                      <w:spacing w:val="-2"/>
                      <w:sz w:val="21"/>
                      <w:u w:val="none"/>
                    </w:rPr>
                    <w:t>变电工程站内产生的生活污水宜考虑处理后纳入城市污水管网；不具备纳入城市污水管网条件的变电工程，应根据站内生活污水产生情况设置生活污水处理装置（化粪池、地埋式污水处理装置、回用水</w:t>
                  </w:r>
                </w:p>
                <w:p w14:paraId="74C47794">
                  <w:pPr>
                    <w:spacing w:before="24" w:after="24" w:line="240" w:lineRule="auto"/>
                    <w:jc w:val="center"/>
                    <w:rPr>
                      <w:rFonts w:hint="default" w:ascii="Times New Roman" w:hAnsi="Times New Roman" w:eastAsia="宋体" w:cs="Times New Roman"/>
                      <w:color w:val="auto"/>
                      <w:spacing w:val="-2"/>
                      <w:sz w:val="21"/>
                      <w:u w:val="none"/>
                    </w:rPr>
                  </w:pPr>
                  <w:r>
                    <w:rPr>
                      <w:rFonts w:hint="default" w:ascii="Times New Roman" w:hAnsi="Times New Roman" w:eastAsia="宋体" w:cs="Times New Roman"/>
                      <w:color w:val="auto"/>
                      <w:spacing w:val="-2"/>
                      <w:sz w:val="21"/>
                      <w:u w:val="none"/>
                    </w:rPr>
                    <w:t>池、蒸发池等），生活污水经处理后回收利用、定期清理或外排，外排时应严格执行相应的国家和地方水污染物排放标准相关要求。</w:t>
                  </w:r>
                </w:p>
              </w:tc>
              <w:tc>
                <w:tcPr>
                  <w:tcW w:w="2864" w:type="dxa"/>
                  <w:tcBorders>
                    <w:tl2br w:val="nil"/>
                    <w:tr2bl w:val="nil"/>
                  </w:tcBorders>
                  <w:tcMar>
                    <w:top w:w="15" w:type="dxa"/>
                    <w:left w:w="7" w:type="dxa"/>
                    <w:bottom w:w="0" w:type="dxa"/>
                    <w:right w:w="7" w:type="dxa"/>
                  </w:tcMar>
                  <w:vAlign w:val="center"/>
                </w:tcPr>
                <w:p w14:paraId="36DA9C04">
                  <w:pPr>
                    <w:spacing w:before="24" w:after="24" w:line="240" w:lineRule="auto"/>
                    <w:jc w:val="center"/>
                    <w:rPr>
                      <w:rFonts w:hint="default" w:ascii="Times New Roman" w:hAnsi="Times New Roman" w:eastAsia="宋体" w:cs="Times New Roman"/>
                      <w:color w:val="auto"/>
                      <w:spacing w:val="-2"/>
                      <w:sz w:val="21"/>
                      <w:u w:val="none"/>
                      <w:lang w:eastAsia="zh-CN"/>
                    </w:rPr>
                  </w:pPr>
                  <w:r>
                    <w:rPr>
                      <w:rFonts w:hint="default" w:ascii="Times New Roman" w:hAnsi="Times New Roman" w:eastAsia="宋体" w:cs="Times New Roman"/>
                      <w:color w:val="auto"/>
                      <w:spacing w:val="-2"/>
                      <w:sz w:val="21"/>
                      <w:u w:val="none"/>
                    </w:rPr>
                    <w:t>升压站内的生活污水经化粪池、一体化污水处理工程处理后储存于新建回用水池，用于升压站绿化及周边林地浇灌</w:t>
                  </w:r>
                  <w:r>
                    <w:rPr>
                      <w:rFonts w:hint="default" w:ascii="Times New Roman" w:hAnsi="Times New Roman" w:eastAsia="宋体" w:cs="Times New Roman"/>
                      <w:color w:val="auto"/>
                      <w:spacing w:val="-2"/>
                      <w:sz w:val="21"/>
                      <w:u w:val="none"/>
                      <w:lang w:eastAsia="zh-CN"/>
                    </w:rPr>
                    <w:t>。</w:t>
                  </w:r>
                </w:p>
              </w:tc>
              <w:tc>
                <w:tcPr>
                  <w:tcW w:w="1274" w:type="dxa"/>
                  <w:tcBorders>
                    <w:tl2br w:val="nil"/>
                    <w:tr2bl w:val="nil"/>
                  </w:tcBorders>
                  <w:vAlign w:val="center"/>
                </w:tcPr>
                <w:p w14:paraId="1B9D5F7A">
                  <w:pPr>
                    <w:spacing w:before="24" w:after="24" w:line="240" w:lineRule="auto"/>
                    <w:jc w:val="center"/>
                    <w:rPr>
                      <w:rFonts w:hint="default" w:ascii="Times New Roman" w:hAnsi="Times New Roman" w:eastAsia="宋体" w:cs="Times New Roman"/>
                      <w:color w:val="auto"/>
                      <w:spacing w:val="-2"/>
                      <w:sz w:val="21"/>
                      <w:u w:val="none"/>
                    </w:rPr>
                  </w:pPr>
                  <w:r>
                    <w:rPr>
                      <w:rFonts w:hint="default" w:ascii="Times New Roman" w:hAnsi="Times New Roman" w:eastAsia="宋体" w:cs="Times New Roman"/>
                      <w:color w:val="auto"/>
                      <w:spacing w:val="-2"/>
                      <w:sz w:val="21"/>
                      <w:u w:val="none"/>
                      <w:lang w:val="en-US" w:eastAsia="zh-CN"/>
                    </w:rPr>
                    <w:t>符合</w:t>
                  </w:r>
                </w:p>
              </w:tc>
            </w:tr>
            <w:tr w14:paraId="7C1EE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52" w:type="dxa"/>
                  <w:vMerge w:val="restart"/>
                  <w:tcBorders>
                    <w:tl2br w:val="nil"/>
                    <w:tr2bl w:val="nil"/>
                  </w:tcBorders>
                  <w:vAlign w:val="center"/>
                </w:tcPr>
                <w:p w14:paraId="02C087BA">
                  <w:pPr>
                    <w:spacing w:before="24" w:after="24" w:line="240" w:lineRule="auto"/>
                    <w:jc w:val="center"/>
                    <w:rPr>
                      <w:rFonts w:hint="default" w:ascii="Times New Roman" w:hAnsi="Times New Roman" w:eastAsia="宋体" w:cs="Times New Roman"/>
                      <w:color w:val="auto"/>
                      <w:spacing w:val="-2"/>
                      <w:sz w:val="21"/>
                      <w:u w:val="none"/>
                      <w:lang w:val="en-US" w:eastAsia="zh-CN"/>
                    </w:rPr>
                  </w:pPr>
                  <w:r>
                    <w:rPr>
                      <w:rFonts w:hint="default" w:ascii="Times New Roman" w:hAnsi="Times New Roman" w:eastAsia="宋体" w:cs="Times New Roman"/>
                      <w:color w:val="auto"/>
                      <w:spacing w:val="-2"/>
                      <w:sz w:val="21"/>
                      <w:u w:val="none"/>
                      <w:lang w:val="en-US" w:eastAsia="zh-CN"/>
                    </w:rPr>
                    <w:t>施工</w:t>
                  </w:r>
                </w:p>
              </w:tc>
              <w:tc>
                <w:tcPr>
                  <w:tcW w:w="2920" w:type="dxa"/>
                  <w:tcBorders>
                    <w:tl2br w:val="nil"/>
                    <w:tr2bl w:val="nil"/>
                  </w:tcBorders>
                  <w:tcMar>
                    <w:top w:w="15" w:type="dxa"/>
                    <w:left w:w="7" w:type="dxa"/>
                    <w:bottom w:w="0" w:type="dxa"/>
                    <w:right w:w="7" w:type="dxa"/>
                  </w:tcMar>
                  <w:vAlign w:val="center"/>
                </w:tcPr>
                <w:p w14:paraId="4AD4C27B">
                  <w:pPr>
                    <w:spacing w:before="24" w:after="24" w:line="240" w:lineRule="auto"/>
                    <w:jc w:val="center"/>
                    <w:rPr>
                      <w:rFonts w:hint="default" w:ascii="Times New Roman" w:hAnsi="Times New Roman" w:eastAsia="宋体" w:cs="Times New Roman"/>
                      <w:color w:val="auto"/>
                      <w:spacing w:val="-2"/>
                      <w:sz w:val="21"/>
                      <w:u w:val="none"/>
                    </w:rPr>
                  </w:pPr>
                  <w:r>
                    <w:rPr>
                      <w:rFonts w:hint="default" w:ascii="Times New Roman" w:hAnsi="Times New Roman" w:eastAsia="宋体" w:cs="Times New Roman"/>
                      <w:color w:val="auto"/>
                      <w:spacing w:val="-2"/>
                      <w:sz w:val="21"/>
                      <w:u w:val="none"/>
                    </w:rPr>
                    <w:t>变电工程施工过程中场界环境噪声排放应满足 GB12523 中的要求；</w:t>
                  </w:r>
                </w:p>
              </w:tc>
              <w:tc>
                <w:tcPr>
                  <w:tcW w:w="2864" w:type="dxa"/>
                  <w:tcBorders>
                    <w:tl2br w:val="nil"/>
                    <w:tr2bl w:val="nil"/>
                  </w:tcBorders>
                  <w:tcMar>
                    <w:top w:w="15" w:type="dxa"/>
                    <w:left w:w="7" w:type="dxa"/>
                    <w:bottom w:w="0" w:type="dxa"/>
                    <w:right w:w="7" w:type="dxa"/>
                  </w:tcMar>
                  <w:vAlign w:val="center"/>
                </w:tcPr>
                <w:p w14:paraId="2976748B">
                  <w:pPr>
                    <w:spacing w:before="24" w:after="24" w:line="240" w:lineRule="auto"/>
                    <w:jc w:val="center"/>
                    <w:rPr>
                      <w:rFonts w:hint="default" w:ascii="Times New Roman" w:hAnsi="Times New Roman" w:eastAsia="宋体" w:cs="Times New Roman"/>
                      <w:color w:val="auto"/>
                      <w:spacing w:val="-2"/>
                      <w:sz w:val="21"/>
                      <w:u w:val="none"/>
                      <w:lang w:eastAsia="zh-CN"/>
                    </w:rPr>
                  </w:pPr>
                  <w:r>
                    <w:rPr>
                      <w:rFonts w:hint="default" w:ascii="Times New Roman" w:hAnsi="Times New Roman" w:eastAsia="宋体" w:cs="Times New Roman"/>
                      <w:color w:val="auto"/>
                      <w:spacing w:val="-2"/>
                      <w:sz w:val="21"/>
                      <w:u w:val="none"/>
                    </w:rPr>
                    <w:t>经预测，升压站施工过程中场界环境噪声排放满足GB12523中的要求</w:t>
                  </w:r>
                  <w:r>
                    <w:rPr>
                      <w:rFonts w:hint="default" w:ascii="Times New Roman" w:hAnsi="Times New Roman" w:eastAsia="宋体" w:cs="Times New Roman"/>
                      <w:color w:val="auto"/>
                      <w:spacing w:val="-2"/>
                      <w:sz w:val="21"/>
                      <w:u w:val="none"/>
                      <w:lang w:eastAsia="zh-CN"/>
                    </w:rPr>
                    <w:t>。</w:t>
                  </w:r>
                </w:p>
              </w:tc>
              <w:tc>
                <w:tcPr>
                  <w:tcW w:w="1274" w:type="dxa"/>
                  <w:tcBorders>
                    <w:tl2br w:val="nil"/>
                    <w:tr2bl w:val="nil"/>
                  </w:tcBorders>
                  <w:vAlign w:val="center"/>
                </w:tcPr>
                <w:p w14:paraId="71DA8862">
                  <w:pPr>
                    <w:spacing w:before="24" w:after="24" w:line="240" w:lineRule="auto"/>
                    <w:jc w:val="center"/>
                    <w:rPr>
                      <w:rFonts w:hint="default" w:ascii="Times New Roman" w:hAnsi="Times New Roman" w:eastAsia="宋体" w:cs="Times New Roman"/>
                      <w:color w:val="auto"/>
                      <w:spacing w:val="-2"/>
                      <w:sz w:val="21"/>
                      <w:u w:val="none"/>
                    </w:rPr>
                  </w:pPr>
                  <w:r>
                    <w:rPr>
                      <w:rFonts w:hint="default" w:ascii="Times New Roman" w:hAnsi="Times New Roman" w:eastAsia="宋体" w:cs="Times New Roman"/>
                      <w:color w:val="auto"/>
                      <w:spacing w:val="-2"/>
                      <w:sz w:val="21"/>
                      <w:u w:val="none"/>
                      <w:lang w:val="en-US" w:eastAsia="zh-CN"/>
                    </w:rPr>
                    <w:t>符合</w:t>
                  </w:r>
                </w:p>
              </w:tc>
            </w:tr>
            <w:tr w14:paraId="67619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52" w:type="dxa"/>
                  <w:vMerge w:val="continue"/>
                  <w:tcBorders>
                    <w:tl2br w:val="nil"/>
                    <w:tr2bl w:val="nil"/>
                  </w:tcBorders>
                  <w:vAlign w:val="center"/>
                </w:tcPr>
                <w:p w14:paraId="2388FAA0">
                  <w:pPr>
                    <w:spacing w:before="24" w:after="24" w:line="240" w:lineRule="auto"/>
                    <w:jc w:val="center"/>
                    <w:rPr>
                      <w:rFonts w:hint="default" w:ascii="Times New Roman" w:hAnsi="Times New Roman" w:eastAsia="宋体" w:cs="Times New Roman"/>
                      <w:color w:val="auto"/>
                      <w:spacing w:val="-2"/>
                      <w:sz w:val="21"/>
                      <w:u w:val="none"/>
                    </w:rPr>
                  </w:pPr>
                </w:p>
              </w:tc>
              <w:tc>
                <w:tcPr>
                  <w:tcW w:w="2920" w:type="dxa"/>
                  <w:tcBorders>
                    <w:tl2br w:val="nil"/>
                    <w:tr2bl w:val="nil"/>
                  </w:tcBorders>
                  <w:tcMar>
                    <w:top w:w="15" w:type="dxa"/>
                    <w:left w:w="7" w:type="dxa"/>
                    <w:bottom w:w="0" w:type="dxa"/>
                    <w:right w:w="7" w:type="dxa"/>
                  </w:tcMar>
                  <w:vAlign w:val="center"/>
                </w:tcPr>
                <w:p w14:paraId="5A1B91D6">
                  <w:pPr>
                    <w:spacing w:before="24" w:after="24" w:line="240" w:lineRule="auto"/>
                    <w:jc w:val="center"/>
                    <w:rPr>
                      <w:rFonts w:hint="default" w:ascii="Times New Roman" w:hAnsi="Times New Roman" w:eastAsia="宋体" w:cs="Times New Roman"/>
                      <w:color w:val="auto"/>
                      <w:spacing w:val="-2"/>
                      <w:sz w:val="21"/>
                      <w:u w:val="none"/>
                    </w:rPr>
                  </w:pPr>
                  <w:r>
                    <w:rPr>
                      <w:rFonts w:hint="default" w:ascii="Times New Roman" w:hAnsi="Times New Roman" w:eastAsia="宋体" w:cs="Times New Roman"/>
                      <w:color w:val="auto"/>
                      <w:spacing w:val="-2"/>
                      <w:sz w:val="21"/>
                      <w:u w:val="none"/>
                    </w:rPr>
                    <w:t>输变电建设项目施工期临时用地应永临结合，优先利用荒地、劣地；</w:t>
                  </w:r>
                </w:p>
              </w:tc>
              <w:tc>
                <w:tcPr>
                  <w:tcW w:w="2864" w:type="dxa"/>
                  <w:tcBorders>
                    <w:tl2br w:val="nil"/>
                    <w:tr2bl w:val="nil"/>
                  </w:tcBorders>
                  <w:tcMar>
                    <w:top w:w="15" w:type="dxa"/>
                    <w:left w:w="7" w:type="dxa"/>
                    <w:bottom w:w="0" w:type="dxa"/>
                    <w:right w:w="7" w:type="dxa"/>
                  </w:tcMar>
                  <w:vAlign w:val="center"/>
                </w:tcPr>
                <w:p w14:paraId="39D1C6DA">
                  <w:pPr>
                    <w:spacing w:before="24" w:after="24" w:line="240" w:lineRule="auto"/>
                    <w:jc w:val="center"/>
                    <w:rPr>
                      <w:rFonts w:hint="default" w:ascii="Times New Roman" w:hAnsi="Times New Roman" w:eastAsia="宋体" w:cs="Times New Roman"/>
                      <w:color w:val="auto"/>
                      <w:spacing w:val="-2"/>
                      <w:sz w:val="21"/>
                      <w:u w:val="none"/>
                    </w:rPr>
                  </w:pPr>
                  <w:r>
                    <w:rPr>
                      <w:rFonts w:hint="default" w:ascii="Times New Roman" w:hAnsi="Times New Roman" w:eastAsia="宋体" w:cs="Times New Roman"/>
                      <w:color w:val="auto"/>
                      <w:spacing w:val="-2"/>
                      <w:sz w:val="21"/>
                      <w:u w:val="none"/>
                    </w:rPr>
                    <w:t>施工期升压站施工用地为升压站的永久用地</w:t>
                  </w:r>
                </w:p>
              </w:tc>
              <w:tc>
                <w:tcPr>
                  <w:tcW w:w="1274" w:type="dxa"/>
                  <w:tcBorders>
                    <w:tl2br w:val="nil"/>
                    <w:tr2bl w:val="nil"/>
                  </w:tcBorders>
                  <w:vAlign w:val="center"/>
                </w:tcPr>
                <w:p w14:paraId="03033850">
                  <w:pPr>
                    <w:spacing w:before="24" w:after="24" w:line="240" w:lineRule="auto"/>
                    <w:jc w:val="center"/>
                    <w:rPr>
                      <w:rFonts w:hint="default" w:ascii="Times New Roman" w:hAnsi="Times New Roman" w:eastAsia="宋体" w:cs="Times New Roman"/>
                      <w:color w:val="auto"/>
                      <w:spacing w:val="-2"/>
                      <w:sz w:val="21"/>
                      <w:u w:val="none"/>
                    </w:rPr>
                  </w:pPr>
                  <w:r>
                    <w:rPr>
                      <w:rFonts w:hint="default" w:ascii="Times New Roman" w:hAnsi="Times New Roman" w:eastAsia="宋体" w:cs="Times New Roman"/>
                      <w:color w:val="auto"/>
                      <w:spacing w:val="-2"/>
                      <w:sz w:val="21"/>
                      <w:u w:val="none"/>
                      <w:lang w:val="en-US" w:eastAsia="zh-CN"/>
                    </w:rPr>
                    <w:t>符合</w:t>
                  </w:r>
                </w:p>
              </w:tc>
            </w:tr>
            <w:tr w14:paraId="0BC8D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52" w:type="dxa"/>
                  <w:vMerge w:val="continue"/>
                  <w:tcBorders>
                    <w:tl2br w:val="nil"/>
                    <w:tr2bl w:val="nil"/>
                  </w:tcBorders>
                  <w:vAlign w:val="center"/>
                </w:tcPr>
                <w:p w14:paraId="756C8787">
                  <w:pPr>
                    <w:spacing w:before="24" w:after="24" w:line="240" w:lineRule="auto"/>
                    <w:jc w:val="center"/>
                    <w:rPr>
                      <w:rFonts w:hint="default" w:ascii="Times New Roman" w:hAnsi="Times New Roman" w:eastAsia="宋体" w:cs="Times New Roman"/>
                      <w:color w:val="auto"/>
                      <w:spacing w:val="-2"/>
                      <w:sz w:val="21"/>
                      <w:u w:val="none"/>
                    </w:rPr>
                  </w:pPr>
                </w:p>
              </w:tc>
              <w:tc>
                <w:tcPr>
                  <w:tcW w:w="2920" w:type="dxa"/>
                  <w:tcBorders>
                    <w:tl2br w:val="nil"/>
                    <w:tr2bl w:val="nil"/>
                  </w:tcBorders>
                  <w:tcMar>
                    <w:top w:w="15" w:type="dxa"/>
                    <w:left w:w="7" w:type="dxa"/>
                    <w:bottom w:w="0" w:type="dxa"/>
                    <w:right w:w="7" w:type="dxa"/>
                  </w:tcMar>
                  <w:vAlign w:val="center"/>
                </w:tcPr>
                <w:p w14:paraId="45B80CB6">
                  <w:pPr>
                    <w:spacing w:before="24" w:after="24" w:line="240" w:lineRule="auto"/>
                    <w:jc w:val="center"/>
                    <w:rPr>
                      <w:rFonts w:hint="default" w:ascii="Times New Roman" w:hAnsi="Times New Roman" w:eastAsia="宋体" w:cs="Times New Roman"/>
                      <w:color w:val="auto"/>
                      <w:spacing w:val="-2"/>
                      <w:sz w:val="21"/>
                      <w:u w:val="none"/>
                    </w:rPr>
                  </w:pPr>
                  <w:r>
                    <w:rPr>
                      <w:rFonts w:hint="default" w:ascii="Times New Roman" w:hAnsi="Times New Roman" w:eastAsia="宋体" w:cs="Times New Roman"/>
                      <w:color w:val="auto"/>
                      <w:spacing w:val="-2"/>
                      <w:sz w:val="21"/>
                      <w:u w:val="none"/>
                    </w:rPr>
                    <w:t>变电工程施工现场临时厕所的化粪池应进行防渗处理；</w:t>
                  </w:r>
                </w:p>
              </w:tc>
              <w:tc>
                <w:tcPr>
                  <w:tcW w:w="2864" w:type="dxa"/>
                  <w:tcBorders>
                    <w:tl2br w:val="nil"/>
                    <w:tr2bl w:val="nil"/>
                  </w:tcBorders>
                  <w:tcMar>
                    <w:top w:w="15" w:type="dxa"/>
                    <w:left w:w="7" w:type="dxa"/>
                    <w:bottom w:w="0" w:type="dxa"/>
                    <w:right w:w="7" w:type="dxa"/>
                  </w:tcMar>
                  <w:vAlign w:val="center"/>
                </w:tcPr>
                <w:p w14:paraId="1DDB7A83">
                  <w:pPr>
                    <w:spacing w:before="24" w:after="24" w:line="240" w:lineRule="auto"/>
                    <w:jc w:val="center"/>
                    <w:rPr>
                      <w:rFonts w:hint="default" w:ascii="Times New Roman" w:hAnsi="Times New Roman" w:eastAsia="宋体" w:cs="Times New Roman"/>
                      <w:color w:val="auto"/>
                      <w:spacing w:val="-2"/>
                      <w:sz w:val="21"/>
                      <w:u w:val="none"/>
                    </w:rPr>
                  </w:pPr>
                  <w:r>
                    <w:rPr>
                      <w:rFonts w:hint="default" w:ascii="Times New Roman" w:hAnsi="Times New Roman" w:eastAsia="宋体" w:cs="Times New Roman"/>
                      <w:color w:val="auto"/>
                      <w:spacing w:val="-2"/>
                      <w:sz w:val="21"/>
                      <w:u w:val="none"/>
                    </w:rPr>
                    <w:t>本报告要求升压站施工期临时厕所化粪池应进行防渗处理</w:t>
                  </w:r>
                </w:p>
              </w:tc>
              <w:tc>
                <w:tcPr>
                  <w:tcW w:w="1274" w:type="dxa"/>
                  <w:tcBorders>
                    <w:tl2br w:val="nil"/>
                    <w:tr2bl w:val="nil"/>
                  </w:tcBorders>
                  <w:vAlign w:val="center"/>
                </w:tcPr>
                <w:p w14:paraId="01008E4E">
                  <w:pPr>
                    <w:spacing w:before="24" w:after="24" w:line="240" w:lineRule="auto"/>
                    <w:jc w:val="center"/>
                    <w:rPr>
                      <w:rFonts w:hint="default" w:ascii="Times New Roman" w:hAnsi="Times New Roman" w:eastAsia="宋体" w:cs="Times New Roman"/>
                      <w:color w:val="auto"/>
                      <w:spacing w:val="-2"/>
                      <w:sz w:val="21"/>
                      <w:u w:val="none"/>
                    </w:rPr>
                  </w:pPr>
                  <w:r>
                    <w:rPr>
                      <w:rFonts w:hint="default" w:ascii="Times New Roman" w:hAnsi="Times New Roman" w:eastAsia="宋体" w:cs="Times New Roman"/>
                      <w:color w:val="auto"/>
                      <w:spacing w:val="-2"/>
                      <w:sz w:val="21"/>
                      <w:u w:val="none"/>
                      <w:lang w:val="en-US" w:eastAsia="zh-CN"/>
                    </w:rPr>
                    <w:t>符合</w:t>
                  </w:r>
                </w:p>
              </w:tc>
            </w:tr>
            <w:tr w14:paraId="5E5E6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52" w:type="dxa"/>
                  <w:vMerge w:val="continue"/>
                  <w:tcBorders>
                    <w:tl2br w:val="nil"/>
                    <w:tr2bl w:val="nil"/>
                  </w:tcBorders>
                  <w:vAlign w:val="center"/>
                </w:tcPr>
                <w:p w14:paraId="347596DF">
                  <w:pPr>
                    <w:spacing w:before="24" w:after="24" w:line="240" w:lineRule="auto"/>
                    <w:jc w:val="center"/>
                    <w:rPr>
                      <w:rFonts w:hint="default" w:ascii="Times New Roman" w:hAnsi="Times New Roman" w:eastAsia="宋体" w:cs="Times New Roman"/>
                      <w:color w:val="auto"/>
                      <w:spacing w:val="-2"/>
                      <w:sz w:val="21"/>
                      <w:u w:val="none"/>
                    </w:rPr>
                  </w:pPr>
                </w:p>
              </w:tc>
              <w:tc>
                <w:tcPr>
                  <w:tcW w:w="2920" w:type="dxa"/>
                  <w:tcBorders>
                    <w:tl2br w:val="nil"/>
                    <w:tr2bl w:val="nil"/>
                  </w:tcBorders>
                  <w:tcMar>
                    <w:top w:w="15" w:type="dxa"/>
                    <w:left w:w="7" w:type="dxa"/>
                    <w:bottom w:w="0" w:type="dxa"/>
                    <w:right w:w="7" w:type="dxa"/>
                  </w:tcMar>
                  <w:vAlign w:val="center"/>
                </w:tcPr>
                <w:p w14:paraId="2ACD330E">
                  <w:pPr>
                    <w:spacing w:before="24" w:after="24" w:line="240" w:lineRule="auto"/>
                    <w:jc w:val="center"/>
                    <w:rPr>
                      <w:rFonts w:hint="default" w:ascii="Times New Roman" w:hAnsi="Times New Roman" w:eastAsia="宋体" w:cs="Times New Roman"/>
                      <w:color w:val="auto"/>
                      <w:spacing w:val="-2"/>
                      <w:sz w:val="21"/>
                      <w:u w:val="none"/>
                    </w:rPr>
                  </w:pPr>
                  <w:r>
                    <w:rPr>
                      <w:rFonts w:hint="default" w:ascii="Times New Roman" w:hAnsi="Times New Roman" w:eastAsia="宋体" w:cs="Times New Roman"/>
                      <w:color w:val="auto"/>
                      <w:spacing w:val="-2"/>
                      <w:sz w:val="21"/>
                      <w:u w:val="none"/>
                    </w:rPr>
                    <w:t>位于城市规划区内的输变电建设项目，施工扬尘污染的防治还应符合 HJ/T393 的规定；</w:t>
                  </w:r>
                </w:p>
              </w:tc>
              <w:tc>
                <w:tcPr>
                  <w:tcW w:w="2864" w:type="dxa"/>
                  <w:tcBorders>
                    <w:tl2br w:val="nil"/>
                    <w:tr2bl w:val="nil"/>
                  </w:tcBorders>
                  <w:tcMar>
                    <w:top w:w="15" w:type="dxa"/>
                    <w:left w:w="7" w:type="dxa"/>
                    <w:bottom w:w="0" w:type="dxa"/>
                    <w:right w:w="7" w:type="dxa"/>
                  </w:tcMar>
                  <w:vAlign w:val="center"/>
                </w:tcPr>
                <w:p w14:paraId="65229A5E">
                  <w:pPr>
                    <w:spacing w:before="24" w:after="24" w:line="240" w:lineRule="auto"/>
                    <w:jc w:val="center"/>
                    <w:rPr>
                      <w:rFonts w:hint="default" w:ascii="Times New Roman" w:hAnsi="Times New Roman" w:eastAsia="宋体" w:cs="Times New Roman"/>
                      <w:color w:val="auto"/>
                      <w:spacing w:val="-2"/>
                      <w:sz w:val="21"/>
                      <w:u w:val="none"/>
                    </w:rPr>
                  </w:pPr>
                  <w:r>
                    <w:rPr>
                      <w:rFonts w:hint="default" w:ascii="Times New Roman" w:hAnsi="Times New Roman" w:eastAsia="宋体" w:cs="Times New Roman"/>
                      <w:color w:val="auto"/>
                      <w:spacing w:val="-2"/>
                      <w:sz w:val="21"/>
                      <w:u w:val="none"/>
                    </w:rPr>
                    <w:t>升压站未处区于城市规划</w:t>
                  </w:r>
                </w:p>
              </w:tc>
              <w:tc>
                <w:tcPr>
                  <w:tcW w:w="1274" w:type="dxa"/>
                  <w:tcBorders>
                    <w:tl2br w:val="nil"/>
                    <w:tr2bl w:val="nil"/>
                  </w:tcBorders>
                  <w:vAlign w:val="center"/>
                </w:tcPr>
                <w:p w14:paraId="6D3C1520">
                  <w:pPr>
                    <w:spacing w:before="24" w:after="24" w:line="240" w:lineRule="auto"/>
                    <w:jc w:val="center"/>
                    <w:rPr>
                      <w:rFonts w:hint="default" w:ascii="Times New Roman" w:hAnsi="Times New Roman" w:eastAsia="宋体" w:cs="Times New Roman"/>
                      <w:color w:val="auto"/>
                      <w:spacing w:val="-2"/>
                      <w:sz w:val="21"/>
                      <w:u w:val="none"/>
                    </w:rPr>
                  </w:pPr>
                  <w:r>
                    <w:rPr>
                      <w:rFonts w:hint="default" w:ascii="Times New Roman" w:hAnsi="Times New Roman" w:eastAsia="宋体" w:cs="Times New Roman"/>
                      <w:color w:val="auto"/>
                      <w:spacing w:val="-2"/>
                      <w:sz w:val="21"/>
                      <w:u w:val="none"/>
                      <w:lang w:val="en-US" w:eastAsia="zh-CN"/>
                    </w:rPr>
                    <w:t>符合</w:t>
                  </w:r>
                </w:p>
              </w:tc>
            </w:tr>
            <w:tr w14:paraId="13729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52" w:type="dxa"/>
                  <w:vMerge w:val="continue"/>
                  <w:tcBorders>
                    <w:tl2br w:val="nil"/>
                    <w:tr2bl w:val="nil"/>
                  </w:tcBorders>
                  <w:vAlign w:val="center"/>
                </w:tcPr>
                <w:p w14:paraId="5A8F6BD1">
                  <w:pPr>
                    <w:spacing w:before="24" w:after="24" w:line="240" w:lineRule="auto"/>
                    <w:jc w:val="center"/>
                    <w:rPr>
                      <w:rFonts w:hint="default" w:ascii="Times New Roman" w:hAnsi="Times New Roman" w:eastAsia="宋体" w:cs="Times New Roman"/>
                      <w:color w:val="auto"/>
                      <w:spacing w:val="-2"/>
                      <w:sz w:val="21"/>
                      <w:u w:val="none"/>
                    </w:rPr>
                  </w:pPr>
                </w:p>
              </w:tc>
              <w:tc>
                <w:tcPr>
                  <w:tcW w:w="2920" w:type="dxa"/>
                  <w:tcBorders>
                    <w:tl2br w:val="nil"/>
                    <w:tr2bl w:val="nil"/>
                  </w:tcBorders>
                  <w:tcMar>
                    <w:top w:w="15" w:type="dxa"/>
                    <w:left w:w="7" w:type="dxa"/>
                    <w:bottom w:w="0" w:type="dxa"/>
                    <w:right w:w="7" w:type="dxa"/>
                  </w:tcMar>
                  <w:vAlign w:val="center"/>
                </w:tcPr>
                <w:p w14:paraId="2D9D5548">
                  <w:pPr>
                    <w:spacing w:before="24" w:after="24" w:line="240" w:lineRule="auto"/>
                    <w:jc w:val="center"/>
                    <w:rPr>
                      <w:rFonts w:hint="default" w:ascii="Times New Roman" w:hAnsi="Times New Roman" w:eastAsia="宋体" w:cs="Times New Roman"/>
                      <w:color w:val="auto"/>
                      <w:spacing w:val="-2"/>
                      <w:sz w:val="21"/>
                      <w:u w:val="none"/>
                    </w:rPr>
                  </w:pPr>
                  <w:r>
                    <w:rPr>
                      <w:rFonts w:hint="default" w:ascii="Times New Roman" w:hAnsi="Times New Roman" w:eastAsia="宋体" w:cs="Times New Roman"/>
                      <w:color w:val="auto"/>
                      <w:spacing w:val="-2"/>
                      <w:sz w:val="21"/>
                      <w:u w:val="none"/>
                    </w:rPr>
                    <w:t>施工过程中产生的土石方、建筑垃圾、生活垃圾应分类集中收集，并按国家和地方有关规定定期进行清运处置，施工完成后及时做好迹地清理工作。</w:t>
                  </w:r>
                </w:p>
              </w:tc>
              <w:tc>
                <w:tcPr>
                  <w:tcW w:w="2864" w:type="dxa"/>
                  <w:tcBorders>
                    <w:tl2br w:val="nil"/>
                    <w:tr2bl w:val="nil"/>
                  </w:tcBorders>
                  <w:tcMar>
                    <w:top w:w="15" w:type="dxa"/>
                    <w:left w:w="7" w:type="dxa"/>
                    <w:bottom w:w="0" w:type="dxa"/>
                    <w:right w:w="7" w:type="dxa"/>
                  </w:tcMar>
                  <w:vAlign w:val="center"/>
                </w:tcPr>
                <w:p w14:paraId="14EC8302">
                  <w:pPr>
                    <w:spacing w:before="24" w:after="24" w:line="240" w:lineRule="auto"/>
                    <w:jc w:val="both"/>
                    <w:rPr>
                      <w:rFonts w:hint="default" w:ascii="Times New Roman" w:hAnsi="Times New Roman" w:eastAsia="宋体" w:cs="Times New Roman"/>
                      <w:color w:val="auto"/>
                      <w:spacing w:val="-2"/>
                      <w:sz w:val="21"/>
                      <w:u w:val="none"/>
                    </w:rPr>
                  </w:pPr>
                  <w:r>
                    <w:rPr>
                      <w:rFonts w:hint="default" w:ascii="Times New Roman" w:hAnsi="Times New Roman" w:eastAsia="宋体" w:cs="Times New Roman"/>
                      <w:color w:val="auto"/>
                      <w:spacing w:val="-2"/>
                      <w:sz w:val="21"/>
                      <w:u w:val="none"/>
                    </w:rPr>
                    <w:t>本报告要求施工过程中产生的土石方、建筑垃圾、生活垃圾应分类集中收集，并按国家和地方有关规定定期进行清运处置，施工完成后及时做好迹地清理工作。</w:t>
                  </w:r>
                </w:p>
              </w:tc>
              <w:tc>
                <w:tcPr>
                  <w:tcW w:w="1274" w:type="dxa"/>
                  <w:tcBorders>
                    <w:tl2br w:val="nil"/>
                    <w:tr2bl w:val="nil"/>
                  </w:tcBorders>
                  <w:vAlign w:val="center"/>
                </w:tcPr>
                <w:p w14:paraId="433B2650">
                  <w:pPr>
                    <w:spacing w:before="24" w:after="24" w:line="240" w:lineRule="auto"/>
                    <w:jc w:val="center"/>
                    <w:rPr>
                      <w:rFonts w:hint="default" w:ascii="Times New Roman" w:hAnsi="Times New Roman" w:eastAsia="宋体" w:cs="Times New Roman"/>
                      <w:color w:val="auto"/>
                      <w:spacing w:val="-2"/>
                      <w:sz w:val="21"/>
                      <w:u w:val="none"/>
                    </w:rPr>
                  </w:pPr>
                  <w:r>
                    <w:rPr>
                      <w:rFonts w:hint="default" w:ascii="Times New Roman" w:hAnsi="Times New Roman" w:eastAsia="宋体" w:cs="Times New Roman"/>
                      <w:color w:val="auto"/>
                      <w:spacing w:val="-2"/>
                      <w:sz w:val="21"/>
                      <w:u w:val="none"/>
                      <w:lang w:val="en-US" w:eastAsia="zh-CN"/>
                    </w:rPr>
                    <w:t>符合</w:t>
                  </w:r>
                </w:p>
              </w:tc>
            </w:tr>
          </w:tbl>
          <w:p w14:paraId="17D93CA3">
            <w:pPr>
              <w:ind w:firstLine="480" w:firstLineChars="200"/>
              <w:rPr>
                <w:color w:val="auto"/>
              </w:rPr>
            </w:pPr>
            <w:r>
              <w:rPr>
                <w:color w:val="auto"/>
              </w:rPr>
              <w:t>1.2 湖南省相关规划的符合性分析</w:t>
            </w:r>
            <w:bookmarkEnd w:id="19"/>
            <w:bookmarkEnd w:id="20"/>
            <w:bookmarkEnd w:id="21"/>
          </w:p>
          <w:p w14:paraId="3E10AA38">
            <w:pPr>
              <w:ind w:firstLine="480" w:firstLineChars="200"/>
              <w:rPr>
                <w:color w:val="auto"/>
              </w:rPr>
            </w:pPr>
            <w:bookmarkStart w:id="22" w:name="_Toc29938"/>
            <w:r>
              <w:rPr>
                <w:color w:val="auto"/>
              </w:rPr>
              <w:t>1.2.</w:t>
            </w:r>
            <w:r>
              <w:rPr>
                <w:rFonts w:hint="eastAsia"/>
                <w:color w:val="auto"/>
                <w:lang w:val="en-US" w:eastAsia="zh-CN"/>
              </w:rPr>
              <w:t>1</w:t>
            </w:r>
            <w:r>
              <w:rPr>
                <w:color w:val="auto"/>
              </w:rPr>
              <w:t xml:space="preserve"> 与湖南省主体功能区规划的符合性分析</w:t>
            </w:r>
            <w:bookmarkEnd w:id="22"/>
          </w:p>
          <w:p w14:paraId="09E1408A">
            <w:pPr>
              <w:ind w:firstLineChars="200"/>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根据《湖南省主体功能区规划》，在不损害生态功能的前提下，在重点生态功能区内资源环境承载能力相对较强的特定区域，支持其因地制宜适度发展能源和矿产资源开发利用相关产业。该规划提出湖南省能源开发的方向大力发展风能、太阳能、生物质能等新能源，布局建设一批风电场，积极推广太阳能和生物质能应用。</w:t>
            </w:r>
          </w:p>
          <w:p w14:paraId="1695A624">
            <w:pPr>
              <w:ind w:firstLineChars="200"/>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《湖南省主体功能区规划》将全省国土空间划分为以下主体功能区：按开发内容，分为城市化地区、农产品主产区和重点生态功能区；按开发方式和强度，分为重点开发区域、限制开发区域和禁止开发区域。</w:t>
            </w:r>
          </w:p>
          <w:p w14:paraId="562F4CA4">
            <w:pPr>
              <w:ind w:firstLineChars="200"/>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符合性分析：</w:t>
            </w:r>
            <w:r>
              <w:rPr>
                <w:rFonts w:hint="eastAsia" w:cs="Times New Roman"/>
                <w:b w:val="0"/>
                <w:bCs w:val="0"/>
                <w:color w:val="auto"/>
                <w:kern w:val="2"/>
                <w:sz w:val="24"/>
                <w:szCs w:val="24"/>
                <w:lang w:val="en-US" w:eastAsia="zh-CN" w:bidi="ar-SA"/>
              </w:rPr>
              <w:t>通道县</w:t>
            </w:r>
            <w:r>
              <w:rPr>
                <w:rFonts w:hint="eastAsia" w:ascii="Times New Roman" w:hAnsi="Times New Roman" w:eastAsia="宋体" w:cs="Times New Roman"/>
                <w:b w:val="0"/>
                <w:bCs w:val="0"/>
                <w:color w:val="auto"/>
                <w:kern w:val="2"/>
                <w:sz w:val="24"/>
                <w:szCs w:val="24"/>
                <w:lang w:val="en-US" w:eastAsia="zh-CN" w:bidi="ar-SA"/>
              </w:rPr>
              <w:t>属于</w:t>
            </w:r>
            <w:r>
              <w:rPr>
                <w:rFonts w:hint="eastAsia" w:cs="Times New Roman"/>
                <w:b w:val="0"/>
                <w:bCs w:val="0"/>
                <w:color w:val="auto"/>
                <w:kern w:val="2"/>
                <w:sz w:val="24"/>
                <w:szCs w:val="24"/>
                <w:lang w:val="en-US" w:eastAsia="zh-CN" w:bidi="ar-SA"/>
              </w:rPr>
              <w:t>省</w:t>
            </w:r>
            <w:r>
              <w:rPr>
                <w:rFonts w:hint="eastAsia" w:ascii="Times New Roman" w:hAnsi="Times New Roman" w:eastAsia="宋体" w:cs="Times New Roman"/>
                <w:b w:val="0"/>
                <w:bCs w:val="0"/>
                <w:color w:val="auto"/>
                <w:kern w:val="2"/>
                <w:sz w:val="24"/>
                <w:szCs w:val="24"/>
                <w:lang w:val="en-US" w:eastAsia="zh-CN" w:bidi="ar-SA"/>
              </w:rPr>
              <w:t>级重点生态功能区和限制开发区域，不允许高强度、大规模、集中式的开发，但是风电场作为清洁能源，开发强度不大，建风电场是可行的。根据环发【2015】92号文件《关于贯彻实施国家主体功能区环境政策的若干意见》，重点生态功能区可“在不损害生态系统功能的前提下，因地制宜地发展旅游、农林牧产品生产和加工、观光休闲农业及风电、太阳能等新能源产业。”本工程位于</w:t>
            </w:r>
            <w:r>
              <w:rPr>
                <w:rFonts w:hint="eastAsia" w:cs="Times New Roman"/>
                <w:b w:val="0"/>
                <w:bCs w:val="0"/>
                <w:color w:val="auto"/>
                <w:kern w:val="2"/>
                <w:sz w:val="24"/>
                <w:szCs w:val="24"/>
                <w:lang w:val="en-US" w:eastAsia="zh-CN" w:bidi="ar-SA"/>
              </w:rPr>
              <w:t>通道县</w:t>
            </w:r>
            <w:r>
              <w:rPr>
                <w:rFonts w:hint="eastAsia" w:ascii="Times New Roman" w:hAnsi="Times New Roman" w:eastAsia="宋体" w:cs="Times New Roman"/>
                <w:b w:val="0"/>
                <w:bCs w:val="0"/>
                <w:color w:val="auto"/>
                <w:kern w:val="2"/>
                <w:sz w:val="24"/>
                <w:szCs w:val="24"/>
                <w:lang w:val="en-US" w:eastAsia="zh-CN" w:bidi="ar-SA"/>
              </w:rPr>
              <w:t>内，工程区属于未涉及自然保护区、风景名胜区、森林公园等环境敏感区域，而且风力发电项目本属于公共基础设施项目，利用风能发电，惠民利民，符合国家产业政策。因此，本工程建设符合《湖南省主体功能区划》。</w:t>
            </w:r>
          </w:p>
          <w:p w14:paraId="290D5CDD">
            <w:pPr>
              <w:ind w:firstLine="480" w:firstLineChars="200"/>
              <w:rPr>
                <w:rFonts w:hint="eastAsia"/>
                <w:color w:val="auto"/>
                <w:u w:val="none"/>
              </w:rPr>
            </w:pPr>
            <w:r>
              <w:rPr>
                <w:rFonts w:hint="eastAsia"/>
                <w:color w:val="auto"/>
                <w:u w:val="none"/>
                <w:lang w:val="en-US" w:eastAsia="zh-CN"/>
              </w:rPr>
              <w:t>1.2.2与</w:t>
            </w:r>
            <w:r>
              <w:rPr>
                <w:rFonts w:hint="eastAsia"/>
                <w:color w:val="auto"/>
                <w:u w:val="none"/>
              </w:rPr>
              <w:t>湖南省“十四五”生态环境保护规划</w:t>
            </w:r>
            <w:r>
              <w:rPr>
                <w:color w:val="auto"/>
                <w:u w:val="none"/>
              </w:rPr>
              <w:t>的符合性分析</w:t>
            </w:r>
          </w:p>
          <w:p w14:paraId="18A312D9">
            <w:pPr>
              <w:ind w:firstLine="480"/>
              <w:rPr>
                <w:rFonts w:hint="eastAsia"/>
                <w:color w:val="auto"/>
                <w:u w:val="none"/>
                <w:lang w:eastAsia="zh-CN"/>
              </w:rPr>
            </w:pPr>
            <w:r>
              <w:rPr>
                <w:rFonts w:hint="eastAsia"/>
                <w:color w:val="auto"/>
                <w:u w:val="none"/>
                <w:lang w:eastAsia="zh-CN"/>
              </w:rPr>
              <w:t>湖南省“十四五”生态环境保护规划：“（二）推动形成绿色生产方式。推动能源结构持续优化。优化能源结构，构建清洁低碳、安全高效的现代能源体系，控制化石能源消费总量，合理控制煤炭消费总量，提升煤炭清洁化利用率，“十四五”期间煤炭消费基本达峰，形成以非石化能源为能源消费增量主体的能源结构。进一步完善全省油气网络，深入推进“气化湖南工程”，基本实现天然气“县县通、全覆盖”。加大“外电入湘”“页岩气入湘”等省外优质能源引入力度，加快推进以风电、光伏发电为主的新能源发展，统筹发展水能、氢能、地热、生物质等优质清洁能源。到2025年，力争全省煤炭消费占比下降至52%左右，力争天然气消费量提高至100亿立方米，非化石能源消费占比提升至23%。推进火电燃煤机组升级改造，长株潭地区逐步淘汰30万千瓦以下煤电机组。实施终端能源清洁化替代，加快工业、建筑、交通等领域电气化发展，推行清洁能源替代，逐步改善农村用能结构，提倡使用太阳能、石油液化气、电、沼气等清洁能源。”</w:t>
            </w:r>
          </w:p>
          <w:p w14:paraId="5732907E">
            <w:pPr>
              <w:ind w:firstLine="480"/>
              <w:rPr>
                <w:rFonts w:hint="eastAsia"/>
                <w:color w:val="auto"/>
                <w:u w:val="none"/>
                <w:lang w:val="en-US" w:eastAsia="zh-CN"/>
              </w:rPr>
            </w:pPr>
            <w:r>
              <w:rPr>
                <w:rFonts w:hint="eastAsia"/>
                <w:color w:val="auto"/>
                <w:u w:val="none"/>
                <w:lang w:val="en-US" w:eastAsia="zh-CN"/>
              </w:rPr>
              <w:t>本项目建设符合“</w:t>
            </w:r>
            <w:r>
              <w:rPr>
                <w:rFonts w:hint="eastAsia"/>
                <w:color w:val="auto"/>
                <w:u w:val="none"/>
                <w:lang w:eastAsia="zh-CN"/>
              </w:rPr>
              <w:t>加快推进以风电、光伏发电为主的新能源发展</w:t>
            </w:r>
            <w:r>
              <w:rPr>
                <w:rFonts w:hint="eastAsia"/>
                <w:color w:val="auto"/>
                <w:u w:val="none"/>
                <w:lang w:val="en-US" w:eastAsia="zh-CN"/>
              </w:rPr>
              <w:t>”的规划要求。</w:t>
            </w:r>
          </w:p>
          <w:p w14:paraId="61B6FE22">
            <w:pPr>
              <w:ind w:firstLine="480" w:firstLineChars="200"/>
              <w:rPr>
                <w:rFonts w:hint="eastAsia"/>
                <w:color w:val="000000" w:themeColor="text1"/>
                <w:u w:val="none"/>
                <w:lang w:val="en-US" w:eastAsia="zh-CN"/>
                <w14:textFill>
                  <w14:solidFill>
                    <w14:schemeClr w14:val="tx1"/>
                  </w14:solidFill>
                </w14:textFill>
              </w:rPr>
            </w:pPr>
            <w:r>
              <w:rPr>
                <w:rFonts w:hint="eastAsia"/>
                <w:color w:val="000000" w:themeColor="text1"/>
                <w:u w:val="none"/>
                <w:lang w:val="en-US" w:eastAsia="zh-CN"/>
                <w14:textFill>
                  <w14:solidFill>
                    <w14:schemeClr w14:val="tx1"/>
                  </w14:solidFill>
                </w14:textFill>
              </w:rPr>
              <w:t>1.2.3与湖南省饮用水水源保护条例的相符性</w:t>
            </w:r>
          </w:p>
          <w:p w14:paraId="03597E97">
            <w:pPr>
              <w:ind w:firstLine="480"/>
              <w:rPr>
                <w:rFonts w:hint="default"/>
                <w:color w:val="000000" w:themeColor="text1"/>
                <w:u w:val="none"/>
                <w:lang w:val="en-US" w:eastAsia="zh-CN"/>
                <w14:textFill>
                  <w14:solidFill>
                    <w14:schemeClr w14:val="tx1"/>
                  </w14:solidFill>
                </w14:textFill>
              </w:rPr>
            </w:pPr>
            <w:r>
              <w:rPr>
                <w:rFonts w:hint="eastAsia"/>
                <w:color w:val="000000" w:themeColor="text1"/>
                <w:u w:val="none"/>
                <w:lang w:val="en-US" w:eastAsia="zh-CN"/>
                <w14:textFill>
                  <w14:solidFill>
                    <w14:schemeClr w14:val="tx1"/>
                  </w14:solidFill>
                </w14:textFill>
              </w:rPr>
              <w:t>本项目用地范围内不涉及饮用水水源保护区，运营期不产生生产废水，生活废水经处理后回用于厂区绿化，不外排，符合《湖南省饮用水水源保护条例》要求。</w:t>
            </w:r>
          </w:p>
          <w:p w14:paraId="079D23FB">
            <w:pPr>
              <w:ind w:firstLine="480" w:firstLineChars="200"/>
              <w:rPr>
                <w:color w:val="auto"/>
                <w:u w:val="none"/>
              </w:rPr>
            </w:pPr>
            <w:r>
              <w:rPr>
                <w:rFonts w:hint="default"/>
                <w:color w:val="auto"/>
                <w:u w:val="none"/>
              </w:rPr>
              <w:t>1.</w:t>
            </w:r>
            <w:r>
              <w:rPr>
                <w:rFonts w:hint="eastAsia"/>
                <w:color w:val="auto"/>
                <w:u w:val="none"/>
                <w:lang w:val="en-US" w:eastAsia="zh-CN"/>
              </w:rPr>
              <w:t>3</w:t>
            </w:r>
            <w:r>
              <w:rPr>
                <w:rFonts w:hint="default"/>
                <w:color w:val="auto"/>
                <w:u w:val="none"/>
              </w:rPr>
              <w:t xml:space="preserve"> 湖南省相关</w:t>
            </w:r>
            <w:r>
              <w:rPr>
                <w:rFonts w:hint="eastAsia"/>
                <w:color w:val="auto"/>
                <w:u w:val="none"/>
                <w:lang w:val="en-US" w:eastAsia="zh-CN"/>
              </w:rPr>
              <w:t>政策</w:t>
            </w:r>
            <w:r>
              <w:rPr>
                <w:rFonts w:hint="default"/>
                <w:color w:val="auto"/>
                <w:u w:val="none"/>
              </w:rPr>
              <w:t>的符合性分析</w:t>
            </w:r>
          </w:p>
          <w:p w14:paraId="3C46DCBD">
            <w:pPr>
              <w:ind w:firstLine="480" w:firstLineChars="200"/>
              <w:rPr>
                <w:color w:val="auto"/>
                <w:u w:val="none"/>
              </w:rPr>
            </w:pPr>
            <w:bookmarkStart w:id="23" w:name="_Toc17961"/>
            <w:r>
              <w:rPr>
                <w:color w:val="auto"/>
                <w:u w:val="none"/>
              </w:rPr>
              <w:t>1.</w:t>
            </w:r>
            <w:r>
              <w:rPr>
                <w:rFonts w:hint="eastAsia"/>
                <w:color w:val="auto"/>
                <w:u w:val="none"/>
                <w:lang w:val="en-US" w:eastAsia="zh-CN"/>
              </w:rPr>
              <w:t>3.1</w:t>
            </w:r>
            <w:r>
              <w:rPr>
                <w:color w:val="auto"/>
                <w:u w:val="none"/>
              </w:rPr>
              <w:t xml:space="preserve"> 与湖南省林业厅《关于进一步加强风电建设项目使用林地管理的通知》（湘林政[2018]5号）的符合性分析</w:t>
            </w:r>
            <w:bookmarkEnd w:id="23"/>
          </w:p>
          <w:p w14:paraId="0DACFD5A">
            <w:pPr>
              <w:ind w:firstLine="480" w:firstLineChars="200"/>
              <w:rPr>
                <w:color w:val="auto"/>
                <w:u w:val="none"/>
              </w:rPr>
            </w:pPr>
            <w:r>
              <w:rPr>
                <w:color w:val="auto"/>
                <w:u w:val="none"/>
              </w:rPr>
              <w:t>根据湖南省林业厅发布的《关于进一步加强风电建设项目使用林地管理的通知》（湘林政〔2018〕5号）中相关内容，自本通知施行之日起，对相关区域提出禁止风电项目建设的要求。具体禁建区域及本项目符合性分析如下表所示。</w:t>
            </w:r>
          </w:p>
          <w:p w14:paraId="3733BFF8">
            <w:pPr>
              <w:ind w:firstLine="480" w:firstLineChars="200"/>
              <w:jc w:val="both"/>
              <w:rPr>
                <w:color w:val="000000" w:themeColor="text1"/>
                <w:u w:val="none"/>
                <w14:textFill>
                  <w14:solidFill>
                    <w14:schemeClr w14:val="tx1"/>
                  </w14:solidFill>
                </w14:textFill>
              </w:rPr>
            </w:pPr>
            <w:r>
              <w:rPr>
                <w:color w:val="000000" w:themeColor="text1"/>
                <w:u w:val="none"/>
                <w14:textFill>
                  <w14:solidFill>
                    <w14:schemeClr w14:val="tx1"/>
                  </w14:solidFill>
                </w14:textFill>
              </w:rPr>
              <w:t>表1</w:t>
            </w:r>
            <w:r>
              <w:rPr>
                <w:rFonts w:hint="eastAsia"/>
                <w:color w:val="000000" w:themeColor="text1"/>
                <w:u w:val="none"/>
                <w14:textFill>
                  <w14:solidFill>
                    <w14:schemeClr w14:val="tx1"/>
                  </w14:solidFill>
                </w14:textFill>
              </w:rPr>
              <w:t>.</w:t>
            </w:r>
            <w:r>
              <w:rPr>
                <w:rFonts w:hint="eastAsia"/>
                <w:color w:val="000000" w:themeColor="text1"/>
                <w:u w:val="none"/>
                <w:lang w:val="en-US" w:eastAsia="zh-CN"/>
                <w14:textFill>
                  <w14:solidFill>
                    <w14:schemeClr w14:val="tx1"/>
                  </w14:solidFill>
                </w14:textFill>
              </w:rPr>
              <w:t>3</w:t>
            </w:r>
            <w:r>
              <w:rPr>
                <w:color w:val="000000" w:themeColor="text1"/>
                <w:u w:val="none"/>
                <w14:textFill>
                  <w14:solidFill>
                    <w14:schemeClr w14:val="tx1"/>
                  </w14:solidFill>
                </w14:textFill>
              </w:rPr>
              <w:t>-</w:t>
            </w:r>
            <w:r>
              <w:rPr>
                <w:rFonts w:hint="eastAsia"/>
                <w:color w:val="000000" w:themeColor="text1"/>
                <w:u w:val="none"/>
                <w14:textFill>
                  <w14:solidFill>
                    <w14:schemeClr w14:val="tx1"/>
                  </w14:solidFill>
                </w14:textFill>
              </w:rPr>
              <w:t>1</w:t>
            </w:r>
            <w:r>
              <w:rPr>
                <w:color w:val="000000" w:themeColor="text1"/>
                <w:u w:val="none"/>
                <w14:textFill>
                  <w14:solidFill>
                    <w14:schemeClr w14:val="tx1"/>
                  </w14:solidFill>
                </w14:textFill>
              </w:rPr>
              <w:t>与《关于进一步加强风电建设项目使用林地管理的通知》符合性分析</w:t>
            </w:r>
          </w:p>
          <w:tbl>
            <w:tblPr>
              <w:tblStyle w:val="26"/>
              <w:tblW w:w="77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
            <w:tblGrid>
              <w:gridCol w:w="486"/>
              <w:gridCol w:w="3750"/>
              <w:gridCol w:w="2667"/>
              <w:gridCol w:w="810"/>
            </w:tblGrid>
            <w:tr w14:paraId="7B63B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610" w:hRule="atLeast"/>
                <w:jc w:val="center"/>
              </w:trPr>
              <w:tc>
                <w:tcPr>
                  <w:tcW w:w="486" w:type="dxa"/>
                  <w:tcBorders>
                    <w:tl2br w:val="nil"/>
                    <w:tr2bl w:val="nil"/>
                  </w:tcBorders>
                  <w:vAlign w:val="center"/>
                </w:tcPr>
                <w:p w14:paraId="7A9C013E">
                  <w:pPr>
                    <w:spacing w:before="24" w:after="24" w:line="240" w:lineRule="auto"/>
                    <w:jc w:val="center"/>
                    <w:rPr>
                      <w:rFonts w:ascii="Times New Roman" w:hAnsi="Times New Roman" w:eastAsia="宋体" w:cs="Times New Roman"/>
                      <w:b w:val="0"/>
                      <w:bCs w:val="0"/>
                      <w:color w:val="auto"/>
                      <w:spacing w:val="-2"/>
                      <w:sz w:val="21"/>
                      <w:u w:val="none"/>
                    </w:rPr>
                  </w:pPr>
                  <w:r>
                    <w:rPr>
                      <w:rFonts w:ascii="Times New Roman" w:hAnsi="Times New Roman" w:eastAsia="宋体" w:cs="Times New Roman"/>
                      <w:b w:val="0"/>
                      <w:bCs w:val="0"/>
                      <w:color w:val="auto"/>
                      <w:spacing w:val="-2"/>
                      <w:sz w:val="21"/>
                      <w:u w:val="none"/>
                    </w:rPr>
                    <w:t>类别</w:t>
                  </w:r>
                </w:p>
              </w:tc>
              <w:tc>
                <w:tcPr>
                  <w:tcW w:w="3750" w:type="dxa"/>
                  <w:tcBorders>
                    <w:tl2br w:val="nil"/>
                    <w:tr2bl w:val="nil"/>
                  </w:tcBorders>
                  <w:vAlign w:val="center"/>
                </w:tcPr>
                <w:p w14:paraId="7FEADEAF">
                  <w:pPr>
                    <w:spacing w:before="24" w:after="24" w:line="240" w:lineRule="auto"/>
                    <w:jc w:val="center"/>
                    <w:rPr>
                      <w:rFonts w:ascii="Times New Roman" w:hAnsi="Times New Roman" w:eastAsia="宋体" w:cs="Times New Roman"/>
                      <w:b w:val="0"/>
                      <w:bCs w:val="0"/>
                      <w:color w:val="auto"/>
                      <w:spacing w:val="-2"/>
                      <w:sz w:val="21"/>
                      <w:u w:val="none"/>
                    </w:rPr>
                  </w:pPr>
                  <w:r>
                    <w:rPr>
                      <w:rFonts w:ascii="Times New Roman" w:hAnsi="Times New Roman" w:eastAsia="宋体" w:cs="Times New Roman"/>
                      <w:b w:val="0"/>
                      <w:bCs w:val="0"/>
                      <w:color w:val="auto"/>
                      <w:spacing w:val="-2"/>
                      <w:sz w:val="21"/>
                      <w:u w:val="none"/>
                    </w:rPr>
                    <w:t>具体禁建区域</w:t>
                  </w:r>
                </w:p>
              </w:tc>
              <w:tc>
                <w:tcPr>
                  <w:tcW w:w="2667" w:type="dxa"/>
                  <w:tcBorders>
                    <w:tl2br w:val="nil"/>
                    <w:tr2bl w:val="nil"/>
                  </w:tcBorders>
                  <w:vAlign w:val="center"/>
                </w:tcPr>
                <w:p w14:paraId="7D58BA4B">
                  <w:pPr>
                    <w:spacing w:before="24" w:after="24" w:line="240" w:lineRule="auto"/>
                    <w:jc w:val="center"/>
                    <w:rPr>
                      <w:rFonts w:ascii="Times New Roman" w:hAnsi="Times New Roman" w:eastAsia="宋体" w:cs="Times New Roman"/>
                      <w:b w:val="0"/>
                      <w:bCs w:val="0"/>
                      <w:color w:val="auto"/>
                      <w:spacing w:val="-2"/>
                      <w:sz w:val="21"/>
                      <w:u w:val="none"/>
                    </w:rPr>
                  </w:pPr>
                  <w:r>
                    <w:rPr>
                      <w:rFonts w:ascii="Times New Roman" w:hAnsi="Times New Roman" w:eastAsia="宋体" w:cs="Times New Roman"/>
                      <w:b w:val="0"/>
                      <w:bCs w:val="0"/>
                      <w:color w:val="auto"/>
                      <w:spacing w:val="-2"/>
                      <w:sz w:val="21"/>
                      <w:u w:val="none"/>
                    </w:rPr>
                    <w:t>本项目情况</w:t>
                  </w:r>
                </w:p>
              </w:tc>
              <w:tc>
                <w:tcPr>
                  <w:tcW w:w="810" w:type="dxa"/>
                  <w:tcBorders>
                    <w:tl2br w:val="nil"/>
                    <w:tr2bl w:val="nil"/>
                  </w:tcBorders>
                  <w:vAlign w:val="center"/>
                </w:tcPr>
                <w:p w14:paraId="460409F8">
                  <w:pPr>
                    <w:spacing w:before="24" w:after="24" w:line="240" w:lineRule="auto"/>
                    <w:jc w:val="center"/>
                    <w:rPr>
                      <w:rFonts w:ascii="Times New Roman" w:hAnsi="Times New Roman" w:eastAsia="宋体" w:cs="Times New Roman"/>
                      <w:b w:val="0"/>
                      <w:bCs w:val="0"/>
                      <w:color w:val="auto"/>
                      <w:spacing w:val="-2"/>
                      <w:sz w:val="21"/>
                      <w:u w:val="none"/>
                    </w:rPr>
                  </w:pPr>
                  <w:r>
                    <w:rPr>
                      <w:rFonts w:ascii="Times New Roman" w:hAnsi="Times New Roman" w:eastAsia="宋体" w:cs="Times New Roman"/>
                      <w:b w:val="0"/>
                      <w:bCs w:val="0"/>
                      <w:color w:val="auto"/>
                      <w:spacing w:val="-2"/>
                      <w:sz w:val="21"/>
                      <w:u w:val="none"/>
                    </w:rPr>
                    <w:t>符合性分析</w:t>
                  </w:r>
                </w:p>
              </w:tc>
            </w:tr>
            <w:tr w14:paraId="5233A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1152" w:hRule="atLeast"/>
                <w:jc w:val="center"/>
              </w:trPr>
              <w:tc>
                <w:tcPr>
                  <w:tcW w:w="486" w:type="dxa"/>
                  <w:vMerge w:val="restart"/>
                  <w:tcBorders>
                    <w:tl2br w:val="nil"/>
                    <w:tr2bl w:val="nil"/>
                  </w:tcBorders>
                  <w:vAlign w:val="center"/>
                </w:tcPr>
                <w:p w14:paraId="4CDA51E4">
                  <w:pPr>
                    <w:spacing w:before="24" w:after="24" w:line="240" w:lineRule="auto"/>
                    <w:jc w:val="center"/>
                    <w:rPr>
                      <w:rFonts w:ascii="Times New Roman" w:hAnsi="Times New Roman" w:eastAsia="宋体" w:cs="Times New Roman"/>
                      <w:color w:val="auto"/>
                      <w:spacing w:val="-2"/>
                      <w:sz w:val="21"/>
                      <w:u w:val="none"/>
                    </w:rPr>
                  </w:pPr>
                  <w:r>
                    <w:rPr>
                      <w:rFonts w:ascii="Times New Roman" w:hAnsi="Times New Roman" w:eastAsia="宋体" w:cs="Times New Roman"/>
                      <w:color w:val="auto"/>
                      <w:spacing w:val="-2"/>
                      <w:sz w:val="21"/>
                      <w:u w:val="none"/>
                    </w:rPr>
                    <w:t>风电场建设使用林地禁建区域</w:t>
                  </w:r>
                </w:p>
              </w:tc>
              <w:tc>
                <w:tcPr>
                  <w:tcW w:w="3750" w:type="dxa"/>
                  <w:tcBorders>
                    <w:tl2br w:val="nil"/>
                    <w:tr2bl w:val="nil"/>
                  </w:tcBorders>
                  <w:vAlign w:val="center"/>
                </w:tcPr>
                <w:p w14:paraId="65BC0C4A">
                  <w:pPr>
                    <w:spacing w:before="24" w:after="24" w:line="240" w:lineRule="auto"/>
                    <w:jc w:val="center"/>
                    <w:rPr>
                      <w:rFonts w:ascii="Times New Roman" w:hAnsi="Times New Roman" w:eastAsia="宋体" w:cs="Times New Roman"/>
                      <w:color w:val="auto"/>
                      <w:spacing w:val="-2"/>
                      <w:sz w:val="21"/>
                      <w:u w:val="none"/>
                    </w:rPr>
                  </w:pPr>
                  <w:r>
                    <w:rPr>
                      <w:rFonts w:ascii="Times New Roman" w:hAnsi="Times New Roman" w:eastAsia="宋体" w:cs="Times New Roman"/>
                      <w:color w:val="auto"/>
                      <w:spacing w:val="-2"/>
                      <w:sz w:val="21"/>
                      <w:u w:val="none"/>
                    </w:rPr>
                    <w:t>生态保护红线区域</w:t>
                  </w:r>
                </w:p>
              </w:tc>
              <w:tc>
                <w:tcPr>
                  <w:tcW w:w="2667" w:type="dxa"/>
                  <w:tcBorders>
                    <w:tl2br w:val="nil"/>
                    <w:tr2bl w:val="nil"/>
                  </w:tcBorders>
                  <w:vAlign w:val="center"/>
                </w:tcPr>
                <w:p w14:paraId="2A80585B">
                  <w:pPr>
                    <w:spacing w:before="24" w:after="24" w:line="240" w:lineRule="auto"/>
                    <w:jc w:val="center"/>
                    <w:rPr>
                      <w:rFonts w:ascii="Times New Roman" w:hAnsi="Times New Roman" w:eastAsia="宋体" w:cs="Times New Roman"/>
                      <w:color w:val="auto"/>
                      <w:spacing w:val="-2"/>
                      <w:sz w:val="21"/>
                      <w:u w:val="none"/>
                    </w:rPr>
                  </w:pPr>
                  <w:r>
                    <w:rPr>
                      <w:rFonts w:ascii="Times New Roman" w:hAnsi="Times New Roman" w:eastAsia="宋体" w:cs="Times New Roman"/>
                      <w:color w:val="auto"/>
                      <w:spacing w:val="-2"/>
                      <w:sz w:val="21"/>
                      <w:u w:val="none"/>
                    </w:rPr>
                    <w:t>根据</w:t>
                  </w:r>
                  <w:r>
                    <w:rPr>
                      <w:rFonts w:hint="default" w:ascii="Times New Roman" w:hAnsi="Times New Roman" w:eastAsia="宋体" w:cs="Times New Roman"/>
                      <w:color w:val="auto"/>
                      <w:spacing w:val="-2"/>
                      <w:sz w:val="21"/>
                      <w:u w:val="none"/>
                      <w:lang w:eastAsia="zh-CN"/>
                    </w:rPr>
                    <w:t>怀化市通道县</w:t>
                  </w:r>
                  <w:r>
                    <w:rPr>
                      <w:rFonts w:ascii="Times New Roman" w:hAnsi="Times New Roman" w:eastAsia="宋体" w:cs="Times New Roman"/>
                      <w:color w:val="auto"/>
                      <w:spacing w:val="-2"/>
                      <w:sz w:val="21"/>
                      <w:u w:val="none"/>
                    </w:rPr>
                    <w:t>自然资源局关于本项目选址的初步意见，项目不涉及生态保护红线区域</w:t>
                  </w:r>
                </w:p>
              </w:tc>
              <w:tc>
                <w:tcPr>
                  <w:tcW w:w="810" w:type="dxa"/>
                  <w:tcBorders>
                    <w:tl2br w:val="nil"/>
                    <w:tr2bl w:val="nil"/>
                  </w:tcBorders>
                  <w:vAlign w:val="center"/>
                </w:tcPr>
                <w:p w14:paraId="23759354">
                  <w:pPr>
                    <w:spacing w:before="24" w:after="24" w:line="240" w:lineRule="auto"/>
                    <w:jc w:val="center"/>
                    <w:rPr>
                      <w:rFonts w:ascii="Times New Roman" w:hAnsi="Times New Roman" w:eastAsia="宋体" w:cs="Times New Roman"/>
                      <w:color w:val="auto"/>
                      <w:spacing w:val="-2"/>
                      <w:sz w:val="21"/>
                      <w:u w:val="none"/>
                    </w:rPr>
                  </w:pPr>
                  <w:r>
                    <w:rPr>
                      <w:rFonts w:ascii="Times New Roman" w:hAnsi="Times New Roman" w:eastAsia="宋体" w:cs="Times New Roman"/>
                      <w:color w:val="auto"/>
                      <w:spacing w:val="-2"/>
                      <w:sz w:val="21"/>
                      <w:u w:val="none"/>
                    </w:rPr>
                    <w:t>符合</w:t>
                  </w:r>
                </w:p>
              </w:tc>
            </w:tr>
            <w:tr w14:paraId="49E7C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583" w:hRule="atLeast"/>
                <w:jc w:val="center"/>
              </w:trPr>
              <w:tc>
                <w:tcPr>
                  <w:tcW w:w="486" w:type="dxa"/>
                  <w:vMerge w:val="continue"/>
                  <w:tcBorders>
                    <w:tl2br w:val="nil"/>
                    <w:tr2bl w:val="nil"/>
                  </w:tcBorders>
                  <w:vAlign w:val="center"/>
                </w:tcPr>
                <w:p w14:paraId="3E4848E7">
                  <w:pPr>
                    <w:spacing w:before="24" w:after="24" w:line="240" w:lineRule="auto"/>
                    <w:jc w:val="center"/>
                    <w:rPr>
                      <w:rFonts w:ascii="Times New Roman" w:hAnsi="Times New Roman" w:eastAsia="宋体" w:cs="Times New Roman"/>
                      <w:color w:val="auto"/>
                      <w:spacing w:val="-2"/>
                      <w:sz w:val="21"/>
                      <w:u w:val="none"/>
                    </w:rPr>
                  </w:pPr>
                </w:p>
              </w:tc>
              <w:tc>
                <w:tcPr>
                  <w:tcW w:w="3750" w:type="dxa"/>
                  <w:tcBorders>
                    <w:tl2br w:val="nil"/>
                    <w:tr2bl w:val="nil"/>
                  </w:tcBorders>
                  <w:vAlign w:val="center"/>
                </w:tcPr>
                <w:p w14:paraId="03723D69">
                  <w:pPr>
                    <w:spacing w:before="24" w:after="24" w:line="240" w:lineRule="auto"/>
                    <w:jc w:val="center"/>
                    <w:rPr>
                      <w:rFonts w:ascii="Times New Roman" w:hAnsi="Times New Roman" w:eastAsia="宋体" w:cs="Times New Roman"/>
                      <w:color w:val="auto"/>
                      <w:spacing w:val="-2"/>
                      <w:sz w:val="21"/>
                      <w:u w:val="none"/>
                    </w:rPr>
                  </w:pPr>
                  <w:r>
                    <w:rPr>
                      <w:rFonts w:ascii="Times New Roman" w:hAnsi="Times New Roman" w:eastAsia="宋体" w:cs="Times New Roman"/>
                      <w:color w:val="auto"/>
                      <w:spacing w:val="-2"/>
                      <w:sz w:val="21"/>
                      <w:u w:val="none"/>
                    </w:rPr>
                    <w:t>世界自然遗产地、国有林场、重要湿地、省级以上森林公园、湿地公园、地质公园、风景名胜区</w:t>
                  </w:r>
                </w:p>
              </w:tc>
              <w:tc>
                <w:tcPr>
                  <w:tcW w:w="2667" w:type="dxa"/>
                  <w:tcBorders>
                    <w:tl2br w:val="nil"/>
                    <w:tr2bl w:val="nil"/>
                  </w:tcBorders>
                  <w:vAlign w:val="center"/>
                </w:tcPr>
                <w:p w14:paraId="43A9E13C">
                  <w:pPr>
                    <w:spacing w:before="24" w:after="24" w:line="240" w:lineRule="auto"/>
                    <w:jc w:val="center"/>
                    <w:rPr>
                      <w:rFonts w:ascii="Times New Roman" w:hAnsi="Times New Roman" w:eastAsia="宋体" w:cs="Times New Roman"/>
                      <w:color w:val="auto"/>
                      <w:spacing w:val="-2"/>
                      <w:sz w:val="21"/>
                      <w:u w:val="none"/>
                    </w:rPr>
                  </w:pPr>
                  <w:r>
                    <w:rPr>
                      <w:rFonts w:ascii="Times New Roman" w:hAnsi="Times New Roman" w:eastAsia="宋体" w:cs="Times New Roman"/>
                      <w:color w:val="auto"/>
                      <w:spacing w:val="-2"/>
                      <w:sz w:val="21"/>
                      <w:u w:val="none"/>
                    </w:rPr>
                    <w:t>本项目不涉及以上保护区</w:t>
                  </w:r>
                </w:p>
              </w:tc>
              <w:tc>
                <w:tcPr>
                  <w:tcW w:w="810" w:type="dxa"/>
                  <w:tcBorders>
                    <w:tl2br w:val="nil"/>
                    <w:tr2bl w:val="nil"/>
                  </w:tcBorders>
                  <w:vAlign w:val="center"/>
                </w:tcPr>
                <w:p w14:paraId="086383BF">
                  <w:pPr>
                    <w:spacing w:before="24" w:after="24" w:line="240" w:lineRule="auto"/>
                    <w:jc w:val="center"/>
                    <w:rPr>
                      <w:rFonts w:ascii="Times New Roman" w:hAnsi="Times New Roman" w:eastAsia="宋体" w:cs="Times New Roman"/>
                      <w:color w:val="auto"/>
                      <w:spacing w:val="-2"/>
                      <w:sz w:val="21"/>
                      <w:u w:val="none"/>
                    </w:rPr>
                  </w:pPr>
                  <w:r>
                    <w:rPr>
                      <w:rFonts w:ascii="Times New Roman" w:hAnsi="Times New Roman" w:eastAsia="宋体" w:cs="Times New Roman"/>
                      <w:color w:val="auto"/>
                      <w:spacing w:val="-2"/>
                      <w:sz w:val="21"/>
                      <w:u w:val="none"/>
                    </w:rPr>
                    <w:t>符合</w:t>
                  </w:r>
                </w:p>
              </w:tc>
            </w:tr>
            <w:tr w14:paraId="7D0CA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867" w:hRule="atLeast"/>
                <w:jc w:val="center"/>
              </w:trPr>
              <w:tc>
                <w:tcPr>
                  <w:tcW w:w="486" w:type="dxa"/>
                  <w:vMerge w:val="continue"/>
                  <w:tcBorders>
                    <w:tl2br w:val="nil"/>
                    <w:tr2bl w:val="nil"/>
                  </w:tcBorders>
                  <w:vAlign w:val="center"/>
                </w:tcPr>
                <w:p w14:paraId="4405C43C">
                  <w:pPr>
                    <w:spacing w:before="24" w:after="24" w:line="240" w:lineRule="auto"/>
                    <w:jc w:val="center"/>
                    <w:rPr>
                      <w:rFonts w:ascii="Times New Roman" w:hAnsi="Times New Roman" w:eastAsia="宋体" w:cs="Times New Roman"/>
                      <w:color w:val="auto"/>
                      <w:spacing w:val="-2"/>
                      <w:sz w:val="21"/>
                      <w:u w:val="none"/>
                    </w:rPr>
                  </w:pPr>
                </w:p>
              </w:tc>
              <w:tc>
                <w:tcPr>
                  <w:tcW w:w="3750" w:type="dxa"/>
                  <w:tcBorders>
                    <w:tl2br w:val="nil"/>
                    <w:tr2bl w:val="nil"/>
                  </w:tcBorders>
                  <w:vAlign w:val="center"/>
                </w:tcPr>
                <w:p w14:paraId="511D6394">
                  <w:pPr>
                    <w:spacing w:before="24" w:after="24" w:line="240" w:lineRule="auto"/>
                    <w:jc w:val="center"/>
                    <w:rPr>
                      <w:rFonts w:ascii="Times New Roman" w:hAnsi="Times New Roman" w:eastAsia="宋体" w:cs="Times New Roman"/>
                      <w:color w:val="auto"/>
                      <w:spacing w:val="-2"/>
                      <w:sz w:val="21"/>
                      <w:u w:val="none"/>
                    </w:rPr>
                  </w:pPr>
                  <w:r>
                    <w:rPr>
                      <w:rFonts w:ascii="Times New Roman" w:hAnsi="Times New Roman" w:eastAsia="宋体" w:cs="Times New Roman"/>
                      <w:color w:val="auto"/>
                      <w:spacing w:val="-2"/>
                      <w:sz w:val="21"/>
                      <w:u w:val="none"/>
                    </w:rPr>
                    <w:t>县级以上人民政府规定并发布的鸟类迁徙通道</w:t>
                  </w:r>
                </w:p>
              </w:tc>
              <w:tc>
                <w:tcPr>
                  <w:tcW w:w="2667" w:type="dxa"/>
                  <w:tcBorders>
                    <w:tl2br w:val="nil"/>
                    <w:tr2bl w:val="nil"/>
                  </w:tcBorders>
                  <w:vAlign w:val="center"/>
                </w:tcPr>
                <w:p w14:paraId="3471F5E2">
                  <w:pPr>
                    <w:spacing w:before="24" w:after="24" w:line="240" w:lineRule="auto"/>
                    <w:jc w:val="center"/>
                    <w:rPr>
                      <w:rFonts w:ascii="Times New Roman" w:hAnsi="Times New Roman" w:eastAsia="宋体" w:cs="Times New Roman"/>
                      <w:color w:val="auto"/>
                      <w:spacing w:val="-2"/>
                      <w:sz w:val="21"/>
                      <w:u w:val="none"/>
                    </w:rPr>
                  </w:pPr>
                  <w:r>
                    <w:rPr>
                      <w:rFonts w:ascii="Times New Roman" w:hAnsi="Times New Roman" w:eastAsia="宋体" w:cs="Times New Roman"/>
                      <w:color w:val="auto"/>
                      <w:spacing w:val="-2"/>
                      <w:sz w:val="21"/>
                      <w:u w:val="none"/>
                    </w:rPr>
                    <w:t>本项目区域不涉及鸟类迁徙通道</w:t>
                  </w:r>
                </w:p>
              </w:tc>
              <w:tc>
                <w:tcPr>
                  <w:tcW w:w="810" w:type="dxa"/>
                  <w:tcBorders>
                    <w:tl2br w:val="nil"/>
                    <w:tr2bl w:val="nil"/>
                  </w:tcBorders>
                  <w:vAlign w:val="center"/>
                </w:tcPr>
                <w:p w14:paraId="7851F6F1">
                  <w:pPr>
                    <w:spacing w:before="24" w:after="24" w:line="240" w:lineRule="auto"/>
                    <w:jc w:val="center"/>
                    <w:rPr>
                      <w:rFonts w:ascii="Times New Roman" w:hAnsi="Times New Roman" w:eastAsia="宋体" w:cs="Times New Roman"/>
                      <w:color w:val="auto"/>
                      <w:spacing w:val="-2"/>
                      <w:sz w:val="21"/>
                      <w:u w:val="none"/>
                    </w:rPr>
                  </w:pPr>
                  <w:r>
                    <w:rPr>
                      <w:rFonts w:ascii="Times New Roman" w:hAnsi="Times New Roman" w:eastAsia="宋体" w:cs="Times New Roman"/>
                      <w:color w:val="auto"/>
                      <w:spacing w:val="-2"/>
                      <w:sz w:val="21"/>
                      <w:u w:val="none"/>
                    </w:rPr>
                    <w:t>符合</w:t>
                  </w:r>
                </w:p>
              </w:tc>
            </w:tr>
            <w:tr w14:paraId="76E62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583" w:hRule="atLeast"/>
                <w:jc w:val="center"/>
              </w:trPr>
              <w:tc>
                <w:tcPr>
                  <w:tcW w:w="486" w:type="dxa"/>
                  <w:vMerge w:val="continue"/>
                  <w:tcBorders>
                    <w:tl2br w:val="nil"/>
                    <w:tr2bl w:val="nil"/>
                  </w:tcBorders>
                  <w:vAlign w:val="center"/>
                </w:tcPr>
                <w:p w14:paraId="23B910B1">
                  <w:pPr>
                    <w:spacing w:before="24" w:after="24" w:line="240" w:lineRule="auto"/>
                    <w:jc w:val="center"/>
                    <w:rPr>
                      <w:rFonts w:ascii="Times New Roman" w:hAnsi="Times New Roman" w:eastAsia="宋体" w:cs="Times New Roman"/>
                      <w:color w:val="auto"/>
                      <w:spacing w:val="-2"/>
                      <w:sz w:val="21"/>
                      <w:u w:val="none"/>
                    </w:rPr>
                  </w:pPr>
                </w:p>
              </w:tc>
              <w:tc>
                <w:tcPr>
                  <w:tcW w:w="3750" w:type="dxa"/>
                  <w:tcBorders>
                    <w:tl2br w:val="nil"/>
                    <w:tr2bl w:val="nil"/>
                  </w:tcBorders>
                  <w:vAlign w:val="center"/>
                </w:tcPr>
                <w:p w14:paraId="054D333D">
                  <w:pPr>
                    <w:spacing w:before="24" w:after="24" w:line="240" w:lineRule="auto"/>
                    <w:jc w:val="center"/>
                    <w:rPr>
                      <w:rFonts w:hint="default" w:ascii="Times New Roman" w:hAnsi="Times New Roman" w:eastAsia="宋体" w:cs="Times New Roman"/>
                      <w:color w:val="auto"/>
                      <w:spacing w:val="-2"/>
                      <w:sz w:val="21"/>
                      <w:u w:val="none"/>
                    </w:rPr>
                  </w:pPr>
                  <w:r>
                    <w:rPr>
                      <w:rFonts w:hint="default" w:ascii="Times New Roman" w:hAnsi="Times New Roman" w:eastAsia="宋体" w:cs="Times New Roman"/>
                      <w:color w:val="auto"/>
                      <w:spacing w:val="-2"/>
                      <w:sz w:val="21"/>
                      <w:u w:val="none"/>
                    </w:rPr>
                    <w:t>海拔800米以上且坡度36度以上、母岩为强风化花岗岩、砂岩或石灰岩区域</w:t>
                  </w:r>
                </w:p>
              </w:tc>
              <w:tc>
                <w:tcPr>
                  <w:tcW w:w="2667" w:type="dxa"/>
                  <w:tcBorders>
                    <w:tl2br w:val="nil"/>
                    <w:tr2bl w:val="nil"/>
                  </w:tcBorders>
                  <w:vAlign w:val="center"/>
                </w:tcPr>
                <w:p w14:paraId="5A24752C">
                  <w:pPr>
                    <w:spacing w:before="24" w:after="24" w:line="240" w:lineRule="auto"/>
                    <w:jc w:val="center"/>
                    <w:rPr>
                      <w:rFonts w:hint="default" w:ascii="Times New Roman" w:hAnsi="Times New Roman" w:eastAsia="宋体" w:cs="Times New Roman"/>
                      <w:color w:val="auto"/>
                      <w:spacing w:val="-2"/>
                      <w:sz w:val="21"/>
                      <w:u w:val="none"/>
                      <w:lang w:val="en-US" w:eastAsia="zh-CN"/>
                    </w:rPr>
                  </w:pPr>
                  <w:r>
                    <w:rPr>
                      <w:rFonts w:hint="default" w:ascii="Times New Roman" w:hAnsi="Times New Roman" w:eastAsia="宋体" w:cs="Times New Roman"/>
                      <w:color w:val="auto"/>
                      <w:spacing w:val="-2"/>
                      <w:sz w:val="21"/>
                      <w:u w:val="none"/>
                    </w:rPr>
                    <w:t>本项目风机点位最高</w:t>
                  </w:r>
                  <w:r>
                    <w:rPr>
                      <w:rFonts w:hint="default" w:ascii="Times New Roman" w:hAnsi="Times New Roman" w:eastAsia="宋体" w:cs="Times New Roman"/>
                      <w:color w:val="auto"/>
                      <w:spacing w:val="-2"/>
                      <w:sz w:val="21"/>
                      <w:u w:val="none"/>
                      <w:lang w:eastAsia="zh-CN"/>
                    </w:rPr>
                    <w:t>海拔</w:t>
                  </w:r>
                  <w:r>
                    <w:rPr>
                      <w:rFonts w:hint="default" w:ascii="Times New Roman" w:hAnsi="Times New Roman" w:eastAsia="宋体" w:cs="Times New Roman"/>
                      <w:color w:val="auto"/>
                      <w:spacing w:val="-2"/>
                      <w:sz w:val="21"/>
                      <w:u w:val="none"/>
                      <w:lang w:val="en-US" w:eastAsia="zh-CN"/>
                    </w:rPr>
                    <w:t>1</w:t>
                  </w:r>
                  <w:r>
                    <w:rPr>
                      <w:rFonts w:hint="eastAsia" w:cs="Times New Roman"/>
                      <w:color w:val="auto"/>
                      <w:spacing w:val="-2"/>
                      <w:sz w:val="21"/>
                      <w:u w:val="none"/>
                      <w:lang w:val="en-US" w:eastAsia="zh-CN"/>
                    </w:rPr>
                    <w:t>00</w:t>
                  </w:r>
                  <w:r>
                    <w:rPr>
                      <w:rFonts w:hint="default" w:ascii="Times New Roman" w:hAnsi="Times New Roman" w:eastAsia="宋体" w:cs="Times New Roman"/>
                      <w:color w:val="auto"/>
                      <w:spacing w:val="-2"/>
                      <w:sz w:val="21"/>
                      <w:u w:val="none"/>
                      <w:lang w:val="en-US" w:eastAsia="zh-CN"/>
                    </w:rPr>
                    <w:t>0</w:t>
                  </w:r>
                  <w:r>
                    <w:rPr>
                      <w:rFonts w:hint="default" w:ascii="Times New Roman" w:hAnsi="Times New Roman" w:eastAsia="宋体" w:cs="Times New Roman"/>
                      <w:color w:val="auto"/>
                      <w:spacing w:val="-2"/>
                      <w:sz w:val="21"/>
                      <w:u w:val="none"/>
                    </w:rPr>
                    <w:t>m，</w:t>
                  </w:r>
                  <w:r>
                    <w:rPr>
                      <w:rFonts w:hint="default" w:ascii="Times New Roman" w:hAnsi="Times New Roman" w:eastAsia="宋体" w:cs="Times New Roman"/>
                      <w:color w:val="auto"/>
                      <w:spacing w:val="-2"/>
                      <w:sz w:val="21"/>
                      <w:u w:val="none"/>
                      <w:lang w:eastAsia="zh-CN"/>
                    </w:rPr>
                    <w:t>最大</w:t>
                  </w:r>
                  <w:r>
                    <w:rPr>
                      <w:rFonts w:hint="default" w:ascii="Times New Roman" w:hAnsi="Times New Roman" w:eastAsia="宋体" w:cs="Times New Roman"/>
                      <w:color w:val="auto"/>
                      <w:spacing w:val="-2"/>
                      <w:sz w:val="21"/>
                      <w:u w:val="none"/>
                    </w:rPr>
                    <w:t>坡度</w:t>
                  </w:r>
                  <w:r>
                    <w:rPr>
                      <w:rFonts w:hint="default" w:ascii="Times New Roman" w:hAnsi="Times New Roman" w:eastAsia="宋体" w:cs="Times New Roman"/>
                      <w:color w:val="auto"/>
                      <w:spacing w:val="-2"/>
                      <w:sz w:val="21"/>
                      <w:u w:val="none"/>
                      <w:lang w:val="en-US" w:eastAsia="zh-CN"/>
                    </w:rPr>
                    <w:t>32</w:t>
                  </w:r>
                  <w:r>
                    <w:rPr>
                      <w:rFonts w:hint="default" w:ascii="Times New Roman" w:hAnsi="Times New Roman" w:eastAsia="宋体" w:cs="Times New Roman"/>
                      <w:color w:val="auto"/>
                      <w:spacing w:val="-2"/>
                      <w:sz w:val="21"/>
                      <w:u w:val="none"/>
                    </w:rPr>
                    <w:t>°</w:t>
                  </w:r>
                  <w:r>
                    <w:rPr>
                      <w:rFonts w:hint="default" w:ascii="Times New Roman" w:hAnsi="Times New Roman" w:eastAsia="宋体" w:cs="Times New Roman"/>
                      <w:color w:val="auto"/>
                      <w:spacing w:val="-2"/>
                      <w:sz w:val="21"/>
                      <w:u w:val="none"/>
                      <w:lang w:eastAsia="zh-CN"/>
                    </w:rPr>
                    <w:t>，母岩</w:t>
                  </w:r>
                  <w:r>
                    <w:rPr>
                      <w:rFonts w:hint="default" w:ascii="Times New Roman" w:hAnsi="Times New Roman" w:eastAsia="宋体" w:cs="Times New Roman"/>
                      <w:color w:val="auto"/>
                      <w:spacing w:val="-2"/>
                      <w:sz w:val="21"/>
                      <w:u w:val="none"/>
                      <w:lang w:val="en-US" w:eastAsia="zh-CN"/>
                    </w:rPr>
                    <w:t>不属于</w:t>
                  </w:r>
                  <w:r>
                    <w:rPr>
                      <w:rFonts w:hint="default" w:ascii="Times New Roman" w:hAnsi="Times New Roman" w:eastAsia="宋体" w:cs="Times New Roman"/>
                      <w:color w:val="auto"/>
                      <w:spacing w:val="-2"/>
                      <w:sz w:val="21"/>
                      <w:u w:val="none"/>
                      <w:lang w:eastAsia="zh-CN"/>
                    </w:rPr>
                    <w:t>强风化花岗岩、砂岩或石灰岩区域</w:t>
                  </w:r>
                </w:p>
              </w:tc>
              <w:tc>
                <w:tcPr>
                  <w:tcW w:w="810" w:type="dxa"/>
                  <w:tcBorders>
                    <w:tl2br w:val="nil"/>
                    <w:tr2bl w:val="nil"/>
                  </w:tcBorders>
                  <w:vAlign w:val="center"/>
                </w:tcPr>
                <w:p w14:paraId="4267B374">
                  <w:pPr>
                    <w:spacing w:before="24" w:after="24" w:line="240" w:lineRule="auto"/>
                    <w:jc w:val="center"/>
                    <w:rPr>
                      <w:rFonts w:ascii="Times New Roman" w:hAnsi="Times New Roman" w:eastAsia="宋体" w:cs="Times New Roman"/>
                      <w:color w:val="auto"/>
                      <w:spacing w:val="-2"/>
                      <w:sz w:val="21"/>
                      <w:u w:val="none"/>
                    </w:rPr>
                  </w:pPr>
                  <w:r>
                    <w:rPr>
                      <w:rFonts w:ascii="Times New Roman" w:hAnsi="Times New Roman" w:eastAsia="宋体" w:cs="Times New Roman"/>
                      <w:color w:val="auto"/>
                      <w:spacing w:val="-2"/>
                      <w:sz w:val="21"/>
                      <w:u w:val="none"/>
                    </w:rPr>
                    <w:t>符合</w:t>
                  </w:r>
                </w:p>
              </w:tc>
            </w:tr>
            <w:tr w14:paraId="61B20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624" w:hRule="atLeast"/>
                <w:jc w:val="center"/>
              </w:trPr>
              <w:tc>
                <w:tcPr>
                  <w:tcW w:w="486" w:type="dxa"/>
                  <w:vMerge w:val="continue"/>
                  <w:tcBorders>
                    <w:tl2br w:val="nil"/>
                    <w:tr2bl w:val="nil"/>
                  </w:tcBorders>
                  <w:vAlign w:val="center"/>
                </w:tcPr>
                <w:p w14:paraId="2296D88B">
                  <w:pPr>
                    <w:spacing w:before="24" w:after="24" w:line="240" w:lineRule="auto"/>
                    <w:jc w:val="center"/>
                    <w:rPr>
                      <w:rFonts w:ascii="Times New Roman" w:hAnsi="Times New Roman" w:eastAsia="宋体" w:cs="Times New Roman"/>
                      <w:color w:val="auto"/>
                      <w:spacing w:val="-2"/>
                      <w:sz w:val="21"/>
                      <w:u w:val="none"/>
                    </w:rPr>
                  </w:pPr>
                </w:p>
              </w:tc>
              <w:tc>
                <w:tcPr>
                  <w:tcW w:w="3750" w:type="dxa"/>
                  <w:tcBorders>
                    <w:tl2br w:val="nil"/>
                    <w:tr2bl w:val="nil"/>
                  </w:tcBorders>
                  <w:vAlign w:val="center"/>
                </w:tcPr>
                <w:p w14:paraId="1B670204">
                  <w:pPr>
                    <w:spacing w:before="24" w:after="24" w:line="240" w:lineRule="auto"/>
                    <w:jc w:val="center"/>
                    <w:rPr>
                      <w:rFonts w:ascii="Times New Roman" w:hAnsi="Times New Roman" w:eastAsia="宋体" w:cs="Times New Roman"/>
                      <w:color w:val="auto"/>
                      <w:spacing w:val="-2"/>
                      <w:sz w:val="21"/>
                      <w:u w:val="none"/>
                    </w:rPr>
                  </w:pPr>
                  <w:r>
                    <w:rPr>
                      <w:rFonts w:ascii="Times New Roman" w:hAnsi="Times New Roman" w:eastAsia="宋体" w:cs="Times New Roman"/>
                      <w:color w:val="auto"/>
                      <w:spacing w:val="-2"/>
                      <w:sz w:val="21"/>
                      <w:u w:val="none"/>
                    </w:rPr>
                    <w:t>各县市（区）最高峰或地标性山峰地域</w:t>
                  </w:r>
                </w:p>
              </w:tc>
              <w:tc>
                <w:tcPr>
                  <w:tcW w:w="2667" w:type="dxa"/>
                  <w:tcBorders>
                    <w:tl2br w:val="nil"/>
                    <w:tr2bl w:val="nil"/>
                  </w:tcBorders>
                  <w:vAlign w:val="center"/>
                </w:tcPr>
                <w:p w14:paraId="531672FC">
                  <w:pPr>
                    <w:spacing w:before="24" w:after="24" w:line="240" w:lineRule="auto"/>
                    <w:jc w:val="center"/>
                    <w:rPr>
                      <w:rFonts w:ascii="Times New Roman" w:hAnsi="Times New Roman" w:eastAsia="宋体" w:cs="Times New Roman"/>
                      <w:color w:val="auto"/>
                      <w:spacing w:val="-2"/>
                      <w:sz w:val="21"/>
                      <w:u w:val="none"/>
                    </w:rPr>
                  </w:pPr>
                  <w:r>
                    <w:rPr>
                      <w:rFonts w:ascii="Times New Roman" w:hAnsi="Times New Roman" w:eastAsia="宋体" w:cs="Times New Roman"/>
                      <w:color w:val="auto"/>
                      <w:spacing w:val="-2"/>
                      <w:sz w:val="21"/>
                      <w:u w:val="none"/>
                    </w:rPr>
                    <w:t>项目区域不是</w:t>
                  </w:r>
                  <w:r>
                    <w:rPr>
                      <w:rFonts w:hint="default" w:ascii="Times New Roman" w:hAnsi="Times New Roman" w:eastAsia="宋体" w:cs="Times New Roman"/>
                      <w:color w:val="auto"/>
                      <w:spacing w:val="-2"/>
                      <w:sz w:val="21"/>
                      <w:u w:val="none"/>
                      <w:lang w:eastAsia="zh-CN"/>
                    </w:rPr>
                    <w:t>怀化市通道县</w:t>
                  </w:r>
                  <w:r>
                    <w:rPr>
                      <w:rFonts w:ascii="Times New Roman" w:hAnsi="Times New Roman" w:eastAsia="宋体" w:cs="Times New Roman"/>
                      <w:color w:val="auto"/>
                      <w:spacing w:val="-2"/>
                      <w:sz w:val="21"/>
                      <w:u w:val="none"/>
                    </w:rPr>
                    <w:t>最高峰或地标性山峰地域</w:t>
                  </w:r>
                </w:p>
              </w:tc>
              <w:tc>
                <w:tcPr>
                  <w:tcW w:w="810" w:type="dxa"/>
                  <w:tcBorders>
                    <w:tl2br w:val="nil"/>
                    <w:tr2bl w:val="nil"/>
                  </w:tcBorders>
                  <w:vAlign w:val="center"/>
                </w:tcPr>
                <w:p w14:paraId="796C3D04">
                  <w:pPr>
                    <w:spacing w:before="24" w:after="24" w:line="240" w:lineRule="auto"/>
                    <w:jc w:val="center"/>
                    <w:rPr>
                      <w:rFonts w:ascii="Times New Roman" w:hAnsi="Times New Roman" w:eastAsia="宋体" w:cs="Times New Roman"/>
                      <w:color w:val="auto"/>
                      <w:spacing w:val="-2"/>
                      <w:sz w:val="21"/>
                      <w:u w:val="none"/>
                    </w:rPr>
                  </w:pPr>
                  <w:r>
                    <w:rPr>
                      <w:rFonts w:ascii="Times New Roman" w:hAnsi="Times New Roman" w:eastAsia="宋体" w:cs="Times New Roman"/>
                      <w:color w:val="auto"/>
                      <w:spacing w:val="-2"/>
                      <w:sz w:val="21"/>
                      <w:u w:val="none"/>
                    </w:rPr>
                    <w:t>符合</w:t>
                  </w:r>
                </w:p>
              </w:tc>
            </w:tr>
          </w:tbl>
          <w:p w14:paraId="6DAC9E0A">
            <w:pPr>
              <w:spacing w:before="0" w:beforeLines="-2147483648"/>
              <w:ind w:firstLine="480" w:firstLineChars="200"/>
              <w:rPr>
                <w:color w:val="000000" w:themeColor="text1"/>
                <w:u w:val="none"/>
                <w14:textFill>
                  <w14:solidFill>
                    <w14:schemeClr w14:val="tx1"/>
                  </w14:solidFill>
                </w14:textFill>
              </w:rPr>
            </w:pPr>
            <w:r>
              <w:rPr>
                <w:color w:val="000000" w:themeColor="text1"/>
                <w:u w:val="none"/>
                <w14:textFill>
                  <w14:solidFill>
                    <w14:schemeClr w14:val="tx1"/>
                  </w14:solidFill>
                </w14:textFill>
              </w:rPr>
              <w:t>根据上表分析可知，本项目区域不属于湘林政〔2018〕5号中的禁建区域，因此，本项目建设符合《关于进一步加强风电建设项目使用林地管理的通知》（湘林政〔2018〕5号）要求。</w:t>
            </w:r>
          </w:p>
          <w:p w14:paraId="42C413FB">
            <w:pPr>
              <w:ind w:firstLine="480" w:firstLineChars="200"/>
              <w:rPr>
                <w:color w:val="auto"/>
                <w:u w:val="none"/>
              </w:rPr>
            </w:pPr>
            <w:bookmarkStart w:id="24" w:name="_Toc1685"/>
            <w:r>
              <w:rPr>
                <w:color w:val="auto"/>
                <w:u w:val="none"/>
              </w:rPr>
              <w:t>1.</w:t>
            </w:r>
            <w:r>
              <w:rPr>
                <w:rFonts w:hint="eastAsia"/>
                <w:color w:val="auto"/>
                <w:u w:val="none"/>
                <w:lang w:val="en-US" w:eastAsia="zh-CN"/>
              </w:rPr>
              <w:t>3.2</w:t>
            </w:r>
            <w:r>
              <w:rPr>
                <w:color w:val="auto"/>
                <w:u w:val="none"/>
              </w:rPr>
              <w:t xml:space="preserve"> 与</w:t>
            </w:r>
            <w:r>
              <w:rPr>
                <w:rFonts w:hint="eastAsia"/>
                <w:color w:val="auto"/>
                <w:u w:val="none"/>
              </w:rPr>
              <w:t>“生态环境分区管控成果”符合性分析。</w:t>
            </w:r>
            <w:bookmarkEnd w:id="24"/>
          </w:p>
          <w:p w14:paraId="49265AAB">
            <w:pPr>
              <w:ind w:firstLine="480" w:firstLineChars="200"/>
              <w:rPr>
                <w:color w:val="000000" w:themeColor="text1"/>
                <w:u w:val="none"/>
                <w14:textFill>
                  <w14:solidFill>
                    <w14:schemeClr w14:val="tx1"/>
                  </w14:solidFill>
                </w14:textFill>
              </w:rPr>
            </w:pPr>
            <w:r>
              <w:rPr>
                <w:color w:val="000000" w:themeColor="text1"/>
                <w:u w:val="none"/>
                <w14:textFill>
                  <w14:solidFill>
                    <w14:schemeClr w14:val="tx1"/>
                  </w14:solidFill>
                </w14:textFill>
              </w:rPr>
              <w:t>（1）生态保护红线</w:t>
            </w:r>
          </w:p>
          <w:p w14:paraId="13072F95">
            <w:pPr>
              <w:ind w:firstLine="480" w:firstLineChars="200"/>
              <w:rPr>
                <w:color w:val="000000" w:themeColor="text1"/>
                <w:u w:val="none"/>
                <w14:textFill>
                  <w14:solidFill>
                    <w14:schemeClr w14:val="tx1"/>
                  </w14:solidFill>
                </w14:textFill>
              </w:rPr>
            </w:pPr>
            <w:r>
              <w:rPr>
                <w:color w:val="000000" w:themeColor="text1"/>
                <w:u w:val="none"/>
                <w14:textFill>
                  <w14:solidFill>
                    <w14:schemeClr w14:val="tx1"/>
                  </w14:solidFill>
                </w14:textFill>
              </w:rPr>
              <w:t>根据202</w:t>
            </w:r>
            <w:r>
              <w:rPr>
                <w:rFonts w:hint="eastAsia"/>
                <w:color w:val="000000" w:themeColor="text1"/>
                <w:u w:val="none"/>
                <w:lang w:val="en-US" w:eastAsia="zh-CN"/>
                <w14:textFill>
                  <w14:solidFill>
                    <w14:schemeClr w14:val="tx1"/>
                  </w14:solidFill>
                </w14:textFill>
              </w:rPr>
              <w:t>2</w:t>
            </w:r>
            <w:r>
              <w:rPr>
                <w:color w:val="000000" w:themeColor="text1"/>
                <w:u w:val="none"/>
                <w14:textFill>
                  <w14:solidFill>
                    <w14:schemeClr w14:val="tx1"/>
                  </w14:solidFill>
                </w14:textFill>
              </w:rPr>
              <w:t>年</w:t>
            </w:r>
            <w:r>
              <w:rPr>
                <w:rFonts w:hint="eastAsia"/>
                <w:color w:val="000000" w:themeColor="text1"/>
                <w:u w:val="none"/>
                <w:lang w:val="en-US" w:eastAsia="zh-CN"/>
                <w14:textFill>
                  <w14:solidFill>
                    <w14:schemeClr w14:val="tx1"/>
                  </w14:solidFill>
                </w14:textFill>
              </w:rPr>
              <w:t>11</w:t>
            </w:r>
            <w:r>
              <w:rPr>
                <w:color w:val="000000" w:themeColor="text1"/>
                <w:u w:val="none"/>
                <w14:textFill>
                  <w14:solidFill>
                    <w14:schemeClr w14:val="tx1"/>
                  </w14:solidFill>
                </w14:textFill>
              </w:rPr>
              <w:t>月</w:t>
            </w:r>
            <w:r>
              <w:rPr>
                <w:rFonts w:hint="eastAsia"/>
                <w:color w:val="000000" w:themeColor="text1"/>
                <w:u w:val="none"/>
                <w:lang w:val="en-US" w:eastAsia="zh-CN"/>
                <w14:textFill>
                  <w14:solidFill>
                    <w14:schemeClr w14:val="tx1"/>
                  </w14:solidFill>
                </w14:textFill>
              </w:rPr>
              <w:t>23</w:t>
            </w:r>
            <w:r>
              <w:rPr>
                <w:color w:val="000000" w:themeColor="text1"/>
                <w:u w:val="none"/>
                <w14:textFill>
                  <w14:solidFill>
                    <w14:schemeClr w14:val="tx1"/>
                  </w14:solidFill>
                </w14:textFill>
              </w:rPr>
              <w:t>日</w:t>
            </w:r>
            <w:r>
              <w:rPr>
                <w:rFonts w:hint="eastAsia"/>
                <w:color w:val="000000" w:themeColor="text1"/>
                <w:u w:val="none"/>
                <w:lang w:eastAsia="zh-CN"/>
                <w14:textFill>
                  <w14:solidFill>
                    <w14:schemeClr w14:val="tx1"/>
                  </w14:solidFill>
                </w14:textFill>
              </w:rPr>
              <w:t>通道县</w:t>
            </w:r>
            <w:r>
              <w:rPr>
                <w:color w:val="000000" w:themeColor="text1"/>
                <w:u w:val="none"/>
                <w14:textFill>
                  <w14:solidFill>
                    <w14:schemeClr w14:val="tx1"/>
                  </w14:solidFill>
                </w14:textFill>
              </w:rPr>
              <w:t>自然资源局出具的选址意见</w:t>
            </w:r>
            <w:r>
              <w:rPr>
                <w:rFonts w:hint="eastAsia"/>
                <w:color w:val="000000" w:themeColor="text1"/>
                <w:u w:val="none"/>
                <w:lang w:val="en-US" w:eastAsia="zh-CN"/>
                <w14:textFill>
                  <w14:solidFill>
                    <w14:schemeClr w14:val="tx1"/>
                  </w14:solidFill>
                </w14:textFill>
              </w:rPr>
              <w:t>函</w:t>
            </w:r>
            <w:r>
              <w:rPr>
                <w:color w:val="000000" w:themeColor="text1"/>
                <w:u w:val="none"/>
                <w14:textFill>
                  <w14:solidFill>
                    <w14:schemeClr w14:val="tx1"/>
                  </w14:solidFill>
                </w14:textFill>
              </w:rPr>
              <w:t>，该项目不涉及生态红线</w:t>
            </w:r>
            <w:r>
              <w:rPr>
                <w:rFonts w:hint="eastAsia"/>
                <w:color w:val="000000" w:themeColor="text1"/>
                <w:u w:val="none"/>
                <w:lang w:val="en-US" w:eastAsia="zh-CN"/>
                <w14:textFill>
                  <w14:solidFill>
                    <w14:schemeClr w14:val="tx1"/>
                  </w14:solidFill>
                </w14:textFill>
              </w:rPr>
              <w:t>及永久基本农田</w:t>
            </w:r>
            <w:r>
              <w:rPr>
                <w:color w:val="000000" w:themeColor="text1"/>
                <w:u w:val="none"/>
                <w14:textFill>
                  <w14:solidFill>
                    <w14:schemeClr w14:val="tx1"/>
                  </w14:solidFill>
                </w14:textFill>
              </w:rPr>
              <w:t>。因此，本项目符合生态保护红线要求。</w:t>
            </w:r>
          </w:p>
          <w:p w14:paraId="32C9D9FE">
            <w:pPr>
              <w:ind w:firstLine="480" w:firstLineChars="200"/>
              <w:rPr>
                <w:color w:val="000000" w:themeColor="text1"/>
                <w:u w:val="none"/>
                <w14:textFill>
                  <w14:solidFill>
                    <w14:schemeClr w14:val="tx1"/>
                  </w14:solidFill>
                </w14:textFill>
              </w:rPr>
            </w:pPr>
            <w:r>
              <w:rPr>
                <w:color w:val="000000" w:themeColor="text1"/>
                <w:u w:val="none"/>
                <w14:textFill>
                  <w14:solidFill>
                    <w14:schemeClr w14:val="tx1"/>
                  </w14:solidFill>
                </w14:textFill>
              </w:rPr>
              <w:t>（2）环境质量底线</w:t>
            </w:r>
          </w:p>
          <w:p w14:paraId="19EDD186">
            <w:pPr>
              <w:ind w:firstLine="480" w:firstLineChars="200"/>
              <w:rPr>
                <w:color w:val="000000" w:themeColor="text1"/>
                <w:u w:val="none"/>
                <w14:textFill>
                  <w14:solidFill>
                    <w14:schemeClr w14:val="tx1"/>
                  </w14:solidFill>
                </w14:textFill>
              </w:rPr>
            </w:pPr>
            <w:r>
              <w:rPr>
                <w:color w:val="000000" w:themeColor="text1"/>
                <w:u w:val="none"/>
                <w14:textFill>
                  <w14:solidFill>
                    <w14:schemeClr w14:val="tx1"/>
                  </w14:solidFill>
                </w14:textFill>
              </w:rPr>
              <w:t>根据环境现状评价结果，项目所在区域环境空气、地表水、声环境都能达到相应质量标准要求。生活污水经一体化处理后回用；固体废物均能得到合理处置；废气经采取相应措施后能做到达标排放；噪声能做到厂界达标排放，对周边影响较小。因此，项目的建设不会突破项目所在地的环境质量底线，符合环境质量底线标准。</w:t>
            </w:r>
          </w:p>
          <w:p w14:paraId="078ECBA6">
            <w:pPr>
              <w:ind w:firstLine="480" w:firstLineChars="200"/>
              <w:rPr>
                <w:color w:val="auto"/>
                <w:u w:val="none"/>
              </w:rPr>
            </w:pPr>
            <w:r>
              <w:rPr>
                <w:color w:val="auto"/>
                <w:u w:val="none"/>
              </w:rPr>
              <w:t>（3）资源利用上线</w:t>
            </w:r>
          </w:p>
          <w:p w14:paraId="2C3EB0F6">
            <w:pPr>
              <w:ind w:firstLine="480" w:firstLineChars="200"/>
              <w:rPr>
                <w:color w:val="auto"/>
                <w:u w:val="none"/>
              </w:rPr>
            </w:pPr>
            <w:r>
              <w:rPr>
                <w:color w:val="auto"/>
                <w:u w:val="none"/>
              </w:rPr>
              <w:t>本项目为风力发电项目，生活用水来自打井用水。本项目建成运行后通过多方面采取合理可行的防治措施，以“节能、降耗、减污”为目标，有效的控制污染。项目的水、气等资源利用不会突破区域的资源利用上线。</w:t>
            </w:r>
          </w:p>
          <w:p w14:paraId="5822F864">
            <w:pPr>
              <w:ind w:firstLine="480" w:firstLineChars="200"/>
              <w:rPr>
                <w:color w:val="auto"/>
                <w:u w:val="none"/>
              </w:rPr>
            </w:pPr>
            <w:r>
              <w:rPr>
                <w:color w:val="auto"/>
                <w:u w:val="none"/>
              </w:rPr>
              <w:t>（4）</w:t>
            </w:r>
            <w:r>
              <w:rPr>
                <w:rFonts w:hint="eastAsia"/>
                <w:color w:val="auto"/>
                <w:u w:val="none"/>
                <w:lang w:val="en-US" w:eastAsia="zh-CN"/>
              </w:rPr>
              <w:t>生态</w:t>
            </w:r>
            <w:r>
              <w:rPr>
                <w:color w:val="auto"/>
                <w:u w:val="none"/>
              </w:rPr>
              <w:t>环境准入清单</w:t>
            </w:r>
          </w:p>
          <w:p w14:paraId="075F44D7">
            <w:pPr>
              <w:ind w:firstLine="480" w:firstLineChars="200"/>
              <w:rPr>
                <w:color w:val="auto"/>
                <w:u w:val="none"/>
              </w:rPr>
            </w:pPr>
            <w:r>
              <w:rPr>
                <w:color w:val="000000" w:themeColor="text1"/>
                <w:u w:val="none"/>
                <w14:textFill>
                  <w14:solidFill>
                    <w14:schemeClr w14:val="tx1"/>
                  </w14:solidFill>
                </w14:textFill>
              </w:rPr>
              <w:t>本项目风力发电项目，经对照国家《产业结构调整指导目录（20</w:t>
            </w:r>
            <w:r>
              <w:rPr>
                <w:rFonts w:hint="eastAsia"/>
                <w:color w:val="000000" w:themeColor="text1"/>
                <w:u w:val="none"/>
                <w:lang w:val="en-US" w:eastAsia="zh-CN"/>
                <w14:textFill>
                  <w14:solidFill>
                    <w14:schemeClr w14:val="tx1"/>
                  </w14:solidFill>
                </w14:textFill>
              </w:rPr>
              <w:t>24</w:t>
            </w:r>
            <w:r>
              <w:rPr>
                <w:rFonts w:hint="eastAsia"/>
                <w:color w:val="000000" w:themeColor="text1"/>
                <w:u w:val="none"/>
                <w:lang w:eastAsia="zh-CN"/>
                <w14:textFill>
                  <w14:solidFill>
                    <w14:schemeClr w14:val="tx1"/>
                  </w14:solidFill>
                </w14:textFill>
              </w:rPr>
              <w:t>本</w:t>
            </w:r>
            <w:r>
              <w:rPr>
                <w:color w:val="000000" w:themeColor="text1"/>
                <w:u w:val="none"/>
                <w14:textFill>
                  <w14:solidFill>
                    <w14:schemeClr w14:val="tx1"/>
                  </w14:solidFill>
                </w14:textFill>
              </w:rPr>
              <w:t>）》，</w:t>
            </w:r>
            <w:r>
              <w:rPr>
                <w:color w:val="auto"/>
                <w:u w:val="none"/>
              </w:rPr>
              <w:t>本项目属于目录中</w:t>
            </w:r>
            <w:r>
              <w:rPr>
                <w:rFonts w:hint="eastAsia"/>
                <w:color w:val="auto"/>
                <w:u w:val="none"/>
                <w:lang w:eastAsia="zh-CN"/>
              </w:rPr>
              <w:t>鼓励</w:t>
            </w:r>
            <w:r>
              <w:rPr>
                <w:color w:val="auto"/>
                <w:u w:val="none"/>
              </w:rPr>
              <w:t>类项目，符合产业政策要求。</w:t>
            </w:r>
            <w:r>
              <w:rPr>
                <w:rFonts w:hint="eastAsia"/>
                <w:color w:val="auto"/>
                <w:u w:val="none"/>
              </w:rPr>
              <w:t>本项目为新建项目，选址不涉及自然保护区、风景名胜区等环境敏感区，项目占地不占用耕地、有林地、草地、湿地等区域，也不在河道和湖泊管理范围内，因此项目建设满足生态环境准入要求。</w:t>
            </w:r>
          </w:p>
          <w:p w14:paraId="23D5E155">
            <w:pPr>
              <w:ind w:firstLine="480" w:firstLineChars="200"/>
              <w:rPr>
                <w:color w:val="auto"/>
                <w:u w:val="none"/>
              </w:rPr>
            </w:pPr>
            <w:r>
              <w:rPr>
                <w:color w:val="auto"/>
                <w:u w:val="none"/>
              </w:rPr>
              <w:t>（5）分区管控要求</w:t>
            </w:r>
          </w:p>
          <w:p w14:paraId="627E1494">
            <w:pPr>
              <w:ind w:firstLine="480" w:firstLineChars="200"/>
              <w:rPr>
                <w:color w:val="auto"/>
                <w:u w:val="none"/>
              </w:rPr>
            </w:pPr>
            <w:r>
              <w:rPr>
                <w:color w:val="auto"/>
                <w:u w:val="none"/>
              </w:rPr>
              <w:t>优先保护单元应依法禁止或限制大规模、高强度的工业和城镇建设，在功能受损的优先保护单元优先开展生态保护修复活动，恢复生态系统服务功能。</w:t>
            </w:r>
            <w:r>
              <w:rPr>
                <w:rFonts w:hint="eastAsia"/>
                <w:color w:val="auto"/>
                <w:u w:val="none"/>
                <w:lang w:eastAsia="zh-CN"/>
              </w:rPr>
              <w:t>一般管控单元</w:t>
            </w:r>
            <w:r>
              <w:rPr>
                <w:color w:val="auto"/>
                <w:u w:val="none"/>
              </w:rPr>
              <w:t>应优化空间布局，加强污染物排放控制和环境风险防控，不断提升资源利用效率，解决生态环境质量不达标、生态环境风险高等问题。一般管控单元主要落实生态环境保护基本要求。</w:t>
            </w:r>
          </w:p>
          <w:p w14:paraId="1FDACE68">
            <w:pPr>
              <w:ind w:firstLine="480" w:firstLineChars="200"/>
              <w:rPr>
                <w:color w:val="FF0000"/>
                <w:u w:val="none"/>
              </w:rPr>
            </w:pPr>
            <w:r>
              <w:rPr>
                <w:color w:val="auto"/>
                <w:u w:val="none"/>
              </w:rPr>
              <w:t>根据《</w:t>
            </w:r>
            <w:r>
              <w:rPr>
                <w:rFonts w:hint="eastAsia"/>
                <w:color w:val="auto"/>
                <w:u w:val="none"/>
                <w:lang w:eastAsia="zh-CN"/>
              </w:rPr>
              <w:t>怀化市人民政府关于实施“三线一单”生态环境分区管控的实施意见</w:t>
            </w:r>
            <w:r>
              <w:rPr>
                <w:color w:val="auto"/>
                <w:u w:val="none"/>
              </w:rPr>
              <w:t>》，本项目位于</w:t>
            </w:r>
            <w:r>
              <w:rPr>
                <w:rFonts w:hint="eastAsia"/>
                <w:color w:val="auto"/>
                <w:u w:val="none"/>
                <w:lang w:eastAsia="zh-CN"/>
              </w:rPr>
              <w:t>湖南省怀化市通道县，主要涉及</w:t>
            </w:r>
            <w:r>
              <w:rPr>
                <w:rFonts w:hint="eastAsia"/>
                <w:color w:val="auto"/>
                <w:u w:val="none"/>
                <w:lang w:val="en-US" w:eastAsia="zh-CN"/>
              </w:rPr>
              <w:t>牙屯堡镇、坦坪乡、双江镇</w:t>
            </w:r>
            <w:r>
              <w:rPr>
                <w:color w:val="auto"/>
                <w:u w:val="none"/>
              </w:rPr>
              <w:t>，属于</w:t>
            </w:r>
            <w:r>
              <w:rPr>
                <w:rFonts w:hint="eastAsia"/>
                <w:color w:val="auto"/>
                <w:u w:val="none"/>
                <w:lang w:eastAsia="zh-CN"/>
              </w:rPr>
              <w:t>怀化市</w:t>
            </w:r>
            <w:r>
              <w:rPr>
                <w:color w:val="auto"/>
                <w:u w:val="none"/>
              </w:rPr>
              <w:t>环境管控单元</w:t>
            </w:r>
            <w:r>
              <w:rPr>
                <w:rFonts w:hint="eastAsia"/>
                <w:color w:val="auto"/>
                <w:u w:val="none"/>
              </w:rPr>
              <w:t>一般管控单元</w:t>
            </w:r>
            <w:r>
              <w:rPr>
                <w:color w:val="auto"/>
                <w:u w:val="none"/>
              </w:rPr>
              <w:t>。</w:t>
            </w:r>
            <w:r>
              <w:rPr>
                <w:rFonts w:hint="eastAsia"/>
                <w:color w:val="auto"/>
                <w:u w:val="none"/>
              </w:rPr>
              <w:t>本项目属于风电项目，不属于高污染和矿产开发项目，运营期无污染物外排，对环境影响较小。</w:t>
            </w:r>
          </w:p>
          <w:p w14:paraId="74ECA8A1">
            <w:pPr>
              <w:ind w:firstLine="480" w:firstLineChars="200"/>
              <w:rPr>
                <w:rFonts w:hint="default" w:eastAsia="宋体"/>
                <w:color w:val="FF0000"/>
                <w:lang w:val="en-US" w:eastAsia="zh-CN"/>
              </w:rPr>
            </w:pPr>
            <w:r>
              <w:rPr>
                <w:color w:val="auto"/>
                <w:u w:val="none"/>
              </w:rPr>
              <w:t>根据《</w:t>
            </w:r>
            <w:r>
              <w:rPr>
                <w:rFonts w:hint="eastAsia"/>
                <w:color w:val="auto"/>
                <w:u w:val="none"/>
              </w:rPr>
              <w:t>怀化市生态环境分区管控基本要求暨生态环境管控单元（省级以上产业园区除外）生态环境准入清单（2023年版）</w:t>
            </w:r>
            <w:r>
              <w:rPr>
                <w:color w:val="auto"/>
                <w:u w:val="none"/>
              </w:rPr>
              <w:t>》，本项目位于</w:t>
            </w:r>
            <w:r>
              <w:rPr>
                <w:rFonts w:hint="eastAsia"/>
                <w:color w:val="auto"/>
                <w:u w:val="none"/>
                <w:lang w:eastAsia="zh-CN"/>
              </w:rPr>
              <w:t>怀化市通道县</w:t>
            </w:r>
            <w:r>
              <w:rPr>
                <w:rFonts w:hint="eastAsia"/>
                <w:color w:val="auto"/>
                <w:u w:val="none"/>
                <w:lang w:val="en-US" w:eastAsia="zh-CN"/>
              </w:rPr>
              <w:t>牙屯堡镇、坦坪乡、双江镇</w:t>
            </w:r>
            <w:r>
              <w:rPr>
                <w:color w:val="auto"/>
                <w:u w:val="none"/>
              </w:rPr>
              <w:t>，属于</w:t>
            </w:r>
            <w:r>
              <w:rPr>
                <w:rFonts w:hint="eastAsia"/>
                <w:color w:val="auto"/>
                <w:u w:val="none"/>
                <w:lang w:eastAsia="zh-CN"/>
              </w:rPr>
              <w:t>怀化市</w:t>
            </w:r>
            <w:r>
              <w:rPr>
                <w:color w:val="auto"/>
                <w:u w:val="none"/>
              </w:rPr>
              <w:t>环境管控单元</w:t>
            </w:r>
            <w:r>
              <w:rPr>
                <w:rFonts w:hint="eastAsia"/>
                <w:color w:val="auto"/>
                <w:u w:val="none"/>
                <w:lang w:val="en-US" w:eastAsia="zh-CN"/>
              </w:rPr>
              <w:t>优先</w:t>
            </w:r>
            <w:r>
              <w:rPr>
                <w:rFonts w:hint="eastAsia"/>
                <w:color w:val="auto"/>
                <w:u w:val="none"/>
              </w:rPr>
              <w:t>管控单元</w:t>
            </w:r>
            <w:r>
              <w:rPr>
                <w:rFonts w:hint="eastAsia"/>
                <w:color w:val="auto"/>
                <w:u w:val="none"/>
                <w:lang w:eastAsia="zh-CN"/>
              </w:rPr>
              <w:t>、</w:t>
            </w:r>
            <w:r>
              <w:rPr>
                <w:rFonts w:hint="eastAsia"/>
                <w:color w:val="auto"/>
                <w:u w:val="none"/>
                <w:lang w:val="en-US" w:eastAsia="zh-CN"/>
              </w:rPr>
              <w:t>一般管控单元</w:t>
            </w:r>
            <w:r>
              <w:rPr>
                <w:rFonts w:hint="eastAsia"/>
                <w:color w:val="auto"/>
                <w:u w:val="none"/>
                <w:lang w:eastAsia="zh-CN"/>
              </w:rPr>
              <w:t>，</w:t>
            </w:r>
            <w:r>
              <w:rPr>
                <w:color w:val="auto"/>
                <w:u w:val="none"/>
              </w:rPr>
              <w:t>符合性分析详见表1</w:t>
            </w:r>
            <w:r>
              <w:rPr>
                <w:rFonts w:hint="eastAsia"/>
                <w:color w:val="auto"/>
                <w:u w:val="none"/>
              </w:rPr>
              <w:t>.</w:t>
            </w:r>
            <w:r>
              <w:rPr>
                <w:rFonts w:hint="eastAsia"/>
                <w:color w:val="auto"/>
                <w:u w:val="none"/>
                <w:lang w:val="en-US" w:eastAsia="zh-CN"/>
              </w:rPr>
              <w:t>3-2</w:t>
            </w:r>
            <w:r>
              <w:rPr>
                <w:color w:val="auto"/>
                <w:u w:val="none"/>
              </w:rPr>
              <w:t>。</w:t>
            </w:r>
          </w:p>
        </w:tc>
      </w:tr>
    </w:tbl>
    <w:p w14:paraId="7B5CD2B0">
      <w:pPr>
        <w:outlineLvl w:val="9"/>
        <w:rPr>
          <w:rFonts w:eastAsia="黑体"/>
          <w:color w:val="FF0000"/>
          <w:sz w:val="30"/>
        </w:rPr>
        <w:sectPr>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37439862">
      <w:pPr>
        <w:pStyle w:val="89"/>
        <w:rPr>
          <w:color w:val="auto"/>
        </w:rPr>
      </w:pPr>
      <w:r>
        <w:rPr>
          <w:color w:val="auto"/>
        </w:rPr>
        <w:t>表1</w:t>
      </w:r>
      <w:r>
        <w:rPr>
          <w:rFonts w:hint="eastAsia"/>
          <w:color w:val="auto"/>
        </w:rPr>
        <w:t>.</w:t>
      </w:r>
      <w:r>
        <w:rPr>
          <w:rFonts w:hint="eastAsia"/>
          <w:color w:val="auto"/>
          <w:lang w:val="en-US" w:eastAsia="zh-CN"/>
        </w:rPr>
        <w:t>3-2</w:t>
      </w:r>
      <w:r>
        <w:rPr>
          <w:color w:val="auto"/>
        </w:rPr>
        <w:t xml:space="preserve">  </w:t>
      </w:r>
      <w:r>
        <w:rPr>
          <w:rFonts w:hint="eastAsia"/>
          <w:color w:val="auto"/>
          <w:lang w:eastAsia="zh-CN"/>
        </w:rPr>
        <w:t>怀化市</w:t>
      </w:r>
      <w:r>
        <w:rPr>
          <w:color w:val="auto"/>
        </w:rPr>
        <w:t>其他环境管控单元（省级及以上产业园区除外）生态环境准入清单</w:t>
      </w:r>
    </w:p>
    <w:tbl>
      <w:tblPr>
        <w:tblStyle w:val="26"/>
        <w:tblW w:w="1351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30"/>
        <w:gridCol w:w="619"/>
        <w:gridCol w:w="624"/>
        <w:gridCol w:w="624"/>
        <w:gridCol w:w="654"/>
        <w:gridCol w:w="860"/>
        <w:gridCol w:w="897"/>
        <w:gridCol w:w="843"/>
        <w:gridCol w:w="1154"/>
        <w:gridCol w:w="2676"/>
        <w:gridCol w:w="2628"/>
        <w:gridCol w:w="304"/>
      </w:tblGrid>
      <w:tr w14:paraId="232882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630" w:type="dxa"/>
            <w:vMerge w:val="restart"/>
            <w:vAlign w:val="center"/>
          </w:tcPr>
          <w:p w14:paraId="1D69A31A">
            <w:pPr>
              <w:pStyle w:val="90"/>
              <w:spacing w:before="26" w:line="240" w:lineRule="auto"/>
              <w:jc w:val="center"/>
              <w:rPr>
                <w:rFonts w:hint="default" w:ascii="Times New Roman" w:hAnsi="Times New Roman" w:cs="Times New Roman"/>
                <w:b/>
                <w:color w:val="auto"/>
                <w:spacing w:val="-10"/>
                <w:w w:val="95"/>
                <w:sz w:val="21"/>
              </w:rPr>
            </w:pPr>
            <w:r>
              <w:rPr>
                <w:rFonts w:hint="default" w:ascii="Times New Roman" w:hAnsi="Times New Roman" w:cs="Times New Roman"/>
                <w:b/>
                <w:color w:val="auto"/>
                <w:spacing w:val="-10"/>
                <w:w w:val="95"/>
                <w:sz w:val="21"/>
              </w:rPr>
              <w:t>环境管控单元编码</w:t>
            </w:r>
          </w:p>
        </w:tc>
        <w:tc>
          <w:tcPr>
            <w:tcW w:w="619" w:type="dxa"/>
            <w:vMerge w:val="restart"/>
            <w:vAlign w:val="center"/>
          </w:tcPr>
          <w:p w14:paraId="4C15A70F">
            <w:pPr>
              <w:pStyle w:val="90"/>
              <w:spacing w:before="26" w:line="240" w:lineRule="auto"/>
              <w:jc w:val="center"/>
              <w:rPr>
                <w:rFonts w:hint="default" w:ascii="Times New Roman" w:hAnsi="Times New Roman" w:cs="Times New Roman"/>
                <w:b/>
                <w:color w:val="auto"/>
                <w:spacing w:val="-10"/>
                <w:w w:val="95"/>
                <w:sz w:val="21"/>
              </w:rPr>
            </w:pPr>
            <w:r>
              <w:rPr>
                <w:rFonts w:hint="default" w:ascii="Times New Roman" w:hAnsi="Times New Roman" w:cs="Times New Roman"/>
                <w:b/>
                <w:color w:val="auto"/>
                <w:spacing w:val="-10"/>
                <w:w w:val="95"/>
                <w:sz w:val="21"/>
              </w:rPr>
              <w:t>单元名</w:t>
            </w:r>
          </w:p>
          <w:p w14:paraId="395BFB9E">
            <w:pPr>
              <w:pStyle w:val="90"/>
              <w:spacing w:before="26" w:line="240" w:lineRule="auto"/>
              <w:jc w:val="center"/>
              <w:rPr>
                <w:rFonts w:hint="default" w:ascii="Times New Roman" w:hAnsi="Times New Roman" w:cs="Times New Roman"/>
                <w:b/>
                <w:color w:val="auto"/>
                <w:spacing w:val="-10"/>
                <w:w w:val="95"/>
                <w:sz w:val="21"/>
              </w:rPr>
            </w:pPr>
            <w:r>
              <w:rPr>
                <w:rFonts w:hint="default" w:ascii="Times New Roman" w:hAnsi="Times New Roman" w:cs="Times New Roman"/>
                <w:b/>
                <w:color w:val="auto"/>
                <w:spacing w:val="-10"/>
                <w:w w:val="95"/>
                <w:sz w:val="21"/>
              </w:rPr>
              <w:t>称</w:t>
            </w:r>
          </w:p>
        </w:tc>
        <w:tc>
          <w:tcPr>
            <w:tcW w:w="1902" w:type="dxa"/>
            <w:gridSpan w:val="3"/>
            <w:vAlign w:val="center"/>
          </w:tcPr>
          <w:p w14:paraId="1F6B41C2">
            <w:pPr>
              <w:pStyle w:val="90"/>
              <w:spacing w:before="26" w:line="240" w:lineRule="auto"/>
              <w:jc w:val="center"/>
              <w:rPr>
                <w:rFonts w:hint="default" w:ascii="Times New Roman" w:hAnsi="Times New Roman" w:cs="Times New Roman"/>
                <w:b/>
                <w:color w:val="auto"/>
                <w:spacing w:val="-10"/>
                <w:w w:val="95"/>
                <w:sz w:val="21"/>
              </w:rPr>
            </w:pPr>
            <w:r>
              <w:rPr>
                <w:rFonts w:hint="default" w:ascii="Times New Roman" w:hAnsi="Times New Roman" w:cs="Times New Roman"/>
                <w:b/>
                <w:color w:val="auto"/>
                <w:spacing w:val="-10"/>
                <w:w w:val="95"/>
                <w:sz w:val="21"/>
              </w:rPr>
              <w:t>行政区划</w:t>
            </w:r>
          </w:p>
        </w:tc>
        <w:tc>
          <w:tcPr>
            <w:tcW w:w="860" w:type="dxa"/>
            <w:vMerge w:val="restart"/>
            <w:vAlign w:val="center"/>
          </w:tcPr>
          <w:p w14:paraId="20623638">
            <w:pPr>
              <w:pStyle w:val="90"/>
              <w:spacing w:before="26" w:line="240" w:lineRule="auto"/>
              <w:jc w:val="center"/>
              <w:rPr>
                <w:rFonts w:hint="default" w:ascii="Times New Roman" w:hAnsi="Times New Roman" w:cs="Times New Roman"/>
                <w:b/>
                <w:color w:val="auto"/>
                <w:spacing w:val="-10"/>
                <w:w w:val="95"/>
                <w:sz w:val="21"/>
              </w:rPr>
            </w:pPr>
            <w:r>
              <w:rPr>
                <w:rFonts w:hint="default" w:ascii="Times New Roman" w:hAnsi="Times New Roman" w:cs="Times New Roman"/>
                <w:b/>
                <w:color w:val="auto"/>
                <w:spacing w:val="-10"/>
                <w:w w:val="95"/>
                <w:sz w:val="21"/>
              </w:rPr>
              <w:t>单元</w:t>
            </w:r>
          </w:p>
          <w:p w14:paraId="76FBD6CE">
            <w:pPr>
              <w:pStyle w:val="90"/>
              <w:spacing w:before="26" w:line="240" w:lineRule="auto"/>
              <w:jc w:val="center"/>
              <w:rPr>
                <w:rFonts w:hint="default" w:ascii="Times New Roman" w:hAnsi="Times New Roman" w:cs="Times New Roman"/>
                <w:b/>
                <w:color w:val="auto"/>
                <w:spacing w:val="-10"/>
                <w:w w:val="95"/>
                <w:sz w:val="21"/>
              </w:rPr>
            </w:pPr>
            <w:r>
              <w:rPr>
                <w:rFonts w:hint="default" w:ascii="Times New Roman" w:hAnsi="Times New Roman" w:cs="Times New Roman"/>
                <w:b/>
                <w:color w:val="auto"/>
                <w:spacing w:val="-10"/>
                <w:w w:val="95"/>
                <w:sz w:val="21"/>
              </w:rPr>
              <w:t>分类</w:t>
            </w:r>
          </w:p>
        </w:tc>
        <w:tc>
          <w:tcPr>
            <w:tcW w:w="897" w:type="dxa"/>
            <w:vMerge w:val="restart"/>
            <w:vAlign w:val="center"/>
          </w:tcPr>
          <w:p w14:paraId="0DCD2A96">
            <w:pPr>
              <w:pStyle w:val="90"/>
              <w:spacing w:before="26" w:line="240" w:lineRule="auto"/>
              <w:jc w:val="center"/>
              <w:rPr>
                <w:rFonts w:hint="default" w:ascii="Times New Roman" w:hAnsi="Times New Roman" w:cs="Times New Roman"/>
                <w:b/>
                <w:color w:val="auto"/>
                <w:spacing w:val="-10"/>
                <w:w w:val="95"/>
                <w:sz w:val="21"/>
              </w:rPr>
            </w:pPr>
            <w:r>
              <w:rPr>
                <w:rFonts w:hint="default" w:ascii="Times New Roman" w:hAnsi="Times New Roman" w:cs="Times New Roman"/>
                <w:b/>
                <w:color w:val="auto"/>
                <w:spacing w:val="-10"/>
                <w:w w:val="95"/>
                <w:sz w:val="21"/>
              </w:rPr>
              <w:t>单元面积</w:t>
            </w:r>
          </w:p>
          <w:p w14:paraId="2D3C539F">
            <w:pPr>
              <w:pStyle w:val="90"/>
              <w:spacing w:before="26" w:line="240" w:lineRule="auto"/>
              <w:jc w:val="center"/>
              <w:rPr>
                <w:rFonts w:hint="default" w:ascii="Times New Roman" w:hAnsi="Times New Roman" w:cs="Times New Roman"/>
                <w:b/>
                <w:color w:val="auto"/>
                <w:spacing w:val="-10"/>
                <w:w w:val="95"/>
                <w:sz w:val="21"/>
              </w:rPr>
            </w:pPr>
            <w:r>
              <w:rPr>
                <w:rFonts w:hint="default" w:ascii="Times New Roman" w:hAnsi="Times New Roman" w:cs="Times New Roman"/>
                <w:b/>
                <w:color w:val="auto"/>
                <w:spacing w:val="-10"/>
                <w:w w:val="95"/>
                <w:sz w:val="21"/>
              </w:rPr>
              <w:t>(km</w:t>
            </w:r>
            <w:r>
              <w:rPr>
                <w:rFonts w:hint="default" w:ascii="Times New Roman" w:hAnsi="Times New Roman" w:cs="Times New Roman"/>
                <w:b/>
                <w:color w:val="auto"/>
                <w:spacing w:val="-10"/>
                <w:w w:val="95"/>
                <w:sz w:val="21"/>
                <w:vertAlign w:val="superscript"/>
              </w:rPr>
              <w:t>2</w:t>
            </w:r>
            <w:r>
              <w:rPr>
                <w:rFonts w:hint="default" w:ascii="Times New Roman" w:hAnsi="Times New Roman" w:cs="Times New Roman"/>
                <w:b/>
                <w:color w:val="auto"/>
                <w:spacing w:val="-10"/>
                <w:w w:val="95"/>
                <w:sz w:val="21"/>
              </w:rPr>
              <w:t>)</w:t>
            </w:r>
          </w:p>
        </w:tc>
        <w:tc>
          <w:tcPr>
            <w:tcW w:w="843" w:type="dxa"/>
            <w:vMerge w:val="restart"/>
            <w:vAlign w:val="center"/>
          </w:tcPr>
          <w:p w14:paraId="210E3378">
            <w:pPr>
              <w:pStyle w:val="90"/>
              <w:spacing w:before="26" w:line="240" w:lineRule="auto"/>
              <w:jc w:val="center"/>
              <w:rPr>
                <w:rFonts w:hint="default" w:ascii="Times New Roman" w:hAnsi="Times New Roman" w:cs="Times New Roman"/>
                <w:b/>
                <w:color w:val="auto"/>
                <w:spacing w:val="-10"/>
                <w:w w:val="95"/>
                <w:sz w:val="21"/>
              </w:rPr>
            </w:pPr>
            <w:r>
              <w:rPr>
                <w:rFonts w:hint="default" w:ascii="Times New Roman" w:hAnsi="Times New Roman" w:cs="Times New Roman"/>
                <w:b/>
                <w:color w:val="auto"/>
                <w:spacing w:val="-10"/>
                <w:w w:val="95"/>
                <w:sz w:val="21"/>
              </w:rPr>
              <w:t>涉及乡镇</w:t>
            </w:r>
          </w:p>
          <w:p w14:paraId="36ABC42D">
            <w:pPr>
              <w:pStyle w:val="90"/>
              <w:spacing w:before="26" w:line="240" w:lineRule="auto"/>
              <w:jc w:val="center"/>
              <w:rPr>
                <w:rFonts w:hint="default" w:ascii="Times New Roman" w:hAnsi="Times New Roman" w:cs="Times New Roman"/>
                <w:b/>
                <w:color w:val="auto"/>
                <w:spacing w:val="-10"/>
                <w:w w:val="95"/>
                <w:sz w:val="21"/>
              </w:rPr>
            </w:pPr>
            <w:r>
              <w:rPr>
                <w:rFonts w:hint="default" w:ascii="Times New Roman" w:hAnsi="Times New Roman" w:cs="Times New Roman"/>
                <w:b/>
                <w:color w:val="auto"/>
                <w:spacing w:val="-10"/>
                <w:w w:val="95"/>
                <w:sz w:val="21"/>
              </w:rPr>
              <w:t>(街道)</w:t>
            </w:r>
          </w:p>
        </w:tc>
        <w:tc>
          <w:tcPr>
            <w:tcW w:w="1154" w:type="dxa"/>
            <w:vMerge w:val="restart"/>
            <w:vAlign w:val="center"/>
          </w:tcPr>
          <w:p w14:paraId="6DEB8E82">
            <w:pPr>
              <w:pStyle w:val="90"/>
              <w:spacing w:before="26" w:line="240" w:lineRule="auto"/>
              <w:jc w:val="center"/>
              <w:rPr>
                <w:rFonts w:hint="default" w:ascii="Times New Roman" w:hAnsi="Times New Roman" w:cs="Times New Roman"/>
                <w:b/>
                <w:color w:val="auto"/>
                <w:spacing w:val="-10"/>
                <w:w w:val="95"/>
                <w:sz w:val="21"/>
              </w:rPr>
            </w:pPr>
            <w:r>
              <w:rPr>
                <w:rFonts w:hint="default" w:ascii="Times New Roman" w:hAnsi="Times New Roman" w:cs="Times New Roman"/>
                <w:b/>
                <w:color w:val="auto"/>
                <w:spacing w:val="-10"/>
                <w:w w:val="95"/>
                <w:sz w:val="21"/>
              </w:rPr>
              <w:t>主体功能定位</w:t>
            </w:r>
          </w:p>
        </w:tc>
        <w:tc>
          <w:tcPr>
            <w:tcW w:w="2676" w:type="dxa"/>
            <w:vMerge w:val="restart"/>
            <w:vAlign w:val="center"/>
          </w:tcPr>
          <w:p w14:paraId="0420A54E">
            <w:pPr>
              <w:pStyle w:val="90"/>
              <w:spacing w:before="26" w:line="240" w:lineRule="auto"/>
              <w:jc w:val="center"/>
              <w:rPr>
                <w:rFonts w:hint="default" w:ascii="Times New Roman" w:hAnsi="Times New Roman" w:cs="Times New Roman"/>
                <w:b/>
                <w:color w:val="auto"/>
                <w:spacing w:val="-10"/>
                <w:w w:val="95"/>
                <w:sz w:val="21"/>
              </w:rPr>
            </w:pPr>
            <w:r>
              <w:rPr>
                <w:rFonts w:hint="default" w:ascii="Times New Roman" w:hAnsi="Times New Roman" w:cs="Times New Roman"/>
                <w:b/>
                <w:color w:val="auto"/>
                <w:spacing w:val="-10"/>
                <w:w w:val="95"/>
                <w:sz w:val="21"/>
              </w:rPr>
              <w:t>经济产业布局</w:t>
            </w:r>
          </w:p>
        </w:tc>
        <w:tc>
          <w:tcPr>
            <w:tcW w:w="2628" w:type="dxa"/>
            <w:vMerge w:val="restart"/>
            <w:vAlign w:val="center"/>
          </w:tcPr>
          <w:p w14:paraId="5F1AD01B">
            <w:pPr>
              <w:pStyle w:val="90"/>
              <w:spacing w:before="26" w:line="240" w:lineRule="auto"/>
              <w:jc w:val="center"/>
              <w:rPr>
                <w:rFonts w:hint="default" w:ascii="Times New Roman" w:hAnsi="Times New Roman" w:cs="Times New Roman"/>
                <w:b/>
                <w:color w:val="auto"/>
                <w:spacing w:val="-10"/>
                <w:w w:val="95"/>
                <w:sz w:val="21"/>
              </w:rPr>
            </w:pPr>
            <w:r>
              <w:rPr>
                <w:rFonts w:hint="default" w:ascii="Times New Roman" w:hAnsi="Times New Roman" w:cs="Times New Roman"/>
                <w:b/>
                <w:color w:val="auto"/>
                <w:spacing w:val="-10"/>
                <w:w w:val="95"/>
                <w:sz w:val="21"/>
              </w:rPr>
              <w:t>主要环境问题</w:t>
            </w:r>
          </w:p>
        </w:tc>
        <w:tc>
          <w:tcPr>
            <w:tcW w:w="304" w:type="dxa"/>
            <w:vMerge w:val="restart"/>
            <w:vAlign w:val="center"/>
          </w:tcPr>
          <w:p w14:paraId="6F37ED92">
            <w:pPr>
              <w:topLinePunct/>
              <w:adjustRightInd w:val="0"/>
              <w:snapToGrid w:val="0"/>
              <w:spacing w:line="240" w:lineRule="auto"/>
              <w:jc w:val="center"/>
              <w:rPr>
                <w:rFonts w:hint="default" w:ascii="Times New Roman" w:hAnsi="Times New Roman" w:cs="Times New Roman"/>
                <w:b/>
                <w:color w:val="auto"/>
                <w:spacing w:val="-10"/>
                <w:w w:val="95"/>
                <w:sz w:val="21"/>
              </w:rPr>
            </w:pPr>
            <w:r>
              <w:rPr>
                <w:b/>
                <w:bCs/>
                <w:color w:val="auto"/>
                <w:sz w:val="21"/>
                <w:szCs w:val="21"/>
              </w:rPr>
              <w:t>符合性</w:t>
            </w:r>
          </w:p>
        </w:tc>
      </w:tr>
      <w:tr w14:paraId="787A80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630" w:type="dxa"/>
            <w:vMerge w:val="continue"/>
            <w:tcBorders>
              <w:top w:val="nil"/>
            </w:tcBorders>
            <w:vAlign w:val="center"/>
          </w:tcPr>
          <w:p w14:paraId="1103B6F9">
            <w:pPr>
              <w:spacing w:line="240" w:lineRule="auto"/>
              <w:jc w:val="center"/>
              <w:rPr>
                <w:rFonts w:hint="default" w:ascii="Times New Roman" w:hAnsi="Times New Roman" w:cs="Times New Roman"/>
                <w:color w:val="auto"/>
                <w:sz w:val="2"/>
                <w:szCs w:val="2"/>
              </w:rPr>
            </w:pPr>
          </w:p>
        </w:tc>
        <w:tc>
          <w:tcPr>
            <w:tcW w:w="619" w:type="dxa"/>
            <w:vMerge w:val="continue"/>
            <w:tcBorders>
              <w:top w:val="nil"/>
            </w:tcBorders>
            <w:vAlign w:val="center"/>
          </w:tcPr>
          <w:p w14:paraId="7ABCF916">
            <w:pPr>
              <w:spacing w:line="240" w:lineRule="auto"/>
              <w:jc w:val="center"/>
              <w:rPr>
                <w:rFonts w:hint="default" w:ascii="Times New Roman" w:hAnsi="Times New Roman" w:cs="Times New Roman"/>
                <w:color w:val="auto"/>
                <w:sz w:val="2"/>
                <w:szCs w:val="2"/>
              </w:rPr>
            </w:pPr>
          </w:p>
        </w:tc>
        <w:tc>
          <w:tcPr>
            <w:tcW w:w="624" w:type="dxa"/>
            <w:vAlign w:val="center"/>
          </w:tcPr>
          <w:p w14:paraId="17963F07">
            <w:pPr>
              <w:pStyle w:val="90"/>
              <w:spacing w:before="26" w:line="240" w:lineRule="auto"/>
              <w:jc w:val="center"/>
              <w:rPr>
                <w:rFonts w:hint="default" w:ascii="Times New Roman" w:hAnsi="Times New Roman" w:cs="Times New Roman"/>
                <w:b/>
                <w:color w:val="auto"/>
                <w:spacing w:val="-10"/>
                <w:w w:val="95"/>
                <w:sz w:val="21"/>
              </w:rPr>
            </w:pPr>
            <w:r>
              <w:rPr>
                <w:rFonts w:hint="default" w:ascii="Times New Roman" w:hAnsi="Times New Roman" w:cs="Times New Roman"/>
                <w:b/>
                <w:color w:val="auto"/>
                <w:spacing w:val="-10"/>
                <w:w w:val="95"/>
                <w:sz w:val="21"/>
              </w:rPr>
              <w:t>省</w:t>
            </w:r>
          </w:p>
        </w:tc>
        <w:tc>
          <w:tcPr>
            <w:tcW w:w="624" w:type="dxa"/>
            <w:vAlign w:val="center"/>
          </w:tcPr>
          <w:p w14:paraId="4E318891">
            <w:pPr>
              <w:pStyle w:val="90"/>
              <w:spacing w:before="26" w:line="240" w:lineRule="auto"/>
              <w:jc w:val="center"/>
              <w:rPr>
                <w:rFonts w:hint="default" w:ascii="Times New Roman" w:hAnsi="Times New Roman" w:cs="Times New Roman"/>
                <w:b/>
                <w:color w:val="auto"/>
                <w:spacing w:val="-10"/>
                <w:w w:val="95"/>
                <w:sz w:val="21"/>
              </w:rPr>
            </w:pPr>
            <w:r>
              <w:rPr>
                <w:rFonts w:hint="default" w:ascii="Times New Roman" w:hAnsi="Times New Roman" w:cs="Times New Roman"/>
                <w:b/>
                <w:color w:val="auto"/>
                <w:spacing w:val="-10"/>
                <w:w w:val="95"/>
                <w:sz w:val="21"/>
              </w:rPr>
              <w:t>市</w:t>
            </w:r>
          </w:p>
        </w:tc>
        <w:tc>
          <w:tcPr>
            <w:tcW w:w="654" w:type="dxa"/>
            <w:vAlign w:val="center"/>
          </w:tcPr>
          <w:p w14:paraId="05F4A8C7">
            <w:pPr>
              <w:pStyle w:val="90"/>
              <w:spacing w:before="26" w:line="240" w:lineRule="auto"/>
              <w:jc w:val="center"/>
              <w:rPr>
                <w:rFonts w:hint="default" w:ascii="Times New Roman" w:hAnsi="Times New Roman" w:cs="Times New Roman"/>
                <w:b/>
                <w:color w:val="auto"/>
                <w:spacing w:val="-10"/>
                <w:w w:val="95"/>
                <w:sz w:val="21"/>
              </w:rPr>
            </w:pPr>
            <w:r>
              <w:rPr>
                <w:rFonts w:hint="default" w:ascii="Times New Roman" w:hAnsi="Times New Roman" w:cs="Times New Roman"/>
                <w:b/>
                <w:color w:val="auto"/>
                <w:spacing w:val="-10"/>
                <w:w w:val="95"/>
                <w:sz w:val="21"/>
              </w:rPr>
              <w:t>县</w:t>
            </w:r>
          </w:p>
        </w:tc>
        <w:tc>
          <w:tcPr>
            <w:tcW w:w="860" w:type="dxa"/>
            <w:vMerge w:val="continue"/>
            <w:tcBorders>
              <w:top w:val="nil"/>
            </w:tcBorders>
            <w:vAlign w:val="center"/>
          </w:tcPr>
          <w:p w14:paraId="3B9A78D1">
            <w:pPr>
              <w:spacing w:line="240" w:lineRule="auto"/>
              <w:jc w:val="center"/>
              <w:rPr>
                <w:rFonts w:hint="default" w:ascii="Times New Roman" w:hAnsi="Times New Roman" w:cs="Times New Roman"/>
                <w:color w:val="auto"/>
                <w:sz w:val="2"/>
                <w:szCs w:val="2"/>
              </w:rPr>
            </w:pPr>
          </w:p>
        </w:tc>
        <w:tc>
          <w:tcPr>
            <w:tcW w:w="897" w:type="dxa"/>
            <w:vMerge w:val="continue"/>
            <w:tcBorders>
              <w:top w:val="nil"/>
            </w:tcBorders>
            <w:vAlign w:val="center"/>
          </w:tcPr>
          <w:p w14:paraId="7071F09D">
            <w:pPr>
              <w:spacing w:line="240" w:lineRule="auto"/>
              <w:jc w:val="center"/>
              <w:rPr>
                <w:rFonts w:hint="default" w:ascii="Times New Roman" w:hAnsi="Times New Roman" w:cs="Times New Roman"/>
                <w:color w:val="auto"/>
                <w:sz w:val="2"/>
                <w:szCs w:val="2"/>
              </w:rPr>
            </w:pPr>
          </w:p>
        </w:tc>
        <w:tc>
          <w:tcPr>
            <w:tcW w:w="843" w:type="dxa"/>
            <w:vMerge w:val="continue"/>
            <w:tcBorders>
              <w:top w:val="nil"/>
            </w:tcBorders>
            <w:vAlign w:val="center"/>
          </w:tcPr>
          <w:p w14:paraId="0253E6AD">
            <w:pPr>
              <w:spacing w:line="240" w:lineRule="auto"/>
              <w:jc w:val="center"/>
              <w:rPr>
                <w:rFonts w:hint="default" w:ascii="Times New Roman" w:hAnsi="Times New Roman" w:cs="Times New Roman"/>
                <w:color w:val="auto"/>
                <w:sz w:val="2"/>
                <w:szCs w:val="2"/>
              </w:rPr>
            </w:pPr>
          </w:p>
        </w:tc>
        <w:tc>
          <w:tcPr>
            <w:tcW w:w="1154" w:type="dxa"/>
            <w:vMerge w:val="continue"/>
            <w:tcBorders>
              <w:top w:val="nil"/>
            </w:tcBorders>
            <w:vAlign w:val="center"/>
          </w:tcPr>
          <w:p w14:paraId="6E6AA7D1">
            <w:pPr>
              <w:spacing w:line="240" w:lineRule="auto"/>
              <w:jc w:val="center"/>
              <w:rPr>
                <w:rFonts w:hint="default" w:ascii="Times New Roman" w:hAnsi="Times New Roman" w:cs="Times New Roman"/>
                <w:color w:val="auto"/>
                <w:sz w:val="2"/>
                <w:szCs w:val="2"/>
              </w:rPr>
            </w:pPr>
          </w:p>
        </w:tc>
        <w:tc>
          <w:tcPr>
            <w:tcW w:w="2676" w:type="dxa"/>
            <w:vMerge w:val="continue"/>
            <w:tcBorders>
              <w:top w:val="nil"/>
            </w:tcBorders>
            <w:vAlign w:val="center"/>
          </w:tcPr>
          <w:p w14:paraId="7B9E3AE4">
            <w:pPr>
              <w:spacing w:line="240" w:lineRule="auto"/>
              <w:jc w:val="center"/>
              <w:rPr>
                <w:rFonts w:hint="default" w:ascii="Times New Roman" w:hAnsi="Times New Roman" w:cs="Times New Roman"/>
                <w:color w:val="auto"/>
                <w:sz w:val="2"/>
                <w:szCs w:val="2"/>
              </w:rPr>
            </w:pPr>
          </w:p>
        </w:tc>
        <w:tc>
          <w:tcPr>
            <w:tcW w:w="2628" w:type="dxa"/>
            <w:vMerge w:val="continue"/>
            <w:tcBorders>
              <w:top w:val="nil"/>
            </w:tcBorders>
            <w:vAlign w:val="center"/>
          </w:tcPr>
          <w:p w14:paraId="6AF5F818">
            <w:pPr>
              <w:spacing w:line="240" w:lineRule="auto"/>
              <w:jc w:val="center"/>
              <w:rPr>
                <w:rFonts w:hint="default" w:ascii="Times New Roman" w:hAnsi="Times New Roman" w:cs="Times New Roman"/>
                <w:color w:val="auto"/>
                <w:sz w:val="2"/>
                <w:szCs w:val="2"/>
              </w:rPr>
            </w:pPr>
          </w:p>
        </w:tc>
        <w:tc>
          <w:tcPr>
            <w:tcW w:w="304" w:type="dxa"/>
            <w:vMerge w:val="continue"/>
            <w:vAlign w:val="center"/>
          </w:tcPr>
          <w:p w14:paraId="24D918B0">
            <w:pPr>
              <w:spacing w:line="240" w:lineRule="auto"/>
              <w:jc w:val="center"/>
              <w:rPr>
                <w:rFonts w:hint="default" w:ascii="Times New Roman" w:hAnsi="Times New Roman" w:cs="Times New Roman"/>
                <w:color w:val="auto"/>
                <w:sz w:val="2"/>
                <w:szCs w:val="2"/>
              </w:rPr>
            </w:pPr>
          </w:p>
        </w:tc>
      </w:tr>
      <w:tr w14:paraId="72BAEA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630" w:type="dxa"/>
            <w:vAlign w:val="center"/>
          </w:tcPr>
          <w:p w14:paraId="06C67AA5">
            <w:pPr>
              <w:spacing w:line="240" w:lineRule="auto"/>
              <w:jc w:val="center"/>
              <w:rPr>
                <w:rFonts w:hint="default" w:ascii="Times New Roman" w:hAnsi="Times New Roman" w:cs="Times New Roman"/>
                <w:color w:val="auto"/>
                <w:spacing w:val="-2"/>
                <w:sz w:val="21"/>
                <w:lang w:val="en-US" w:eastAsia="en-US"/>
              </w:rPr>
            </w:pPr>
            <w:r>
              <w:rPr>
                <w:rFonts w:hint="eastAsia"/>
                <w:color w:val="auto"/>
                <w:spacing w:val="-2"/>
                <w:sz w:val="21"/>
              </w:rPr>
              <w:t>ZH43123010001</w:t>
            </w:r>
          </w:p>
        </w:tc>
        <w:tc>
          <w:tcPr>
            <w:tcW w:w="619" w:type="dxa"/>
            <w:vAlign w:val="center"/>
          </w:tcPr>
          <w:p w14:paraId="6AD13374">
            <w:pPr>
              <w:spacing w:line="240" w:lineRule="auto"/>
              <w:jc w:val="center"/>
              <w:rPr>
                <w:rFonts w:hint="eastAsia" w:ascii="Times New Roman" w:hAnsi="Times New Roman" w:cs="Times New Roman"/>
                <w:color w:val="auto"/>
                <w:spacing w:val="-2"/>
                <w:sz w:val="21"/>
                <w:lang w:val="en-US" w:eastAsia="zh-CN"/>
              </w:rPr>
            </w:pPr>
            <w:r>
              <w:rPr>
                <w:rFonts w:hint="eastAsia"/>
                <w:color w:val="auto"/>
                <w:spacing w:val="-2"/>
                <w:sz w:val="21"/>
              </w:rPr>
              <w:t>大高坪苗族乡/独坡镇/牙屯堡镇</w:t>
            </w:r>
          </w:p>
        </w:tc>
        <w:tc>
          <w:tcPr>
            <w:tcW w:w="624" w:type="dxa"/>
            <w:vAlign w:val="center"/>
          </w:tcPr>
          <w:p w14:paraId="1DA8509B">
            <w:pPr>
              <w:spacing w:line="240" w:lineRule="auto"/>
              <w:jc w:val="center"/>
              <w:rPr>
                <w:rFonts w:hint="default" w:ascii="Times New Roman" w:hAnsi="Times New Roman" w:cs="Times New Roman"/>
                <w:color w:val="auto"/>
                <w:spacing w:val="-2"/>
                <w:sz w:val="21"/>
                <w:lang w:val="en-US" w:eastAsia="en-US"/>
              </w:rPr>
            </w:pPr>
            <w:r>
              <w:rPr>
                <w:rFonts w:hint="default" w:ascii="Times New Roman" w:hAnsi="Times New Roman" w:cs="Times New Roman"/>
                <w:color w:val="auto"/>
                <w:spacing w:val="-2"/>
                <w:sz w:val="21"/>
              </w:rPr>
              <w:t>湖南</w:t>
            </w:r>
          </w:p>
        </w:tc>
        <w:tc>
          <w:tcPr>
            <w:tcW w:w="624" w:type="dxa"/>
            <w:vAlign w:val="center"/>
          </w:tcPr>
          <w:p w14:paraId="2E00173D">
            <w:pPr>
              <w:spacing w:line="240" w:lineRule="auto"/>
              <w:jc w:val="center"/>
              <w:rPr>
                <w:rFonts w:hint="eastAsia" w:ascii="Times New Roman" w:hAnsi="Times New Roman" w:cs="Times New Roman"/>
                <w:color w:val="auto"/>
                <w:spacing w:val="-2"/>
                <w:sz w:val="21"/>
                <w:lang w:val="en-US" w:eastAsia="zh-CN"/>
              </w:rPr>
            </w:pPr>
            <w:r>
              <w:rPr>
                <w:rFonts w:hint="default" w:ascii="Times New Roman" w:hAnsi="Times New Roman" w:cs="Times New Roman"/>
                <w:color w:val="auto"/>
                <w:spacing w:val="-2"/>
                <w:sz w:val="21"/>
              </w:rPr>
              <w:t>怀化</w:t>
            </w:r>
          </w:p>
        </w:tc>
        <w:tc>
          <w:tcPr>
            <w:tcW w:w="654" w:type="dxa"/>
            <w:vAlign w:val="center"/>
          </w:tcPr>
          <w:p w14:paraId="6F7158E9">
            <w:pPr>
              <w:spacing w:line="240" w:lineRule="auto"/>
              <w:jc w:val="center"/>
              <w:rPr>
                <w:rFonts w:hint="eastAsia" w:ascii="Times New Roman" w:hAnsi="Times New Roman" w:cs="Times New Roman"/>
                <w:color w:val="auto"/>
                <w:spacing w:val="-2"/>
                <w:sz w:val="21"/>
                <w:lang w:val="en-US" w:eastAsia="zh-CN"/>
              </w:rPr>
            </w:pPr>
            <w:r>
              <w:rPr>
                <w:rFonts w:hint="default" w:ascii="Times New Roman" w:hAnsi="Times New Roman" w:cs="Times New Roman"/>
                <w:color w:val="auto"/>
                <w:spacing w:val="-2"/>
                <w:sz w:val="21"/>
              </w:rPr>
              <w:t>通道侗族自治县</w:t>
            </w:r>
          </w:p>
        </w:tc>
        <w:tc>
          <w:tcPr>
            <w:tcW w:w="860" w:type="dxa"/>
            <w:vAlign w:val="center"/>
          </w:tcPr>
          <w:p w14:paraId="25499AE5">
            <w:pPr>
              <w:spacing w:line="240" w:lineRule="auto"/>
              <w:jc w:val="center"/>
              <w:rPr>
                <w:rFonts w:hint="default" w:ascii="Times New Roman" w:hAnsi="Times New Roman" w:cs="Times New Roman"/>
                <w:color w:val="auto"/>
                <w:spacing w:val="-2"/>
                <w:sz w:val="21"/>
                <w:lang w:val="en-US" w:eastAsia="en-US"/>
              </w:rPr>
            </w:pPr>
            <w:r>
              <w:rPr>
                <w:rFonts w:hint="default" w:ascii="Times New Roman" w:hAnsi="Times New Roman" w:cs="Times New Roman"/>
                <w:color w:val="auto"/>
                <w:spacing w:val="-2"/>
                <w:sz w:val="21"/>
              </w:rPr>
              <w:t>优先保护单元</w:t>
            </w:r>
          </w:p>
        </w:tc>
        <w:tc>
          <w:tcPr>
            <w:tcW w:w="897" w:type="dxa"/>
            <w:vAlign w:val="center"/>
          </w:tcPr>
          <w:p w14:paraId="145A25F3">
            <w:pPr>
              <w:spacing w:line="240" w:lineRule="auto"/>
              <w:jc w:val="center"/>
              <w:rPr>
                <w:rFonts w:hint="eastAsia" w:ascii="Times New Roman" w:hAnsi="Times New Roman" w:eastAsia="宋体" w:cs="Times New Roman"/>
                <w:color w:val="auto"/>
                <w:spacing w:val="-2"/>
                <w:sz w:val="21"/>
                <w:lang w:val="en-US" w:eastAsia="zh-CN"/>
              </w:rPr>
            </w:pPr>
            <w:r>
              <w:rPr>
                <w:rFonts w:hint="eastAsia" w:ascii="Times New Roman" w:hAnsi="Times New Roman" w:cs="Times New Roman"/>
                <w:color w:val="auto"/>
                <w:spacing w:val="-2"/>
                <w:sz w:val="21"/>
              </w:rPr>
              <w:t>360.</w:t>
            </w:r>
            <w:r>
              <w:rPr>
                <w:rFonts w:hint="eastAsia" w:cs="Times New Roman"/>
                <w:color w:val="auto"/>
                <w:spacing w:val="-2"/>
                <w:sz w:val="21"/>
                <w:lang w:val="en-US" w:eastAsia="zh-CN"/>
              </w:rPr>
              <w:t>7</w:t>
            </w:r>
          </w:p>
        </w:tc>
        <w:tc>
          <w:tcPr>
            <w:tcW w:w="843" w:type="dxa"/>
            <w:vAlign w:val="center"/>
          </w:tcPr>
          <w:p w14:paraId="1130B30D">
            <w:pPr>
              <w:spacing w:line="240" w:lineRule="auto"/>
              <w:jc w:val="center"/>
              <w:rPr>
                <w:rFonts w:hint="eastAsia" w:ascii="Times New Roman" w:hAnsi="Times New Roman" w:cs="Times New Roman"/>
                <w:color w:val="auto"/>
                <w:spacing w:val="-2"/>
                <w:sz w:val="21"/>
                <w:lang w:val="en-US" w:eastAsia="zh-CN"/>
              </w:rPr>
            </w:pPr>
            <w:r>
              <w:rPr>
                <w:rFonts w:hint="eastAsia" w:ascii="Times New Roman" w:hAnsi="Times New Roman" w:cs="Times New Roman"/>
                <w:color w:val="auto"/>
                <w:spacing w:val="-2"/>
                <w:sz w:val="21"/>
              </w:rPr>
              <w:t>大高坪苗族乡/独坡镇/牙屯堡镇</w:t>
            </w:r>
          </w:p>
        </w:tc>
        <w:tc>
          <w:tcPr>
            <w:tcW w:w="1154" w:type="dxa"/>
            <w:vAlign w:val="center"/>
          </w:tcPr>
          <w:p w14:paraId="24432F01">
            <w:pPr>
              <w:spacing w:line="240" w:lineRule="auto"/>
              <w:jc w:val="center"/>
              <w:rPr>
                <w:rFonts w:hint="default" w:ascii="Times New Roman" w:hAnsi="Times New Roman" w:cs="Times New Roman"/>
                <w:color w:val="auto"/>
                <w:spacing w:val="-2"/>
                <w:sz w:val="21"/>
                <w:lang w:val="en-US" w:eastAsia="en-US"/>
              </w:rPr>
            </w:pPr>
            <w:r>
              <w:rPr>
                <w:rFonts w:hint="default" w:ascii="Times New Roman" w:hAnsi="Times New Roman" w:cs="Times New Roman"/>
                <w:color w:val="auto"/>
                <w:spacing w:val="-2"/>
                <w:sz w:val="21"/>
              </w:rPr>
              <w:t>国家级重点生态功能区</w:t>
            </w:r>
          </w:p>
        </w:tc>
        <w:tc>
          <w:tcPr>
            <w:tcW w:w="2676" w:type="dxa"/>
            <w:vAlign w:val="center"/>
          </w:tcPr>
          <w:p w14:paraId="428BCF8F">
            <w:pPr>
              <w:spacing w:line="240" w:lineRule="auto"/>
              <w:ind w:firstLine="220" w:firstLineChars="100"/>
              <w:rPr>
                <w:rFonts w:hint="default" w:ascii="Times New Roman" w:hAnsi="Times New Roman" w:eastAsia="宋体" w:cs="Times New Roman"/>
                <w:sz w:val="22"/>
                <w:lang w:val="en-US" w:eastAsia="en-US"/>
              </w:rPr>
            </w:pPr>
            <w:r>
              <w:rPr>
                <w:rFonts w:hint="eastAsia" w:ascii="Times New Roman" w:hAnsi="Times New Roman" w:eastAsia="宋体" w:cs="Times New Roman"/>
                <w:sz w:val="22"/>
              </w:rPr>
              <w:t>农业、养殖业、旅游</w:t>
            </w:r>
          </w:p>
        </w:tc>
        <w:tc>
          <w:tcPr>
            <w:tcW w:w="2628" w:type="dxa"/>
            <w:vAlign w:val="center"/>
          </w:tcPr>
          <w:p w14:paraId="2AF56FC3">
            <w:pPr>
              <w:spacing w:line="240" w:lineRule="auto"/>
              <w:rPr>
                <w:rFonts w:hint="eastAsia" w:ascii="Times New Roman" w:hAnsi="Times New Roman" w:eastAsia="宋体" w:cs="Times New Roman"/>
                <w:sz w:val="22"/>
                <w:lang w:val="en-US" w:eastAsia="zh-CN"/>
              </w:rPr>
            </w:pPr>
            <w:r>
              <w:rPr>
                <w:rFonts w:hint="eastAsia"/>
                <w:sz w:val="22"/>
              </w:rPr>
              <w:t>畜禽养殖污染和农业面源污染</w:t>
            </w:r>
          </w:p>
        </w:tc>
        <w:tc>
          <w:tcPr>
            <w:tcW w:w="304" w:type="dxa"/>
            <w:vAlign w:val="center"/>
          </w:tcPr>
          <w:p w14:paraId="56E1B577">
            <w:pPr>
              <w:topLinePunct/>
              <w:adjustRightInd w:val="0"/>
              <w:snapToGrid w:val="0"/>
              <w:spacing w:line="240" w:lineRule="auto"/>
              <w:jc w:val="center"/>
              <w:rPr>
                <w:rFonts w:hint="default" w:ascii="Times New Roman" w:hAnsi="Times New Roman" w:cs="Times New Roman"/>
                <w:color w:val="auto"/>
                <w:spacing w:val="-2"/>
                <w:sz w:val="21"/>
              </w:rPr>
            </w:pPr>
            <w:r>
              <w:rPr>
                <w:color w:val="auto"/>
                <w:sz w:val="21"/>
                <w:szCs w:val="21"/>
              </w:rPr>
              <w:t>符合</w:t>
            </w:r>
          </w:p>
        </w:tc>
      </w:tr>
      <w:tr w14:paraId="1A24C7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630" w:type="dxa"/>
            <w:vAlign w:val="center"/>
          </w:tcPr>
          <w:p w14:paraId="20A83A08">
            <w:pPr>
              <w:pStyle w:val="90"/>
              <w:spacing w:before="131" w:line="240" w:lineRule="auto"/>
              <w:jc w:val="center"/>
              <w:rPr>
                <w:rFonts w:hint="default" w:ascii="Times New Roman" w:hAnsi="Times New Roman" w:cs="Times New Roman"/>
                <w:b/>
                <w:color w:val="auto"/>
                <w:sz w:val="21"/>
              </w:rPr>
            </w:pPr>
            <w:r>
              <w:rPr>
                <w:rFonts w:hint="default" w:ascii="Times New Roman" w:hAnsi="Times New Roman" w:cs="Times New Roman"/>
                <w:b/>
                <w:color w:val="auto"/>
                <w:w w:val="95"/>
                <w:sz w:val="21"/>
              </w:rPr>
              <w:t>主要属</w:t>
            </w:r>
            <w:r>
              <w:rPr>
                <w:rFonts w:hint="default" w:ascii="Times New Roman" w:hAnsi="Times New Roman" w:cs="Times New Roman"/>
                <w:b/>
                <w:color w:val="auto"/>
                <w:spacing w:val="-10"/>
                <w:w w:val="95"/>
                <w:sz w:val="21"/>
              </w:rPr>
              <w:t>性</w:t>
            </w:r>
          </w:p>
        </w:tc>
        <w:tc>
          <w:tcPr>
            <w:tcW w:w="11579" w:type="dxa"/>
            <w:gridSpan w:val="10"/>
            <w:vAlign w:val="center"/>
          </w:tcPr>
          <w:p w14:paraId="5A804690">
            <w:pPr>
              <w:spacing w:line="240" w:lineRule="auto"/>
              <w:jc w:val="left"/>
              <w:rPr>
                <w:rFonts w:hint="default"/>
                <w:color w:val="auto"/>
                <w:spacing w:val="-2"/>
                <w:sz w:val="21"/>
              </w:rPr>
            </w:pPr>
            <w:r>
              <w:rPr>
                <w:rFonts w:hint="default"/>
                <w:color w:val="auto"/>
                <w:spacing w:val="-2"/>
                <w:sz w:val="21"/>
              </w:rPr>
              <w:t>红线/一般生态空间/水源涵养重要区\三区三线生态红线\生物多样性保护功能重要区\原生态红线\水土流失敏感区</w:t>
            </w:r>
          </w:p>
          <w:p w14:paraId="1E76A29C">
            <w:pPr>
              <w:spacing w:line="240" w:lineRule="auto"/>
              <w:jc w:val="left"/>
              <w:rPr>
                <w:rFonts w:hint="default"/>
                <w:color w:val="auto"/>
                <w:spacing w:val="-2"/>
                <w:sz w:val="21"/>
              </w:rPr>
            </w:pPr>
            <w:r>
              <w:rPr>
                <w:rFonts w:hint="default"/>
                <w:color w:val="auto"/>
                <w:spacing w:val="-2"/>
                <w:sz w:val="21"/>
              </w:rPr>
              <w:t>水环境一般管控区</w:t>
            </w:r>
          </w:p>
          <w:p w14:paraId="2658F7AA">
            <w:pPr>
              <w:spacing w:line="240" w:lineRule="auto"/>
              <w:jc w:val="left"/>
              <w:rPr>
                <w:rFonts w:hint="default"/>
                <w:color w:val="auto"/>
                <w:spacing w:val="-2"/>
                <w:sz w:val="21"/>
              </w:rPr>
            </w:pPr>
            <w:r>
              <w:rPr>
                <w:rFonts w:hint="default"/>
                <w:color w:val="auto"/>
                <w:spacing w:val="-2"/>
                <w:sz w:val="21"/>
              </w:rPr>
              <w:t>大气环境受体敏感重点管控区/其他区域</w:t>
            </w:r>
          </w:p>
          <w:p w14:paraId="2B3EA33D">
            <w:pPr>
              <w:spacing w:line="240" w:lineRule="auto"/>
              <w:jc w:val="left"/>
              <w:rPr>
                <w:rFonts w:hint="default"/>
                <w:color w:val="auto"/>
                <w:spacing w:val="-2"/>
                <w:sz w:val="21"/>
              </w:rPr>
            </w:pPr>
            <w:r>
              <w:rPr>
                <w:rFonts w:hint="default"/>
                <w:color w:val="auto"/>
                <w:spacing w:val="-2"/>
                <w:sz w:val="21"/>
              </w:rPr>
              <w:t>农用地优先保护区/建设用地重点管控区/其他重点管控区/一般管控区/矿区</w:t>
            </w:r>
          </w:p>
          <w:p w14:paraId="298FA3F9">
            <w:pPr>
              <w:spacing w:line="240" w:lineRule="auto"/>
              <w:jc w:val="left"/>
              <w:rPr>
                <w:rFonts w:hint="default" w:ascii="Times New Roman" w:hAnsi="Times New Roman" w:eastAsia="Times New Roman" w:cs="Times New Roman"/>
                <w:color w:val="auto"/>
                <w:sz w:val="21"/>
              </w:rPr>
            </w:pPr>
            <w:r>
              <w:rPr>
                <w:rFonts w:hint="default"/>
                <w:color w:val="auto"/>
                <w:spacing w:val="-2"/>
                <w:sz w:val="21"/>
              </w:rPr>
              <w:t>重点生态功能区。</w:t>
            </w:r>
          </w:p>
        </w:tc>
        <w:tc>
          <w:tcPr>
            <w:tcW w:w="304" w:type="dxa"/>
            <w:vAlign w:val="center"/>
          </w:tcPr>
          <w:p w14:paraId="6C9D1C1C">
            <w:pPr>
              <w:topLinePunct/>
              <w:adjustRightInd w:val="0"/>
              <w:snapToGrid w:val="0"/>
              <w:spacing w:line="240" w:lineRule="auto"/>
              <w:jc w:val="center"/>
              <w:rPr>
                <w:rFonts w:hint="default" w:ascii="Times New Roman" w:hAnsi="Times New Roman" w:cs="Times New Roman"/>
                <w:b/>
                <w:bCs/>
                <w:color w:val="auto"/>
                <w:spacing w:val="-2"/>
                <w:sz w:val="21"/>
              </w:rPr>
            </w:pPr>
            <w:r>
              <w:rPr>
                <w:color w:val="auto"/>
                <w:sz w:val="21"/>
                <w:szCs w:val="21"/>
              </w:rPr>
              <w:t>符合</w:t>
            </w:r>
          </w:p>
        </w:tc>
      </w:tr>
      <w:tr w14:paraId="2FF950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630" w:type="dxa"/>
            <w:vAlign w:val="center"/>
          </w:tcPr>
          <w:p w14:paraId="5F033021">
            <w:pPr>
              <w:pStyle w:val="90"/>
              <w:spacing w:before="22" w:line="240" w:lineRule="auto"/>
              <w:jc w:val="center"/>
              <w:rPr>
                <w:rFonts w:hint="default" w:ascii="Times New Roman" w:hAnsi="Times New Roman" w:cs="Times New Roman"/>
                <w:b/>
                <w:color w:val="auto"/>
                <w:w w:val="95"/>
                <w:sz w:val="21"/>
              </w:rPr>
            </w:pPr>
            <w:r>
              <w:rPr>
                <w:rFonts w:hint="default" w:ascii="Times New Roman" w:hAnsi="Times New Roman" w:cs="Times New Roman"/>
                <w:b/>
                <w:color w:val="auto"/>
                <w:w w:val="95"/>
                <w:sz w:val="21"/>
              </w:rPr>
              <w:t>管控维度</w:t>
            </w:r>
          </w:p>
        </w:tc>
        <w:tc>
          <w:tcPr>
            <w:tcW w:w="11883" w:type="dxa"/>
            <w:gridSpan w:val="11"/>
            <w:vAlign w:val="center"/>
          </w:tcPr>
          <w:p w14:paraId="466F4B07">
            <w:pPr>
              <w:pStyle w:val="90"/>
              <w:spacing w:before="22" w:line="240" w:lineRule="auto"/>
              <w:jc w:val="center"/>
              <w:rPr>
                <w:rFonts w:hint="default" w:ascii="Times New Roman" w:hAnsi="Times New Roman" w:cs="Times New Roman"/>
                <w:b/>
                <w:color w:val="auto"/>
                <w:w w:val="95"/>
                <w:sz w:val="21"/>
              </w:rPr>
            </w:pPr>
            <w:r>
              <w:rPr>
                <w:rFonts w:hint="default" w:ascii="Times New Roman" w:hAnsi="Times New Roman" w:cs="Times New Roman"/>
                <w:b/>
                <w:color w:val="auto"/>
                <w:w w:val="95"/>
                <w:sz w:val="21"/>
              </w:rPr>
              <w:t>管控要求</w:t>
            </w:r>
          </w:p>
        </w:tc>
      </w:tr>
      <w:tr w14:paraId="2A32F6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630" w:type="dxa"/>
            <w:vAlign w:val="center"/>
          </w:tcPr>
          <w:p w14:paraId="05739E68">
            <w:pPr>
              <w:pStyle w:val="90"/>
              <w:spacing w:before="131" w:line="240" w:lineRule="auto"/>
              <w:jc w:val="center"/>
              <w:rPr>
                <w:rFonts w:hint="default" w:ascii="Times New Roman" w:hAnsi="Times New Roman" w:cs="Times New Roman"/>
                <w:b/>
                <w:color w:val="auto"/>
                <w:w w:val="95"/>
                <w:sz w:val="21"/>
              </w:rPr>
            </w:pPr>
            <w:r>
              <w:rPr>
                <w:rFonts w:hint="default" w:ascii="Times New Roman" w:hAnsi="Times New Roman" w:cs="Times New Roman"/>
                <w:b/>
                <w:color w:val="auto"/>
                <w:w w:val="95"/>
                <w:sz w:val="21"/>
              </w:rPr>
              <w:t>空间布局约束</w:t>
            </w:r>
          </w:p>
        </w:tc>
        <w:tc>
          <w:tcPr>
            <w:tcW w:w="11579" w:type="dxa"/>
            <w:gridSpan w:val="10"/>
            <w:tcBorders>
              <w:bottom w:val="single" w:color="auto" w:sz="4" w:space="0"/>
            </w:tcBorders>
            <w:vAlign w:val="center"/>
          </w:tcPr>
          <w:p w14:paraId="276AB65D">
            <w:pPr>
              <w:pStyle w:val="90"/>
              <w:spacing w:line="240" w:lineRule="auto"/>
              <w:ind w:left="108" w:right="102"/>
              <w:jc w:val="left"/>
              <w:rPr>
                <w:rFonts w:hint="default" w:ascii="Times New Roman" w:hAnsi="Times New Roman"/>
                <w:color w:val="auto"/>
                <w:spacing w:val="-2"/>
                <w:sz w:val="21"/>
              </w:rPr>
            </w:pPr>
            <w:r>
              <w:rPr>
                <w:rFonts w:hint="default" w:ascii="Times New Roman" w:hAnsi="Times New Roman"/>
                <w:color w:val="auto"/>
                <w:spacing w:val="-2"/>
                <w:sz w:val="21"/>
              </w:rPr>
              <w:t>（1.1）禁止建设区范围内不进行开发建设。</w:t>
            </w:r>
          </w:p>
          <w:p w14:paraId="12106570">
            <w:pPr>
              <w:pStyle w:val="90"/>
              <w:spacing w:line="240" w:lineRule="auto"/>
              <w:ind w:left="108" w:right="102"/>
              <w:jc w:val="left"/>
              <w:rPr>
                <w:rFonts w:hint="default" w:ascii="Times New Roman" w:hAnsi="Times New Roman"/>
                <w:color w:val="auto"/>
                <w:spacing w:val="-2"/>
                <w:sz w:val="21"/>
              </w:rPr>
            </w:pPr>
            <w:r>
              <w:rPr>
                <w:rFonts w:hint="default" w:ascii="Times New Roman" w:hAnsi="Times New Roman"/>
                <w:color w:val="auto"/>
                <w:spacing w:val="-2"/>
                <w:sz w:val="21"/>
              </w:rPr>
              <w:t>牙屯堡镇：</w:t>
            </w:r>
          </w:p>
          <w:p w14:paraId="130256DC">
            <w:pPr>
              <w:pStyle w:val="90"/>
              <w:spacing w:line="240" w:lineRule="auto"/>
              <w:ind w:left="108" w:right="102"/>
              <w:jc w:val="left"/>
              <w:rPr>
                <w:rFonts w:hint="default" w:ascii="Times New Roman" w:hAnsi="Times New Roman" w:cs="Times New Roman"/>
                <w:color w:val="auto"/>
                <w:sz w:val="21"/>
              </w:rPr>
            </w:pPr>
            <w:r>
              <w:rPr>
                <w:rFonts w:hint="default" w:ascii="Times New Roman" w:hAnsi="Times New Roman"/>
                <w:color w:val="auto"/>
                <w:spacing w:val="-2"/>
                <w:sz w:val="21"/>
              </w:rPr>
              <w:t>（1.2）逐步加强对境内矿山地质环境的管理，不再新建对地质环境具有不可恢复破坏性影响的矿产资源开采项目，依据“谁破坏、谁治理”的原则加大对老矿山地质环境的恢复治理工作。</w:t>
            </w:r>
          </w:p>
        </w:tc>
        <w:tc>
          <w:tcPr>
            <w:tcW w:w="304" w:type="dxa"/>
            <w:vMerge w:val="restart"/>
            <w:vAlign w:val="center"/>
          </w:tcPr>
          <w:p w14:paraId="6B8004D0">
            <w:pPr>
              <w:topLinePunct/>
              <w:adjustRightInd w:val="0"/>
              <w:snapToGrid w:val="0"/>
              <w:spacing w:line="240" w:lineRule="auto"/>
              <w:jc w:val="center"/>
              <w:rPr>
                <w:rFonts w:hint="eastAsia" w:ascii="Times New Roman" w:hAnsi="Times New Roman" w:eastAsia="宋体" w:cs="Times New Roman"/>
                <w:color w:val="auto"/>
                <w:spacing w:val="-2"/>
                <w:sz w:val="21"/>
                <w:lang w:val="en-US" w:eastAsia="zh-CN"/>
              </w:rPr>
            </w:pPr>
            <w:r>
              <w:rPr>
                <w:rFonts w:hint="eastAsia" w:ascii="Times New Roman" w:hAnsi="Times New Roman" w:cs="Times New Roman"/>
                <w:color w:val="auto"/>
                <w:spacing w:val="-2"/>
                <w:sz w:val="21"/>
                <w:lang w:val="en-US" w:eastAsia="zh-CN"/>
              </w:rPr>
              <w:t>符合</w:t>
            </w:r>
          </w:p>
        </w:tc>
      </w:tr>
      <w:tr w14:paraId="79B2CA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630" w:type="dxa"/>
            <w:vAlign w:val="center"/>
          </w:tcPr>
          <w:p w14:paraId="24B52D0B">
            <w:pPr>
              <w:pStyle w:val="90"/>
              <w:spacing w:before="131" w:line="240" w:lineRule="auto"/>
              <w:jc w:val="center"/>
              <w:rPr>
                <w:rFonts w:hint="default" w:ascii="Times New Roman" w:hAnsi="Times New Roman" w:cs="Times New Roman"/>
                <w:b/>
                <w:color w:val="auto"/>
                <w:w w:val="95"/>
                <w:sz w:val="21"/>
              </w:rPr>
            </w:pPr>
            <w:r>
              <w:rPr>
                <w:rFonts w:hint="default" w:ascii="Times New Roman" w:hAnsi="Times New Roman" w:cs="Times New Roman"/>
                <w:b/>
                <w:color w:val="auto"/>
                <w:w w:val="95"/>
                <w:sz w:val="21"/>
              </w:rPr>
              <w:t>污染物排放管控</w:t>
            </w:r>
          </w:p>
        </w:tc>
        <w:tc>
          <w:tcPr>
            <w:tcW w:w="11579" w:type="dxa"/>
            <w:gridSpan w:val="10"/>
            <w:tcBorders>
              <w:top w:val="single" w:color="auto" w:sz="4" w:space="0"/>
              <w:bottom w:val="single" w:color="auto" w:sz="4" w:space="0"/>
            </w:tcBorders>
            <w:vAlign w:val="center"/>
          </w:tcPr>
          <w:p w14:paraId="603521A2">
            <w:pPr>
              <w:spacing w:line="240" w:lineRule="auto"/>
              <w:jc w:val="left"/>
              <w:rPr>
                <w:rFonts w:hint="default"/>
                <w:color w:val="auto"/>
                <w:spacing w:val="-2"/>
                <w:sz w:val="21"/>
              </w:rPr>
            </w:pPr>
            <w:r>
              <w:rPr>
                <w:rFonts w:hint="default"/>
                <w:color w:val="auto"/>
                <w:spacing w:val="-2"/>
                <w:sz w:val="21"/>
              </w:rPr>
              <w:t>（2.1）废水</w:t>
            </w:r>
          </w:p>
          <w:p w14:paraId="0C6CD05A">
            <w:pPr>
              <w:spacing w:line="240" w:lineRule="auto"/>
              <w:jc w:val="left"/>
              <w:rPr>
                <w:rFonts w:hint="default"/>
                <w:color w:val="auto"/>
                <w:spacing w:val="-2"/>
                <w:sz w:val="21"/>
              </w:rPr>
            </w:pPr>
            <w:r>
              <w:rPr>
                <w:rFonts w:hint="default"/>
                <w:color w:val="auto"/>
                <w:spacing w:val="-2"/>
                <w:sz w:val="21"/>
              </w:rPr>
              <w:t>（2.1.1）充分发挥河（湖）长制作用，强化岸线保护利用，实施好重点水域“十年禁渔”。</w:t>
            </w:r>
          </w:p>
          <w:p w14:paraId="12D4CCE3">
            <w:pPr>
              <w:spacing w:line="240" w:lineRule="auto"/>
              <w:jc w:val="left"/>
              <w:rPr>
                <w:rFonts w:hint="default"/>
                <w:color w:val="auto"/>
                <w:spacing w:val="-2"/>
                <w:sz w:val="21"/>
              </w:rPr>
            </w:pPr>
            <w:r>
              <w:rPr>
                <w:rFonts w:hint="default"/>
                <w:color w:val="auto"/>
                <w:spacing w:val="-2"/>
                <w:sz w:val="21"/>
              </w:rPr>
              <w:t>（2.1.2）推进以种养结合为重点的畜禽养殖废弃物资源利用，推动畜禽规模养殖场粪污处理设施装备提档升级，各乡镇建立和完善畜禽养殖场和养殖户污染防治台账。实施池塘标准化改造，完善循环水和进排水处理设施，推进养殖尾水节水减排。</w:t>
            </w:r>
          </w:p>
          <w:p w14:paraId="07CED9C4">
            <w:pPr>
              <w:spacing w:line="240" w:lineRule="auto"/>
              <w:jc w:val="left"/>
              <w:rPr>
                <w:rFonts w:hint="default"/>
                <w:color w:val="auto"/>
                <w:spacing w:val="-2"/>
                <w:sz w:val="21"/>
              </w:rPr>
            </w:pPr>
            <w:r>
              <w:rPr>
                <w:rFonts w:hint="default"/>
                <w:color w:val="auto"/>
                <w:spacing w:val="-2"/>
                <w:sz w:val="21"/>
              </w:rPr>
              <w:t>（2.2）废气：坚持源头防控、系统治理，以柴油货车、露天焚烧秸秆、餐饮油烟等为重点领域，以细颗粒物（PM2.5）等为重点因子，以特护期（当年10月16日至次年3月15日）为重点时段，开展“守护蓝天”行动。</w:t>
            </w:r>
          </w:p>
          <w:p w14:paraId="73444B31">
            <w:pPr>
              <w:spacing w:line="240" w:lineRule="auto"/>
              <w:jc w:val="left"/>
              <w:rPr>
                <w:rFonts w:hint="default"/>
                <w:color w:val="auto"/>
                <w:spacing w:val="-2"/>
                <w:sz w:val="21"/>
              </w:rPr>
            </w:pPr>
            <w:r>
              <w:rPr>
                <w:rFonts w:hint="default"/>
                <w:color w:val="auto"/>
                <w:spacing w:val="-2"/>
                <w:sz w:val="21"/>
              </w:rPr>
              <w:t>（2.3）固体废弃物：推进强化危险废物监管和利用处置能力改革，逐步建立“源头严防、过程严管、后果严惩”危险废物监管体系。持续强化固体废物信息管理平台应用，实现危险废物全过程在线监管。</w:t>
            </w:r>
          </w:p>
          <w:p w14:paraId="3ED40233">
            <w:pPr>
              <w:spacing w:line="240" w:lineRule="auto"/>
              <w:jc w:val="left"/>
              <w:rPr>
                <w:rFonts w:hint="default" w:ascii="Times New Roman" w:hAnsi="Times New Roman" w:cs="Times New Roman"/>
                <w:color w:val="auto"/>
                <w:sz w:val="2"/>
                <w:szCs w:val="2"/>
              </w:rPr>
            </w:pPr>
            <w:r>
              <w:rPr>
                <w:rFonts w:hint="default"/>
                <w:color w:val="auto"/>
                <w:spacing w:val="-2"/>
                <w:sz w:val="21"/>
              </w:rPr>
              <w:t>（2.4）加强老工业企业污染监管，引导工业企业完善手续，规范生产。</w:t>
            </w:r>
          </w:p>
        </w:tc>
        <w:tc>
          <w:tcPr>
            <w:tcW w:w="304" w:type="dxa"/>
            <w:vMerge w:val="continue"/>
            <w:vAlign w:val="center"/>
          </w:tcPr>
          <w:p w14:paraId="4E127A9E">
            <w:pPr>
              <w:spacing w:line="240" w:lineRule="auto"/>
              <w:jc w:val="center"/>
              <w:rPr>
                <w:rFonts w:hint="default" w:ascii="Times New Roman" w:hAnsi="Times New Roman" w:cs="Times New Roman"/>
                <w:color w:val="auto"/>
                <w:sz w:val="2"/>
                <w:szCs w:val="2"/>
              </w:rPr>
            </w:pPr>
          </w:p>
        </w:tc>
      </w:tr>
      <w:tr w14:paraId="5DBDEB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630" w:type="dxa"/>
            <w:vAlign w:val="center"/>
          </w:tcPr>
          <w:p w14:paraId="0CC617A4">
            <w:pPr>
              <w:pStyle w:val="90"/>
              <w:spacing w:before="131" w:line="240" w:lineRule="auto"/>
              <w:jc w:val="center"/>
              <w:rPr>
                <w:rFonts w:hint="default" w:ascii="Times New Roman" w:hAnsi="Times New Roman" w:cs="Times New Roman"/>
                <w:b/>
                <w:color w:val="auto"/>
                <w:w w:val="95"/>
                <w:sz w:val="21"/>
              </w:rPr>
            </w:pPr>
            <w:r>
              <w:rPr>
                <w:rFonts w:hint="default" w:ascii="Times New Roman" w:hAnsi="Times New Roman" w:cs="Times New Roman"/>
                <w:b/>
                <w:color w:val="auto"/>
                <w:w w:val="95"/>
                <w:sz w:val="21"/>
              </w:rPr>
              <w:t>环境风险防控</w:t>
            </w:r>
          </w:p>
        </w:tc>
        <w:tc>
          <w:tcPr>
            <w:tcW w:w="11579" w:type="dxa"/>
            <w:gridSpan w:val="10"/>
            <w:tcBorders>
              <w:top w:val="single" w:color="auto" w:sz="4" w:space="0"/>
              <w:bottom w:val="single" w:color="auto" w:sz="4" w:space="0"/>
            </w:tcBorders>
            <w:vAlign w:val="center"/>
          </w:tcPr>
          <w:p w14:paraId="18E53BC3">
            <w:pPr>
              <w:spacing w:line="240" w:lineRule="auto"/>
              <w:jc w:val="left"/>
              <w:rPr>
                <w:rFonts w:hint="default" w:ascii="Times New Roman" w:hAnsi="Times New Roman" w:cs="Times New Roman"/>
                <w:color w:val="auto"/>
                <w:spacing w:val="-2"/>
                <w:sz w:val="21"/>
              </w:rPr>
            </w:pPr>
            <w:r>
              <w:rPr>
                <w:rFonts w:hint="default" w:ascii="Times New Roman" w:hAnsi="Times New Roman" w:cs="Times New Roman"/>
                <w:color w:val="auto"/>
                <w:spacing w:val="-2"/>
                <w:sz w:val="21"/>
              </w:rPr>
              <w:t>（3.1）按省级、市级生态环境准入总体清单中与环境风险防控相关条文执行。</w:t>
            </w:r>
          </w:p>
        </w:tc>
        <w:tc>
          <w:tcPr>
            <w:tcW w:w="304" w:type="dxa"/>
            <w:vMerge w:val="continue"/>
            <w:vAlign w:val="center"/>
          </w:tcPr>
          <w:p w14:paraId="19331E95">
            <w:pPr>
              <w:spacing w:line="240" w:lineRule="auto"/>
              <w:jc w:val="center"/>
              <w:rPr>
                <w:rFonts w:hint="default" w:ascii="Times New Roman" w:hAnsi="Times New Roman" w:cs="Times New Roman"/>
                <w:color w:val="FF0000"/>
                <w:sz w:val="2"/>
                <w:szCs w:val="2"/>
              </w:rPr>
            </w:pPr>
          </w:p>
        </w:tc>
      </w:tr>
      <w:tr w14:paraId="260633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630" w:type="dxa"/>
            <w:vAlign w:val="center"/>
          </w:tcPr>
          <w:p w14:paraId="4832C448">
            <w:pPr>
              <w:pStyle w:val="90"/>
              <w:spacing w:before="131" w:line="240" w:lineRule="auto"/>
              <w:jc w:val="center"/>
              <w:rPr>
                <w:rFonts w:hint="default" w:ascii="Times New Roman" w:hAnsi="Times New Roman" w:cs="Times New Roman"/>
                <w:b/>
                <w:color w:val="auto"/>
                <w:w w:val="95"/>
                <w:sz w:val="21"/>
              </w:rPr>
            </w:pPr>
            <w:r>
              <w:rPr>
                <w:rFonts w:hint="default" w:ascii="Times New Roman" w:hAnsi="Times New Roman" w:cs="Times New Roman"/>
                <w:b/>
                <w:color w:val="auto"/>
                <w:w w:val="95"/>
                <w:sz w:val="21"/>
              </w:rPr>
              <w:t>资源开发效率要求</w:t>
            </w:r>
          </w:p>
        </w:tc>
        <w:tc>
          <w:tcPr>
            <w:tcW w:w="11579" w:type="dxa"/>
            <w:gridSpan w:val="10"/>
            <w:tcBorders>
              <w:top w:val="single" w:color="auto" w:sz="4" w:space="0"/>
            </w:tcBorders>
            <w:vAlign w:val="center"/>
          </w:tcPr>
          <w:p w14:paraId="17D8AB1E">
            <w:pPr>
              <w:spacing w:line="240" w:lineRule="auto"/>
              <w:jc w:val="left"/>
              <w:rPr>
                <w:rFonts w:hint="default"/>
                <w:color w:val="auto"/>
                <w:spacing w:val="-2"/>
                <w:sz w:val="21"/>
              </w:rPr>
            </w:pPr>
            <w:r>
              <w:rPr>
                <w:rFonts w:hint="default"/>
                <w:color w:val="auto"/>
                <w:spacing w:val="-2"/>
                <w:sz w:val="21"/>
              </w:rPr>
              <w:t>（4.1）能源：积极推进新能源的高效开发和利用，优化能源产业结构，提高能源开发利用效率，形成多元化能源供给体系。</w:t>
            </w:r>
          </w:p>
          <w:p w14:paraId="748962A6">
            <w:pPr>
              <w:spacing w:line="240" w:lineRule="auto"/>
              <w:jc w:val="left"/>
              <w:rPr>
                <w:rFonts w:hint="default"/>
                <w:color w:val="auto"/>
                <w:spacing w:val="-2"/>
                <w:sz w:val="21"/>
              </w:rPr>
            </w:pPr>
            <w:r>
              <w:rPr>
                <w:rFonts w:hint="default"/>
                <w:color w:val="auto"/>
                <w:spacing w:val="-2"/>
                <w:sz w:val="21"/>
              </w:rPr>
              <w:t>（4.2）水资源：落实水资源消耗总量和强度双控行动，到2025年，全县用水总量9090立方米，万元地区生产总量用水量比2020年下降24.83%，万元地区工业增加值用水量比2020年下降7.60%。</w:t>
            </w:r>
          </w:p>
          <w:p w14:paraId="1A480B2A">
            <w:pPr>
              <w:spacing w:line="240" w:lineRule="auto"/>
              <w:jc w:val="left"/>
              <w:rPr>
                <w:rFonts w:hint="default" w:ascii="Times New Roman" w:hAnsi="Times New Roman" w:cs="Times New Roman"/>
                <w:color w:val="auto"/>
                <w:spacing w:val="-2"/>
                <w:sz w:val="21"/>
              </w:rPr>
            </w:pPr>
            <w:r>
              <w:rPr>
                <w:rFonts w:hint="default"/>
                <w:color w:val="auto"/>
                <w:spacing w:val="-2"/>
                <w:sz w:val="21"/>
              </w:rPr>
              <w:t>（4.3）土地资源：推进工业用地弹性管理制度，建立健全土地征用、收回、回购等土地储备制度，盘活存量土地，建立低效利用土地市场退出机制。</w:t>
            </w:r>
          </w:p>
        </w:tc>
        <w:tc>
          <w:tcPr>
            <w:tcW w:w="304" w:type="dxa"/>
            <w:vMerge w:val="continue"/>
            <w:vAlign w:val="center"/>
          </w:tcPr>
          <w:p w14:paraId="38EBA3F5">
            <w:pPr>
              <w:spacing w:line="240" w:lineRule="auto"/>
              <w:jc w:val="center"/>
              <w:rPr>
                <w:rFonts w:hint="default" w:ascii="Times New Roman" w:hAnsi="Times New Roman" w:cs="Times New Roman"/>
                <w:color w:val="FF0000"/>
                <w:sz w:val="2"/>
                <w:szCs w:val="2"/>
              </w:rPr>
            </w:pPr>
          </w:p>
        </w:tc>
      </w:tr>
    </w:tbl>
    <w:p w14:paraId="2E9B9FBD">
      <w:pPr>
        <w:pStyle w:val="89"/>
        <w:rPr>
          <w:color w:val="FF0000"/>
        </w:rPr>
      </w:pPr>
    </w:p>
    <w:p w14:paraId="23D67329">
      <w:pPr>
        <w:pStyle w:val="89"/>
        <w:rPr>
          <w:color w:val="FF0000"/>
        </w:rPr>
      </w:pPr>
    </w:p>
    <w:p w14:paraId="7237C093">
      <w:pPr>
        <w:pStyle w:val="89"/>
        <w:rPr>
          <w:color w:val="FF0000"/>
        </w:rPr>
        <w:sectPr>
          <w:footerReference r:id="rId8" w:type="default"/>
          <w:pgSz w:w="16838" w:h="11906" w:orient="landscape"/>
          <w:pgMar w:top="1531" w:right="1701" w:bottom="1531" w:left="1701" w:header="851" w:footer="1077" w:gutter="0"/>
          <w:pgBorders>
            <w:top w:val="none" w:sz="0" w:space="0"/>
            <w:left w:val="none" w:sz="0" w:space="0"/>
            <w:bottom w:val="none" w:sz="0" w:space="0"/>
            <w:right w:val="none" w:sz="0" w:space="0"/>
          </w:pgBorders>
          <w:cols w:space="720" w:num="1"/>
          <w:docGrid w:linePitch="312" w:charSpace="0"/>
        </w:sectPr>
      </w:pPr>
    </w:p>
    <w:p w14:paraId="6A9B4D67">
      <w:pPr>
        <w:pStyle w:val="89"/>
        <w:rPr>
          <w:color w:val="auto"/>
        </w:rPr>
      </w:pPr>
      <w:r>
        <w:rPr>
          <w:color w:val="auto"/>
        </w:rPr>
        <w:t>表1</w:t>
      </w:r>
      <w:r>
        <w:rPr>
          <w:rFonts w:hint="eastAsia"/>
          <w:color w:val="auto"/>
        </w:rPr>
        <w:t>.</w:t>
      </w:r>
      <w:r>
        <w:rPr>
          <w:rFonts w:hint="eastAsia"/>
          <w:color w:val="auto"/>
          <w:lang w:val="en-US" w:eastAsia="zh-CN"/>
        </w:rPr>
        <w:t>3-3</w:t>
      </w:r>
      <w:r>
        <w:rPr>
          <w:rFonts w:hint="eastAsia"/>
          <w:color w:val="auto"/>
          <w:lang w:eastAsia="zh-CN"/>
        </w:rPr>
        <w:t>怀化市</w:t>
      </w:r>
      <w:r>
        <w:rPr>
          <w:color w:val="auto"/>
        </w:rPr>
        <w:t>其他环境管控单元（省级及以上产业园区除外）生态环境准入清单</w:t>
      </w:r>
    </w:p>
    <w:tbl>
      <w:tblPr>
        <w:tblStyle w:val="26"/>
        <w:tblW w:w="1351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30"/>
        <w:gridCol w:w="619"/>
        <w:gridCol w:w="624"/>
        <w:gridCol w:w="624"/>
        <w:gridCol w:w="654"/>
        <w:gridCol w:w="860"/>
        <w:gridCol w:w="897"/>
        <w:gridCol w:w="843"/>
        <w:gridCol w:w="1154"/>
        <w:gridCol w:w="2676"/>
        <w:gridCol w:w="2628"/>
        <w:gridCol w:w="304"/>
      </w:tblGrid>
      <w:tr w14:paraId="5F0172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630" w:type="dxa"/>
            <w:vMerge w:val="restart"/>
            <w:vAlign w:val="center"/>
          </w:tcPr>
          <w:p w14:paraId="4C8C9883">
            <w:pPr>
              <w:pStyle w:val="90"/>
              <w:spacing w:before="26" w:line="240" w:lineRule="auto"/>
              <w:jc w:val="center"/>
              <w:rPr>
                <w:rFonts w:hint="default" w:ascii="Times New Roman" w:hAnsi="Times New Roman" w:cs="Times New Roman"/>
                <w:b/>
                <w:color w:val="auto"/>
                <w:spacing w:val="-10"/>
                <w:w w:val="95"/>
                <w:sz w:val="21"/>
              </w:rPr>
            </w:pPr>
            <w:r>
              <w:rPr>
                <w:rFonts w:hint="default" w:ascii="Times New Roman" w:hAnsi="Times New Roman" w:cs="Times New Roman"/>
                <w:b/>
                <w:color w:val="auto"/>
                <w:spacing w:val="-10"/>
                <w:w w:val="95"/>
                <w:sz w:val="21"/>
              </w:rPr>
              <w:t>环境管控单元编码</w:t>
            </w:r>
          </w:p>
        </w:tc>
        <w:tc>
          <w:tcPr>
            <w:tcW w:w="619" w:type="dxa"/>
            <w:vMerge w:val="restart"/>
            <w:vAlign w:val="center"/>
          </w:tcPr>
          <w:p w14:paraId="4E951DDF">
            <w:pPr>
              <w:pStyle w:val="90"/>
              <w:spacing w:before="26" w:line="240" w:lineRule="auto"/>
              <w:jc w:val="center"/>
              <w:rPr>
                <w:rFonts w:hint="default" w:ascii="Times New Roman" w:hAnsi="Times New Roman" w:cs="Times New Roman"/>
                <w:b/>
                <w:color w:val="auto"/>
                <w:spacing w:val="-10"/>
                <w:w w:val="95"/>
                <w:sz w:val="21"/>
              </w:rPr>
            </w:pPr>
            <w:r>
              <w:rPr>
                <w:rFonts w:hint="default" w:ascii="Times New Roman" w:hAnsi="Times New Roman" w:cs="Times New Roman"/>
                <w:b/>
                <w:color w:val="auto"/>
                <w:spacing w:val="-10"/>
                <w:w w:val="95"/>
                <w:sz w:val="21"/>
              </w:rPr>
              <w:t>单元名</w:t>
            </w:r>
          </w:p>
          <w:p w14:paraId="1D8556CF">
            <w:pPr>
              <w:pStyle w:val="90"/>
              <w:spacing w:before="26" w:line="240" w:lineRule="auto"/>
              <w:jc w:val="center"/>
              <w:rPr>
                <w:rFonts w:hint="default" w:ascii="Times New Roman" w:hAnsi="Times New Roman" w:cs="Times New Roman"/>
                <w:b/>
                <w:color w:val="auto"/>
                <w:spacing w:val="-10"/>
                <w:w w:val="95"/>
                <w:sz w:val="21"/>
              </w:rPr>
            </w:pPr>
            <w:r>
              <w:rPr>
                <w:rFonts w:hint="default" w:ascii="Times New Roman" w:hAnsi="Times New Roman" w:cs="Times New Roman"/>
                <w:b/>
                <w:color w:val="auto"/>
                <w:spacing w:val="-10"/>
                <w:w w:val="95"/>
                <w:sz w:val="21"/>
              </w:rPr>
              <w:t>称</w:t>
            </w:r>
          </w:p>
        </w:tc>
        <w:tc>
          <w:tcPr>
            <w:tcW w:w="1902" w:type="dxa"/>
            <w:gridSpan w:val="3"/>
            <w:vAlign w:val="center"/>
          </w:tcPr>
          <w:p w14:paraId="43EF9256">
            <w:pPr>
              <w:pStyle w:val="90"/>
              <w:spacing w:before="26" w:line="240" w:lineRule="auto"/>
              <w:jc w:val="center"/>
              <w:rPr>
                <w:rFonts w:hint="default" w:ascii="Times New Roman" w:hAnsi="Times New Roman" w:cs="Times New Roman"/>
                <w:b/>
                <w:color w:val="auto"/>
                <w:spacing w:val="-10"/>
                <w:w w:val="95"/>
                <w:sz w:val="21"/>
              </w:rPr>
            </w:pPr>
            <w:r>
              <w:rPr>
                <w:rFonts w:hint="default" w:ascii="Times New Roman" w:hAnsi="Times New Roman" w:cs="Times New Roman"/>
                <w:b/>
                <w:color w:val="auto"/>
                <w:spacing w:val="-10"/>
                <w:w w:val="95"/>
                <w:sz w:val="21"/>
              </w:rPr>
              <w:t>行政区划</w:t>
            </w:r>
          </w:p>
        </w:tc>
        <w:tc>
          <w:tcPr>
            <w:tcW w:w="860" w:type="dxa"/>
            <w:vMerge w:val="restart"/>
            <w:vAlign w:val="center"/>
          </w:tcPr>
          <w:p w14:paraId="16E74D16">
            <w:pPr>
              <w:pStyle w:val="90"/>
              <w:spacing w:before="26" w:line="240" w:lineRule="auto"/>
              <w:jc w:val="center"/>
              <w:rPr>
                <w:rFonts w:hint="default" w:ascii="Times New Roman" w:hAnsi="Times New Roman" w:cs="Times New Roman"/>
                <w:b/>
                <w:color w:val="auto"/>
                <w:spacing w:val="-10"/>
                <w:w w:val="95"/>
                <w:sz w:val="21"/>
              </w:rPr>
            </w:pPr>
            <w:r>
              <w:rPr>
                <w:rFonts w:hint="default" w:ascii="Times New Roman" w:hAnsi="Times New Roman" w:cs="Times New Roman"/>
                <w:b/>
                <w:color w:val="auto"/>
                <w:spacing w:val="-10"/>
                <w:w w:val="95"/>
                <w:sz w:val="21"/>
              </w:rPr>
              <w:t>单元</w:t>
            </w:r>
          </w:p>
          <w:p w14:paraId="75821144">
            <w:pPr>
              <w:pStyle w:val="90"/>
              <w:spacing w:before="26" w:line="240" w:lineRule="auto"/>
              <w:jc w:val="center"/>
              <w:rPr>
                <w:rFonts w:hint="default" w:ascii="Times New Roman" w:hAnsi="Times New Roman" w:cs="Times New Roman"/>
                <w:b/>
                <w:color w:val="auto"/>
                <w:spacing w:val="-10"/>
                <w:w w:val="95"/>
                <w:sz w:val="21"/>
              </w:rPr>
            </w:pPr>
            <w:r>
              <w:rPr>
                <w:rFonts w:hint="default" w:ascii="Times New Roman" w:hAnsi="Times New Roman" w:cs="Times New Roman"/>
                <w:b/>
                <w:color w:val="auto"/>
                <w:spacing w:val="-10"/>
                <w:w w:val="95"/>
                <w:sz w:val="21"/>
              </w:rPr>
              <w:t>分类</w:t>
            </w:r>
          </w:p>
        </w:tc>
        <w:tc>
          <w:tcPr>
            <w:tcW w:w="897" w:type="dxa"/>
            <w:vMerge w:val="restart"/>
            <w:vAlign w:val="center"/>
          </w:tcPr>
          <w:p w14:paraId="75D40F5D">
            <w:pPr>
              <w:pStyle w:val="90"/>
              <w:spacing w:before="26" w:line="240" w:lineRule="auto"/>
              <w:jc w:val="center"/>
              <w:rPr>
                <w:rFonts w:hint="default" w:ascii="Times New Roman" w:hAnsi="Times New Roman" w:cs="Times New Roman"/>
                <w:b/>
                <w:color w:val="auto"/>
                <w:spacing w:val="-10"/>
                <w:w w:val="95"/>
                <w:sz w:val="21"/>
              </w:rPr>
            </w:pPr>
            <w:r>
              <w:rPr>
                <w:rFonts w:hint="default" w:ascii="Times New Roman" w:hAnsi="Times New Roman" w:cs="Times New Roman"/>
                <w:b/>
                <w:color w:val="auto"/>
                <w:spacing w:val="-10"/>
                <w:w w:val="95"/>
                <w:sz w:val="21"/>
              </w:rPr>
              <w:t>单元面积</w:t>
            </w:r>
          </w:p>
          <w:p w14:paraId="4E41EFF1">
            <w:pPr>
              <w:pStyle w:val="90"/>
              <w:spacing w:before="26" w:line="240" w:lineRule="auto"/>
              <w:jc w:val="center"/>
              <w:rPr>
                <w:rFonts w:hint="default" w:ascii="Times New Roman" w:hAnsi="Times New Roman" w:cs="Times New Roman"/>
                <w:b/>
                <w:color w:val="auto"/>
                <w:spacing w:val="-10"/>
                <w:w w:val="95"/>
                <w:sz w:val="21"/>
              </w:rPr>
            </w:pPr>
            <w:r>
              <w:rPr>
                <w:rFonts w:hint="default" w:ascii="Times New Roman" w:hAnsi="Times New Roman" w:cs="Times New Roman"/>
                <w:b/>
                <w:color w:val="auto"/>
                <w:spacing w:val="-10"/>
                <w:w w:val="95"/>
                <w:sz w:val="21"/>
              </w:rPr>
              <w:t>(km</w:t>
            </w:r>
            <w:r>
              <w:rPr>
                <w:rFonts w:hint="default" w:ascii="Times New Roman" w:hAnsi="Times New Roman" w:cs="Times New Roman"/>
                <w:b/>
                <w:color w:val="auto"/>
                <w:spacing w:val="-10"/>
                <w:w w:val="95"/>
                <w:sz w:val="21"/>
                <w:vertAlign w:val="superscript"/>
              </w:rPr>
              <w:t>2</w:t>
            </w:r>
            <w:r>
              <w:rPr>
                <w:rFonts w:hint="default" w:ascii="Times New Roman" w:hAnsi="Times New Roman" w:cs="Times New Roman"/>
                <w:b/>
                <w:color w:val="auto"/>
                <w:spacing w:val="-10"/>
                <w:w w:val="95"/>
                <w:sz w:val="21"/>
              </w:rPr>
              <w:t>)</w:t>
            </w:r>
          </w:p>
        </w:tc>
        <w:tc>
          <w:tcPr>
            <w:tcW w:w="843" w:type="dxa"/>
            <w:vMerge w:val="restart"/>
            <w:vAlign w:val="center"/>
          </w:tcPr>
          <w:p w14:paraId="372C18E3">
            <w:pPr>
              <w:pStyle w:val="90"/>
              <w:spacing w:before="26" w:line="240" w:lineRule="auto"/>
              <w:jc w:val="center"/>
              <w:rPr>
                <w:rFonts w:hint="default" w:ascii="Times New Roman" w:hAnsi="Times New Roman" w:cs="Times New Roman"/>
                <w:b/>
                <w:color w:val="auto"/>
                <w:spacing w:val="-10"/>
                <w:w w:val="95"/>
                <w:sz w:val="21"/>
              </w:rPr>
            </w:pPr>
            <w:r>
              <w:rPr>
                <w:rFonts w:hint="default" w:ascii="Times New Roman" w:hAnsi="Times New Roman" w:cs="Times New Roman"/>
                <w:b/>
                <w:color w:val="auto"/>
                <w:spacing w:val="-10"/>
                <w:w w:val="95"/>
                <w:sz w:val="21"/>
              </w:rPr>
              <w:t>涉及乡镇</w:t>
            </w:r>
          </w:p>
          <w:p w14:paraId="7215D5D0">
            <w:pPr>
              <w:pStyle w:val="90"/>
              <w:spacing w:before="26" w:line="240" w:lineRule="auto"/>
              <w:jc w:val="center"/>
              <w:rPr>
                <w:rFonts w:hint="default" w:ascii="Times New Roman" w:hAnsi="Times New Roman" w:cs="Times New Roman"/>
                <w:b/>
                <w:color w:val="auto"/>
                <w:spacing w:val="-10"/>
                <w:w w:val="95"/>
                <w:sz w:val="21"/>
              </w:rPr>
            </w:pPr>
            <w:r>
              <w:rPr>
                <w:rFonts w:hint="default" w:ascii="Times New Roman" w:hAnsi="Times New Roman" w:cs="Times New Roman"/>
                <w:b/>
                <w:color w:val="auto"/>
                <w:spacing w:val="-10"/>
                <w:w w:val="95"/>
                <w:sz w:val="21"/>
              </w:rPr>
              <w:t>(街道)</w:t>
            </w:r>
          </w:p>
        </w:tc>
        <w:tc>
          <w:tcPr>
            <w:tcW w:w="1154" w:type="dxa"/>
            <w:vMerge w:val="restart"/>
            <w:vAlign w:val="center"/>
          </w:tcPr>
          <w:p w14:paraId="2BD797A5">
            <w:pPr>
              <w:pStyle w:val="90"/>
              <w:spacing w:before="26" w:line="240" w:lineRule="auto"/>
              <w:jc w:val="center"/>
              <w:rPr>
                <w:rFonts w:hint="default" w:ascii="Times New Roman" w:hAnsi="Times New Roman" w:cs="Times New Roman"/>
                <w:b/>
                <w:color w:val="auto"/>
                <w:spacing w:val="-10"/>
                <w:w w:val="95"/>
                <w:sz w:val="21"/>
              </w:rPr>
            </w:pPr>
            <w:r>
              <w:rPr>
                <w:rFonts w:hint="default" w:ascii="Times New Roman" w:hAnsi="Times New Roman" w:cs="Times New Roman"/>
                <w:b/>
                <w:color w:val="auto"/>
                <w:spacing w:val="-10"/>
                <w:w w:val="95"/>
                <w:sz w:val="21"/>
              </w:rPr>
              <w:t>主体功能定位</w:t>
            </w:r>
          </w:p>
        </w:tc>
        <w:tc>
          <w:tcPr>
            <w:tcW w:w="2676" w:type="dxa"/>
            <w:vMerge w:val="restart"/>
            <w:vAlign w:val="center"/>
          </w:tcPr>
          <w:p w14:paraId="41A747C9">
            <w:pPr>
              <w:pStyle w:val="90"/>
              <w:spacing w:before="26" w:line="240" w:lineRule="auto"/>
              <w:jc w:val="center"/>
              <w:rPr>
                <w:rFonts w:hint="default" w:ascii="Times New Roman" w:hAnsi="Times New Roman" w:cs="Times New Roman"/>
                <w:b/>
                <w:color w:val="auto"/>
                <w:spacing w:val="-10"/>
                <w:w w:val="95"/>
                <w:sz w:val="21"/>
              </w:rPr>
            </w:pPr>
            <w:r>
              <w:rPr>
                <w:rFonts w:hint="default" w:ascii="Times New Roman" w:hAnsi="Times New Roman" w:cs="Times New Roman"/>
                <w:b/>
                <w:color w:val="auto"/>
                <w:spacing w:val="-10"/>
                <w:w w:val="95"/>
                <w:sz w:val="21"/>
              </w:rPr>
              <w:t>经济产业布局</w:t>
            </w:r>
          </w:p>
        </w:tc>
        <w:tc>
          <w:tcPr>
            <w:tcW w:w="2628" w:type="dxa"/>
            <w:vMerge w:val="restart"/>
            <w:vAlign w:val="center"/>
          </w:tcPr>
          <w:p w14:paraId="180CA43A">
            <w:pPr>
              <w:pStyle w:val="90"/>
              <w:spacing w:before="26" w:line="240" w:lineRule="auto"/>
              <w:jc w:val="center"/>
              <w:rPr>
                <w:rFonts w:hint="default" w:ascii="Times New Roman" w:hAnsi="Times New Roman" w:cs="Times New Roman"/>
                <w:b/>
                <w:color w:val="auto"/>
                <w:spacing w:val="-10"/>
                <w:w w:val="95"/>
                <w:sz w:val="21"/>
              </w:rPr>
            </w:pPr>
            <w:r>
              <w:rPr>
                <w:rFonts w:hint="default" w:ascii="Times New Roman" w:hAnsi="Times New Roman" w:cs="Times New Roman"/>
                <w:b/>
                <w:color w:val="auto"/>
                <w:spacing w:val="-10"/>
                <w:w w:val="95"/>
                <w:sz w:val="21"/>
              </w:rPr>
              <w:t>主要环境问题</w:t>
            </w:r>
          </w:p>
        </w:tc>
        <w:tc>
          <w:tcPr>
            <w:tcW w:w="304" w:type="dxa"/>
            <w:vMerge w:val="restart"/>
            <w:vAlign w:val="center"/>
          </w:tcPr>
          <w:p w14:paraId="79E846E3">
            <w:pPr>
              <w:topLinePunct/>
              <w:adjustRightInd w:val="0"/>
              <w:snapToGrid w:val="0"/>
              <w:spacing w:line="240" w:lineRule="auto"/>
              <w:jc w:val="center"/>
              <w:rPr>
                <w:rFonts w:hint="default" w:ascii="Times New Roman" w:hAnsi="Times New Roman" w:cs="Times New Roman"/>
                <w:b/>
                <w:color w:val="auto"/>
                <w:spacing w:val="-10"/>
                <w:w w:val="95"/>
                <w:sz w:val="21"/>
              </w:rPr>
            </w:pPr>
            <w:r>
              <w:rPr>
                <w:b/>
                <w:bCs/>
                <w:color w:val="auto"/>
                <w:sz w:val="21"/>
                <w:szCs w:val="21"/>
              </w:rPr>
              <w:t>符合性</w:t>
            </w:r>
          </w:p>
        </w:tc>
      </w:tr>
      <w:tr w14:paraId="4390A1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630" w:type="dxa"/>
            <w:vMerge w:val="continue"/>
            <w:tcBorders>
              <w:top w:val="nil"/>
            </w:tcBorders>
            <w:vAlign w:val="center"/>
          </w:tcPr>
          <w:p w14:paraId="5FDF5CCF">
            <w:pPr>
              <w:spacing w:line="240" w:lineRule="auto"/>
              <w:jc w:val="center"/>
              <w:rPr>
                <w:rFonts w:hint="default" w:ascii="Times New Roman" w:hAnsi="Times New Roman" w:cs="Times New Roman"/>
                <w:color w:val="auto"/>
                <w:sz w:val="2"/>
                <w:szCs w:val="2"/>
              </w:rPr>
            </w:pPr>
          </w:p>
        </w:tc>
        <w:tc>
          <w:tcPr>
            <w:tcW w:w="619" w:type="dxa"/>
            <w:vMerge w:val="continue"/>
            <w:tcBorders>
              <w:top w:val="nil"/>
            </w:tcBorders>
            <w:vAlign w:val="center"/>
          </w:tcPr>
          <w:p w14:paraId="18DA6F3C">
            <w:pPr>
              <w:spacing w:line="240" w:lineRule="auto"/>
              <w:jc w:val="center"/>
              <w:rPr>
                <w:rFonts w:hint="default" w:ascii="Times New Roman" w:hAnsi="Times New Roman" w:cs="Times New Roman"/>
                <w:color w:val="auto"/>
                <w:sz w:val="2"/>
                <w:szCs w:val="2"/>
              </w:rPr>
            </w:pPr>
          </w:p>
        </w:tc>
        <w:tc>
          <w:tcPr>
            <w:tcW w:w="624" w:type="dxa"/>
            <w:vAlign w:val="center"/>
          </w:tcPr>
          <w:p w14:paraId="276400BC">
            <w:pPr>
              <w:pStyle w:val="90"/>
              <w:spacing w:before="26" w:line="240" w:lineRule="auto"/>
              <w:jc w:val="center"/>
              <w:rPr>
                <w:rFonts w:hint="default" w:ascii="Times New Roman" w:hAnsi="Times New Roman" w:cs="Times New Roman"/>
                <w:b/>
                <w:color w:val="auto"/>
                <w:spacing w:val="-10"/>
                <w:w w:val="95"/>
                <w:sz w:val="21"/>
              </w:rPr>
            </w:pPr>
            <w:r>
              <w:rPr>
                <w:rFonts w:hint="default" w:ascii="Times New Roman" w:hAnsi="Times New Roman" w:cs="Times New Roman"/>
                <w:b/>
                <w:color w:val="auto"/>
                <w:spacing w:val="-10"/>
                <w:w w:val="95"/>
                <w:sz w:val="21"/>
              </w:rPr>
              <w:t>省</w:t>
            </w:r>
          </w:p>
        </w:tc>
        <w:tc>
          <w:tcPr>
            <w:tcW w:w="624" w:type="dxa"/>
            <w:vAlign w:val="center"/>
          </w:tcPr>
          <w:p w14:paraId="2181B24B">
            <w:pPr>
              <w:pStyle w:val="90"/>
              <w:spacing w:before="26" w:line="240" w:lineRule="auto"/>
              <w:jc w:val="center"/>
              <w:rPr>
                <w:rFonts w:hint="default" w:ascii="Times New Roman" w:hAnsi="Times New Roman" w:cs="Times New Roman"/>
                <w:b/>
                <w:color w:val="auto"/>
                <w:spacing w:val="-10"/>
                <w:w w:val="95"/>
                <w:sz w:val="21"/>
              </w:rPr>
            </w:pPr>
            <w:r>
              <w:rPr>
                <w:rFonts w:hint="default" w:ascii="Times New Roman" w:hAnsi="Times New Roman" w:cs="Times New Roman"/>
                <w:b/>
                <w:color w:val="auto"/>
                <w:spacing w:val="-10"/>
                <w:w w:val="95"/>
                <w:sz w:val="21"/>
              </w:rPr>
              <w:t>市</w:t>
            </w:r>
          </w:p>
        </w:tc>
        <w:tc>
          <w:tcPr>
            <w:tcW w:w="654" w:type="dxa"/>
            <w:vAlign w:val="center"/>
          </w:tcPr>
          <w:p w14:paraId="5D4C76E3">
            <w:pPr>
              <w:pStyle w:val="90"/>
              <w:spacing w:before="26" w:line="240" w:lineRule="auto"/>
              <w:jc w:val="center"/>
              <w:rPr>
                <w:rFonts w:hint="default" w:ascii="Times New Roman" w:hAnsi="Times New Roman" w:cs="Times New Roman"/>
                <w:b/>
                <w:color w:val="auto"/>
                <w:spacing w:val="-10"/>
                <w:w w:val="95"/>
                <w:sz w:val="21"/>
              </w:rPr>
            </w:pPr>
            <w:r>
              <w:rPr>
                <w:rFonts w:hint="default" w:ascii="Times New Roman" w:hAnsi="Times New Roman" w:cs="Times New Roman"/>
                <w:b/>
                <w:color w:val="auto"/>
                <w:spacing w:val="-10"/>
                <w:w w:val="95"/>
                <w:sz w:val="21"/>
              </w:rPr>
              <w:t>县</w:t>
            </w:r>
          </w:p>
        </w:tc>
        <w:tc>
          <w:tcPr>
            <w:tcW w:w="860" w:type="dxa"/>
            <w:vMerge w:val="continue"/>
            <w:tcBorders>
              <w:top w:val="nil"/>
            </w:tcBorders>
            <w:vAlign w:val="center"/>
          </w:tcPr>
          <w:p w14:paraId="6E92F1B9">
            <w:pPr>
              <w:spacing w:line="240" w:lineRule="auto"/>
              <w:jc w:val="center"/>
              <w:rPr>
                <w:rFonts w:hint="default" w:ascii="Times New Roman" w:hAnsi="Times New Roman" w:cs="Times New Roman"/>
                <w:color w:val="auto"/>
                <w:sz w:val="2"/>
                <w:szCs w:val="2"/>
              </w:rPr>
            </w:pPr>
          </w:p>
        </w:tc>
        <w:tc>
          <w:tcPr>
            <w:tcW w:w="897" w:type="dxa"/>
            <w:vMerge w:val="continue"/>
            <w:tcBorders>
              <w:top w:val="nil"/>
            </w:tcBorders>
            <w:vAlign w:val="center"/>
          </w:tcPr>
          <w:p w14:paraId="4434ECB6">
            <w:pPr>
              <w:spacing w:line="240" w:lineRule="auto"/>
              <w:jc w:val="center"/>
              <w:rPr>
                <w:rFonts w:hint="default" w:ascii="Times New Roman" w:hAnsi="Times New Roman" w:cs="Times New Roman"/>
                <w:color w:val="auto"/>
                <w:sz w:val="2"/>
                <w:szCs w:val="2"/>
              </w:rPr>
            </w:pPr>
          </w:p>
        </w:tc>
        <w:tc>
          <w:tcPr>
            <w:tcW w:w="843" w:type="dxa"/>
            <w:vMerge w:val="continue"/>
            <w:tcBorders>
              <w:top w:val="nil"/>
            </w:tcBorders>
            <w:vAlign w:val="center"/>
          </w:tcPr>
          <w:p w14:paraId="5209D455">
            <w:pPr>
              <w:spacing w:line="240" w:lineRule="auto"/>
              <w:jc w:val="center"/>
              <w:rPr>
                <w:rFonts w:hint="default" w:ascii="Times New Roman" w:hAnsi="Times New Roman" w:cs="Times New Roman"/>
                <w:color w:val="auto"/>
                <w:sz w:val="2"/>
                <w:szCs w:val="2"/>
              </w:rPr>
            </w:pPr>
          </w:p>
        </w:tc>
        <w:tc>
          <w:tcPr>
            <w:tcW w:w="1154" w:type="dxa"/>
            <w:vMerge w:val="continue"/>
            <w:tcBorders>
              <w:top w:val="nil"/>
            </w:tcBorders>
            <w:vAlign w:val="center"/>
          </w:tcPr>
          <w:p w14:paraId="41AD70DF">
            <w:pPr>
              <w:spacing w:line="240" w:lineRule="auto"/>
              <w:jc w:val="center"/>
              <w:rPr>
                <w:rFonts w:hint="default" w:ascii="Times New Roman" w:hAnsi="Times New Roman" w:cs="Times New Roman"/>
                <w:color w:val="auto"/>
                <w:sz w:val="2"/>
                <w:szCs w:val="2"/>
              </w:rPr>
            </w:pPr>
          </w:p>
        </w:tc>
        <w:tc>
          <w:tcPr>
            <w:tcW w:w="2676" w:type="dxa"/>
            <w:vMerge w:val="continue"/>
            <w:tcBorders>
              <w:top w:val="nil"/>
            </w:tcBorders>
            <w:vAlign w:val="center"/>
          </w:tcPr>
          <w:p w14:paraId="0199F618">
            <w:pPr>
              <w:spacing w:line="240" w:lineRule="auto"/>
              <w:jc w:val="center"/>
              <w:rPr>
                <w:rFonts w:hint="default" w:ascii="Times New Roman" w:hAnsi="Times New Roman" w:cs="Times New Roman"/>
                <w:color w:val="auto"/>
                <w:sz w:val="2"/>
                <w:szCs w:val="2"/>
              </w:rPr>
            </w:pPr>
          </w:p>
        </w:tc>
        <w:tc>
          <w:tcPr>
            <w:tcW w:w="2628" w:type="dxa"/>
            <w:vMerge w:val="continue"/>
            <w:tcBorders>
              <w:top w:val="nil"/>
            </w:tcBorders>
            <w:vAlign w:val="center"/>
          </w:tcPr>
          <w:p w14:paraId="0F864903">
            <w:pPr>
              <w:spacing w:line="240" w:lineRule="auto"/>
              <w:jc w:val="center"/>
              <w:rPr>
                <w:rFonts w:hint="default" w:ascii="Times New Roman" w:hAnsi="Times New Roman" w:cs="Times New Roman"/>
                <w:color w:val="auto"/>
                <w:sz w:val="2"/>
                <w:szCs w:val="2"/>
              </w:rPr>
            </w:pPr>
          </w:p>
        </w:tc>
        <w:tc>
          <w:tcPr>
            <w:tcW w:w="304" w:type="dxa"/>
            <w:vMerge w:val="continue"/>
            <w:vAlign w:val="center"/>
          </w:tcPr>
          <w:p w14:paraId="2222FE8C">
            <w:pPr>
              <w:spacing w:line="240" w:lineRule="auto"/>
              <w:jc w:val="center"/>
              <w:rPr>
                <w:rFonts w:hint="default" w:ascii="Times New Roman" w:hAnsi="Times New Roman" w:cs="Times New Roman"/>
                <w:color w:val="auto"/>
                <w:sz w:val="2"/>
                <w:szCs w:val="2"/>
              </w:rPr>
            </w:pPr>
          </w:p>
        </w:tc>
      </w:tr>
      <w:tr w14:paraId="31F9C3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630" w:type="dxa"/>
            <w:vAlign w:val="center"/>
          </w:tcPr>
          <w:p w14:paraId="15C76145">
            <w:pPr>
              <w:spacing w:line="240" w:lineRule="auto"/>
              <w:jc w:val="center"/>
              <w:rPr>
                <w:rFonts w:hint="default" w:ascii="Times New Roman" w:hAnsi="Times New Roman" w:cs="Times New Roman"/>
                <w:color w:val="auto"/>
                <w:spacing w:val="-2"/>
                <w:sz w:val="21"/>
                <w:lang w:val="en-US" w:eastAsia="en-US"/>
              </w:rPr>
            </w:pPr>
            <w:r>
              <w:rPr>
                <w:rFonts w:hint="eastAsia"/>
                <w:color w:val="auto"/>
                <w:spacing w:val="-2"/>
                <w:sz w:val="21"/>
              </w:rPr>
              <w:t>ZH43123030002</w:t>
            </w:r>
          </w:p>
        </w:tc>
        <w:tc>
          <w:tcPr>
            <w:tcW w:w="619" w:type="dxa"/>
            <w:vAlign w:val="center"/>
          </w:tcPr>
          <w:p w14:paraId="6E2C6609">
            <w:pPr>
              <w:spacing w:line="240" w:lineRule="auto"/>
              <w:jc w:val="center"/>
              <w:rPr>
                <w:rFonts w:hint="eastAsia" w:ascii="Times New Roman" w:hAnsi="Times New Roman" w:cs="Times New Roman"/>
                <w:color w:val="auto"/>
                <w:spacing w:val="-2"/>
                <w:sz w:val="21"/>
                <w:lang w:val="en-US" w:eastAsia="zh-CN"/>
              </w:rPr>
            </w:pPr>
            <w:r>
              <w:rPr>
                <w:rFonts w:hint="eastAsia"/>
                <w:color w:val="auto"/>
                <w:spacing w:val="-2"/>
                <w:sz w:val="21"/>
              </w:rPr>
              <w:t>陇城镇/坪坦乡/双江镇</w:t>
            </w:r>
          </w:p>
        </w:tc>
        <w:tc>
          <w:tcPr>
            <w:tcW w:w="624" w:type="dxa"/>
            <w:vAlign w:val="center"/>
          </w:tcPr>
          <w:p w14:paraId="07F28B07">
            <w:pPr>
              <w:spacing w:line="240" w:lineRule="auto"/>
              <w:jc w:val="center"/>
              <w:rPr>
                <w:rFonts w:hint="default" w:ascii="Times New Roman" w:hAnsi="Times New Roman" w:cs="Times New Roman"/>
                <w:color w:val="auto"/>
                <w:spacing w:val="-2"/>
                <w:sz w:val="21"/>
                <w:lang w:val="en-US" w:eastAsia="en-US"/>
              </w:rPr>
            </w:pPr>
            <w:r>
              <w:rPr>
                <w:rFonts w:hint="default" w:ascii="Times New Roman" w:hAnsi="Times New Roman" w:cs="Times New Roman"/>
                <w:color w:val="auto"/>
                <w:spacing w:val="-2"/>
                <w:sz w:val="21"/>
              </w:rPr>
              <w:t>湖南</w:t>
            </w:r>
          </w:p>
        </w:tc>
        <w:tc>
          <w:tcPr>
            <w:tcW w:w="624" w:type="dxa"/>
            <w:vAlign w:val="center"/>
          </w:tcPr>
          <w:p w14:paraId="296C378D">
            <w:pPr>
              <w:spacing w:line="240" w:lineRule="auto"/>
              <w:jc w:val="center"/>
              <w:rPr>
                <w:rFonts w:hint="eastAsia" w:ascii="Times New Roman" w:hAnsi="Times New Roman" w:cs="Times New Roman"/>
                <w:color w:val="auto"/>
                <w:spacing w:val="-2"/>
                <w:sz w:val="21"/>
                <w:lang w:val="en-US" w:eastAsia="zh-CN"/>
              </w:rPr>
            </w:pPr>
            <w:r>
              <w:rPr>
                <w:rFonts w:hint="default" w:ascii="Times New Roman" w:hAnsi="Times New Roman" w:cs="Times New Roman"/>
                <w:color w:val="auto"/>
                <w:spacing w:val="-2"/>
                <w:sz w:val="21"/>
              </w:rPr>
              <w:t>怀化</w:t>
            </w:r>
          </w:p>
        </w:tc>
        <w:tc>
          <w:tcPr>
            <w:tcW w:w="654" w:type="dxa"/>
            <w:vAlign w:val="center"/>
          </w:tcPr>
          <w:p w14:paraId="34FBB23B">
            <w:pPr>
              <w:spacing w:line="240" w:lineRule="auto"/>
              <w:jc w:val="center"/>
              <w:rPr>
                <w:rFonts w:hint="eastAsia" w:ascii="Times New Roman" w:hAnsi="Times New Roman" w:cs="Times New Roman"/>
                <w:color w:val="auto"/>
                <w:spacing w:val="-2"/>
                <w:sz w:val="21"/>
                <w:lang w:val="en-US" w:eastAsia="zh-CN"/>
              </w:rPr>
            </w:pPr>
            <w:r>
              <w:rPr>
                <w:rFonts w:hint="default" w:ascii="Times New Roman" w:hAnsi="Times New Roman" w:cs="Times New Roman"/>
                <w:color w:val="auto"/>
                <w:spacing w:val="-2"/>
                <w:sz w:val="21"/>
              </w:rPr>
              <w:t>通道侗族自治县</w:t>
            </w:r>
          </w:p>
        </w:tc>
        <w:tc>
          <w:tcPr>
            <w:tcW w:w="860" w:type="dxa"/>
            <w:vAlign w:val="center"/>
          </w:tcPr>
          <w:p w14:paraId="0EC74CE6">
            <w:pPr>
              <w:spacing w:line="240" w:lineRule="auto"/>
              <w:jc w:val="center"/>
              <w:rPr>
                <w:rFonts w:hint="default" w:ascii="Times New Roman" w:hAnsi="Times New Roman" w:cs="Times New Roman"/>
                <w:color w:val="auto"/>
                <w:spacing w:val="-2"/>
                <w:sz w:val="21"/>
                <w:lang w:val="en-US" w:eastAsia="en-US"/>
              </w:rPr>
            </w:pPr>
            <w:r>
              <w:rPr>
                <w:rFonts w:hint="eastAsia" w:ascii="Times New Roman" w:hAnsi="Times New Roman" w:cs="Times New Roman"/>
                <w:color w:val="auto"/>
                <w:spacing w:val="-2"/>
                <w:sz w:val="21"/>
              </w:rPr>
              <w:t>一般</w:t>
            </w:r>
            <w:r>
              <w:rPr>
                <w:rFonts w:hint="default" w:ascii="Times New Roman" w:hAnsi="Times New Roman" w:cs="Times New Roman"/>
                <w:color w:val="auto"/>
                <w:spacing w:val="-2"/>
                <w:sz w:val="21"/>
              </w:rPr>
              <w:t>管控单元</w:t>
            </w:r>
          </w:p>
        </w:tc>
        <w:tc>
          <w:tcPr>
            <w:tcW w:w="897" w:type="dxa"/>
            <w:vAlign w:val="center"/>
          </w:tcPr>
          <w:p w14:paraId="1ED734A6">
            <w:pPr>
              <w:spacing w:line="240" w:lineRule="auto"/>
              <w:jc w:val="center"/>
              <w:rPr>
                <w:rFonts w:hint="default" w:ascii="Times New Roman" w:hAnsi="Times New Roman" w:eastAsia="宋体" w:cs="Times New Roman"/>
                <w:color w:val="auto"/>
                <w:spacing w:val="-2"/>
                <w:sz w:val="21"/>
                <w:lang w:val="en-US" w:eastAsia="zh-CN"/>
              </w:rPr>
            </w:pPr>
            <w:r>
              <w:rPr>
                <w:rFonts w:hint="eastAsia" w:cs="Times New Roman"/>
                <w:color w:val="auto"/>
                <w:spacing w:val="-2"/>
                <w:sz w:val="21"/>
                <w:lang w:val="en-US" w:eastAsia="zh-CN"/>
              </w:rPr>
              <w:t>469.87</w:t>
            </w:r>
          </w:p>
        </w:tc>
        <w:tc>
          <w:tcPr>
            <w:tcW w:w="843" w:type="dxa"/>
            <w:vAlign w:val="center"/>
          </w:tcPr>
          <w:p w14:paraId="12349EE2">
            <w:pPr>
              <w:spacing w:line="240" w:lineRule="auto"/>
              <w:jc w:val="center"/>
              <w:rPr>
                <w:rFonts w:hint="eastAsia" w:ascii="Times New Roman" w:hAnsi="Times New Roman" w:cs="Times New Roman"/>
                <w:color w:val="auto"/>
                <w:spacing w:val="-2"/>
                <w:sz w:val="21"/>
                <w:lang w:val="en-US" w:eastAsia="zh-CN"/>
              </w:rPr>
            </w:pPr>
            <w:r>
              <w:rPr>
                <w:rFonts w:hint="eastAsia"/>
                <w:color w:val="auto"/>
                <w:spacing w:val="-2"/>
                <w:sz w:val="21"/>
              </w:rPr>
              <w:t>陇城镇/坪坦乡/双江镇</w:t>
            </w:r>
          </w:p>
        </w:tc>
        <w:tc>
          <w:tcPr>
            <w:tcW w:w="1154" w:type="dxa"/>
            <w:vAlign w:val="center"/>
          </w:tcPr>
          <w:p w14:paraId="640A94E3">
            <w:pPr>
              <w:spacing w:line="240" w:lineRule="auto"/>
              <w:jc w:val="center"/>
              <w:rPr>
                <w:rFonts w:hint="default" w:ascii="Times New Roman" w:hAnsi="Times New Roman" w:cs="Times New Roman"/>
                <w:color w:val="auto"/>
                <w:spacing w:val="-2"/>
                <w:sz w:val="21"/>
                <w:lang w:val="en-US" w:eastAsia="en-US"/>
              </w:rPr>
            </w:pPr>
            <w:r>
              <w:rPr>
                <w:rFonts w:hint="eastAsia"/>
                <w:color w:val="auto"/>
                <w:spacing w:val="-2"/>
                <w:sz w:val="21"/>
                <w:lang w:eastAsia="zh-CN"/>
              </w:rPr>
              <w:t>一</w:t>
            </w:r>
            <w:r>
              <w:rPr>
                <w:rFonts w:hint="eastAsia"/>
                <w:color w:val="auto"/>
                <w:spacing w:val="-2"/>
                <w:sz w:val="21"/>
                <w:lang w:val="en-US" w:eastAsia="zh-CN"/>
              </w:rPr>
              <w:t>般管控单元</w:t>
            </w:r>
          </w:p>
        </w:tc>
        <w:tc>
          <w:tcPr>
            <w:tcW w:w="2676" w:type="dxa"/>
            <w:vAlign w:val="center"/>
          </w:tcPr>
          <w:p w14:paraId="7E84A9B5">
            <w:pPr>
              <w:spacing w:line="240" w:lineRule="auto"/>
              <w:rPr>
                <w:rFonts w:hint="eastAsia"/>
                <w:sz w:val="22"/>
              </w:rPr>
            </w:pPr>
            <w:r>
              <w:rPr>
                <w:rFonts w:hint="eastAsia"/>
                <w:sz w:val="22"/>
              </w:rPr>
              <w:t>陇城镇、坪坦乡：旅游</w:t>
            </w:r>
          </w:p>
          <w:p w14:paraId="414DD4AE">
            <w:pPr>
              <w:spacing w:line="240" w:lineRule="auto"/>
              <w:rPr>
                <w:rFonts w:hint="default" w:ascii="Times New Roman" w:hAnsi="Times New Roman" w:eastAsia="宋体" w:cs="Times New Roman"/>
                <w:sz w:val="22"/>
                <w:lang w:val="en-US" w:eastAsia="en-US"/>
              </w:rPr>
            </w:pPr>
            <w:r>
              <w:rPr>
                <w:rFonts w:hint="eastAsia"/>
                <w:sz w:val="22"/>
              </w:rPr>
              <w:t>双江镇：农副食品加工业，木材加工和木、竹、藤、棕、草制品业、旅游</w:t>
            </w:r>
          </w:p>
        </w:tc>
        <w:tc>
          <w:tcPr>
            <w:tcW w:w="2628" w:type="dxa"/>
            <w:vAlign w:val="center"/>
          </w:tcPr>
          <w:p w14:paraId="5B78C49B">
            <w:pPr>
              <w:spacing w:line="240" w:lineRule="auto"/>
              <w:rPr>
                <w:rFonts w:hint="eastAsia"/>
                <w:sz w:val="22"/>
              </w:rPr>
            </w:pPr>
            <w:r>
              <w:rPr>
                <w:rFonts w:hint="eastAsia"/>
                <w:sz w:val="22"/>
              </w:rPr>
              <w:t>陇城镇、坪坦乡：涉及万佛山—侗寨风景名胜区。</w:t>
            </w:r>
          </w:p>
          <w:p w14:paraId="3C8B8BEB">
            <w:pPr>
              <w:spacing w:line="240" w:lineRule="auto"/>
              <w:rPr>
                <w:rFonts w:hint="eastAsia" w:ascii="Times New Roman" w:hAnsi="Times New Roman" w:eastAsia="宋体" w:cs="Times New Roman"/>
                <w:sz w:val="22"/>
                <w:lang w:val="en-US" w:eastAsia="zh-CN"/>
              </w:rPr>
            </w:pPr>
            <w:r>
              <w:rPr>
                <w:rFonts w:hint="eastAsia"/>
                <w:sz w:val="22"/>
              </w:rPr>
              <w:t>双江镇：涉及怀化市通道县平坦河饮用水水源保护区。</w:t>
            </w:r>
          </w:p>
        </w:tc>
        <w:tc>
          <w:tcPr>
            <w:tcW w:w="304" w:type="dxa"/>
            <w:vAlign w:val="center"/>
          </w:tcPr>
          <w:p w14:paraId="08BE9063">
            <w:pPr>
              <w:topLinePunct/>
              <w:adjustRightInd w:val="0"/>
              <w:snapToGrid w:val="0"/>
              <w:spacing w:line="240" w:lineRule="auto"/>
              <w:jc w:val="center"/>
              <w:rPr>
                <w:rFonts w:hint="default" w:ascii="Times New Roman" w:hAnsi="Times New Roman" w:cs="Times New Roman"/>
                <w:color w:val="auto"/>
                <w:spacing w:val="-2"/>
                <w:sz w:val="21"/>
              </w:rPr>
            </w:pPr>
            <w:r>
              <w:rPr>
                <w:color w:val="auto"/>
                <w:sz w:val="21"/>
                <w:szCs w:val="21"/>
              </w:rPr>
              <w:t>符合</w:t>
            </w:r>
          </w:p>
        </w:tc>
      </w:tr>
      <w:tr w14:paraId="0E4F47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630" w:type="dxa"/>
            <w:vAlign w:val="center"/>
          </w:tcPr>
          <w:p w14:paraId="61EA3632">
            <w:pPr>
              <w:pStyle w:val="90"/>
              <w:spacing w:before="131" w:line="240" w:lineRule="auto"/>
              <w:jc w:val="center"/>
              <w:rPr>
                <w:rFonts w:hint="default" w:ascii="Times New Roman" w:hAnsi="Times New Roman" w:cs="Times New Roman"/>
                <w:b/>
                <w:color w:val="auto"/>
                <w:sz w:val="21"/>
              </w:rPr>
            </w:pPr>
            <w:r>
              <w:rPr>
                <w:rFonts w:hint="default" w:ascii="Times New Roman" w:hAnsi="Times New Roman" w:cs="Times New Roman"/>
                <w:b/>
                <w:color w:val="auto"/>
                <w:w w:val="95"/>
                <w:sz w:val="21"/>
              </w:rPr>
              <w:t>主要属</w:t>
            </w:r>
            <w:r>
              <w:rPr>
                <w:rFonts w:hint="default" w:ascii="Times New Roman" w:hAnsi="Times New Roman" w:cs="Times New Roman"/>
                <w:b/>
                <w:color w:val="auto"/>
                <w:spacing w:val="-10"/>
                <w:w w:val="95"/>
                <w:sz w:val="21"/>
              </w:rPr>
              <w:t>性</w:t>
            </w:r>
          </w:p>
        </w:tc>
        <w:tc>
          <w:tcPr>
            <w:tcW w:w="11579" w:type="dxa"/>
            <w:gridSpan w:val="10"/>
            <w:vAlign w:val="center"/>
          </w:tcPr>
          <w:p w14:paraId="6523947C">
            <w:pPr>
              <w:spacing w:line="240" w:lineRule="auto"/>
              <w:jc w:val="left"/>
              <w:rPr>
                <w:rFonts w:hint="default"/>
                <w:color w:val="auto"/>
                <w:spacing w:val="-2"/>
                <w:sz w:val="21"/>
              </w:rPr>
            </w:pPr>
            <w:r>
              <w:rPr>
                <w:rFonts w:hint="eastAsia" w:ascii="Times New Roman" w:hAnsi="Times New Roman" w:eastAsia="宋体" w:cs="Times New Roman"/>
                <w:color w:val="auto"/>
                <w:spacing w:val="-2"/>
                <w:sz w:val="21"/>
                <w:lang w:val="en-US" w:eastAsia="zh-CN"/>
              </w:rPr>
              <w:t>坪</w:t>
            </w:r>
            <w:r>
              <w:rPr>
                <w:rFonts w:hint="default"/>
                <w:color w:val="auto"/>
                <w:spacing w:val="-2"/>
                <w:sz w:val="21"/>
              </w:rPr>
              <w:t>坦乡：</w:t>
            </w:r>
          </w:p>
          <w:p w14:paraId="38930292">
            <w:pPr>
              <w:spacing w:line="240" w:lineRule="auto"/>
              <w:jc w:val="left"/>
              <w:rPr>
                <w:rFonts w:hint="default"/>
                <w:color w:val="auto"/>
                <w:spacing w:val="-2"/>
                <w:sz w:val="21"/>
              </w:rPr>
            </w:pPr>
            <w:r>
              <w:rPr>
                <w:rFonts w:hint="default"/>
                <w:color w:val="auto"/>
                <w:spacing w:val="-2"/>
                <w:sz w:val="21"/>
              </w:rPr>
              <w:t>红线/一般生态空间/水源涵养重要区\风景名胜区\三区三线生态红线\生物多样性保护功能重要区\原生态红线\水土流失敏感区；</w:t>
            </w:r>
          </w:p>
          <w:p w14:paraId="3F89C740">
            <w:pPr>
              <w:spacing w:line="240" w:lineRule="auto"/>
              <w:jc w:val="left"/>
              <w:rPr>
                <w:rFonts w:hint="default"/>
                <w:color w:val="auto"/>
                <w:spacing w:val="-2"/>
                <w:sz w:val="21"/>
              </w:rPr>
            </w:pPr>
            <w:r>
              <w:rPr>
                <w:rFonts w:hint="default"/>
                <w:color w:val="auto"/>
                <w:spacing w:val="-2"/>
                <w:sz w:val="21"/>
              </w:rPr>
              <w:t>水环境一般管控区；</w:t>
            </w:r>
          </w:p>
          <w:p w14:paraId="0242B35A">
            <w:pPr>
              <w:spacing w:line="240" w:lineRule="auto"/>
              <w:jc w:val="left"/>
              <w:rPr>
                <w:rFonts w:hint="default"/>
                <w:color w:val="auto"/>
                <w:spacing w:val="-2"/>
                <w:sz w:val="21"/>
              </w:rPr>
            </w:pPr>
            <w:r>
              <w:rPr>
                <w:rFonts w:hint="default"/>
                <w:color w:val="auto"/>
                <w:spacing w:val="-2"/>
                <w:sz w:val="21"/>
              </w:rPr>
              <w:t>大气环境优先保护区/其他区域/万佛山—侗寨风景名胜区；</w:t>
            </w:r>
          </w:p>
          <w:p w14:paraId="437B20C9">
            <w:pPr>
              <w:spacing w:line="240" w:lineRule="auto"/>
              <w:jc w:val="left"/>
              <w:rPr>
                <w:rFonts w:hint="default"/>
                <w:color w:val="auto"/>
                <w:spacing w:val="-2"/>
                <w:sz w:val="21"/>
              </w:rPr>
            </w:pPr>
            <w:r>
              <w:rPr>
                <w:rFonts w:hint="default"/>
                <w:color w:val="auto"/>
                <w:spacing w:val="-2"/>
                <w:sz w:val="21"/>
              </w:rPr>
              <w:t>农用地优先保护区/建设用地重点管控区/其他重点管控区/一般管控区/矿区；</w:t>
            </w:r>
          </w:p>
          <w:p w14:paraId="3DF50E2E">
            <w:pPr>
              <w:spacing w:line="240" w:lineRule="auto"/>
              <w:jc w:val="left"/>
              <w:rPr>
                <w:rFonts w:hint="default"/>
                <w:color w:val="auto"/>
                <w:spacing w:val="-2"/>
                <w:sz w:val="21"/>
              </w:rPr>
            </w:pPr>
            <w:r>
              <w:rPr>
                <w:rFonts w:hint="default"/>
                <w:color w:val="auto"/>
                <w:spacing w:val="-2"/>
                <w:sz w:val="21"/>
              </w:rPr>
              <w:t>重点生态功能区/重要文化功能区。</w:t>
            </w:r>
          </w:p>
          <w:p w14:paraId="68E03D9E">
            <w:pPr>
              <w:spacing w:line="240" w:lineRule="auto"/>
              <w:jc w:val="left"/>
              <w:rPr>
                <w:rFonts w:hint="default"/>
                <w:color w:val="auto"/>
                <w:spacing w:val="-2"/>
                <w:sz w:val="21"/>
              </w:rPr>
            </w:pPr>
            <w:r>
              <w:rPr>
                <w:rFonts w:hint="default"/>
                <w:color w:val="auto"/>
                <w:spacing w:val="-2"/>
                <w:sz w:val="21"/>
              </w:rPr>
              <w:t>双江镇：</w:t>
            </w:r>
          </w:p>
          <w:p w14:paraId="6B0ECB9E">
            <w:pPr>
              <w:spacing w:line="240" w:lineRule="auto"/>
              <w:jc w:val="left"/>
              <w:rPr>
                <w:rFonts w:hint="default"/>
                <w:color w:val="auto"/>
                <w:spacing w:val="-2"/>
                <w:sz w:val="21"/>
              </w:rPr>
            </w:pPr>
            <w:r>
              <w:rPr>
                <w:rFonts w:hint="default"/>
                <w:color w:val="auto"/>
                <w:spacing w:val="-2"/>
                <w:sz w:val="21"/>
              </w:rPr>
              <w:t>红线/一般生态空间/水源涵养重要区\三区三线生态红线\风景名胜区\森林公园\生物多样性保护功能重要区\水土保持功能重要区\水土流失敏感区\原生态红线\石漠化敏感区；</w:t>
            </w:r>
          </w:p>
          <w:p w14:paraId="2ACA769C">
            <w:pPr>
              <w:spacing w:line="240" w:lineRule="auto"/>
              <w:jc w:val="left"/>
              <w:rPr>
                <w:rFonts w:hint="default"/>
                <w:color w:val="auto"/>
                <w:spacing w:val="-2"/>
                <w:sz w:val="21"/>
              </w:rPr>
            </w:pPr>
            <w:r>
              <w:rPr>
                <w:rFonts w:hint="default"/>
                <w:color w:val="auto"/>
                <w:spacing w:val="-2"/>
                <w:sz w:val="21"/>
              </w:rPr>
              <w:t>水环境优先保护区/水环境工业污染重点管控区/水环境其他重点管控区/水环境一般管控区/水源地（县级及以上）/工业园区/污水处理厂/重金属矿/怀化市通道县平坦河饮用水水源保护区/通道产业开发区、通道县污水处理厂/通道侗族自治县铜厂界铜矿有限公司铜厂界铜矿；</w:t>
            </w:r>
          </w:p>
          <w:p w14:paraId="7237B21D">
            <w:pPr>
              <w:spacing w:line="240" w:lineRule="auto"/>
              <w:jc w:val="left"/>
              <w:rPr>
                <w:rFonts w:hint="default"/>
                <w:color w:val="auto"/>
                <w:spacing w:val="-2"/>
                <w:sz w:val="21"/>
              </w:rPr>
            </w:pPr>
            <w:r>
              <w:rPr>
                <w:rFonts w:hint="default"/>
                <w:color w:val="auto"/>
                <w:spacing w:val="-2"/>
                <w:sz w:val="21"/>
              </w:rPr>
              <w:t>大气环境优先保护区/大气环境高排放重点管控区/大气环境受体敏感重点管控区/其他区域/湖南通道龙底县级自然保护区；</w:t>
            </w:r>
          </w:p>
          <w:p w14:paraId="2E8783C4">
            <w:pPr>
              <w:spacing w:line="240" w:lineRule="auto"/>
              <w:jc w:val="left"/>
              <w:rPr>
                <w:rFonts w:hint="default"/>
                <w:color w:val="auto"/>
                <w:spacing w:val="-2"/>
                <w:sz w:val="21"/>
              </w:rPr>
            </w:pPr>
            <w:r>
              <w:rPr>
                <w:rFonts w:hint="default"/>
                <w:color w:val="auto"/>
                <w:spacing w:val="-2"/>
                <w:sz w:val="21"/>
              </w:rPr>
              <w:t>农用地优先保护区/建设用地重点管控区/其他重点管控区/一般管控区/矿区/中高风险企业用地/通道产业开发区；</w:t>
            </w:r>
          </w:p>
          <w:p w14:paraId="1F1F031F">
            <w:pPr>
              <w:spacing w:line="240" w:lineRule="auto"/>
              <w:jc w:val="left"/>
              <w:rPr>
                <w:rFonts w:hint="default" w:ascii="Times New Roman" w:hAnsi="Times New Roman" w:eastAsia="宋体" w:cs="Times New Roman"/>
                <w:color w:val="auto"/>
                <w:spacing w:val="-2"/>
                <w:sz w:val="21"/>
              </w:rPr>
            </w:pPr>
            <w:r>
              <w:rPr>
                <w:rFonts w:hint="default"/>
                <w:color w:val="auto"/>
                <w:spacing w:val="-2"/>
                <w:sz w:val="21"/>
              </w:rPr>
              <w:t>城市化地区。</w:t>
            </w:r>
          </w:p>
        </w:tc>
        <w:tc>
          <w:tcPr>
            <w:tcW w:w="304" w:type="dxa"/>
            <w:vAlign w:val="center"/>
          </w:tcPr>
          <w:p w14:paraId="2A715463">
            <w:pPr>
              <w:topLinePunct/>
              <w:adjustRightInd w:val="0"/>
              <w:snapToGrid w:val="0"/>
              <w:spacing w:line="240" w:lineRule="auto"/>
              <w:jc w:val="center"/>
              <w:rPr>
                <w:rFonts w:hint="default" w:ascii="Times New Roman" w:hAnsi="Times New Roman" w:cs="Times New Roman"/>
                <w:b/>
                <w:bCs/>
                <w:color w:val="auto"/>
                <w:spacing w:val="-2"/>
                <w:sz w:val="21"/>
              </w:rPr>
            </w:pPr>
            <w:r>
              <w:rPr>
                <w:color w:val="auto"/>
                <w:sz w:val="21"/>
                <w:szCs w:val="21"/>
              </w:rPr>
              <w:t>符合</w:t>
            </w:r>
          </w:p>
        </w:tc>
      </w:tr>
      <w:tr w14:paraId="1CF994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630" w:type="dxa"/>
            <w:vAlign w:val="center"/>
          </w:tcPr>
          <w:p w14:paraId="271B3E26">
            <w:pPr>
              <w:pStyle w:val="90"/>
              <w:spacing w:before="22" w:line="240" w:lineRule="auto"/>
              <w:jc w:val="center"/>
              <w:rPr>
                <w:rFonts w:hint="default" w:ascii="Times New Roman" w:hAnsi="Times New Roman" w:cs="Times New Roman"/>
                <w:b/>
                <w:color w:val="auto"/>
                <w:w w:val="95"/>
                <w:sz w:val="21"/>
              </w:rPr>
            </w:pPr>
            <w:r>
              <w:rPr>
                <w:rFonts w:hint="default" w:ascii="Times New Roman" w:hAnsi="Times New Roman" w:cs="Times New Roman"/>
                <w:b/>
                <w:color w:val="auto"/>
                <w:w w:val="95"/>
                <w:sz w:val="21"/>
              </w:rPr>
              <w:t>管控维度</w:t>
            </w:r>
          </w:p>
        </w:tc>
        <w:tc>
          <w:tcPr>
            <w:tcW w:w="11883" w:type="dxa"/>
            <w:gridSpan w:val="11"/>
            <w:vAlign w:val="center"/>
          </w:tcPr>
          <w:p w14:paraId="38CCC959">
            <w:pPr>
              <w:pStyle w:val="90"/>
              <w:spacing w:before="22" w:line="240" w:lineRule="auto"/>
              <w:jc w:val="center"/>
              <w:rPr>
                <w:rFonts w:hint="default" w:ascii="Times New Roman" w:hAnsi="Times New Roman" w:cs="Times New Roman"/>
                <w:b/>
                <w:color w:val="auto"/>
                <w:w w:val="95"/>
                <w:sz w:val="21"/>
              </w:rPr>
            </w:pPr>
            <w:r>
              <w:rPr>
                <w:rFonts w:hint="default" w:ascii="Times New Roman" w:hAnsi="Times New Roman" w:cs="Times New Roman"/>
                <w:b/>
                <w:color w:val="auto"/>
                <w:w w:val="95"/>
                <w:sz w:val="21"/>
              </w:rPr>
              <w:t>管控要求</w:t>
            </w:r>
          </w:p>
        </w:tc>
      </w:tr>
      <w:tr w14:paraId="3EDBF1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630" w:type="dxa"/>
            <w:vAlign w:val="center"/>
          </w:tcPr>
          <w:p w14:paraId="5CF980BD">
            <w:pPr>
              <w:pStyle w:val="90"/>
              <w:spacing w:before="131" w:line="240" w:lineRule="auto"/>
              <w:jc w:val="center"/>
              <w:rPr>
                <w:rFonts w:hint="default" w:ascii="Times New Roman" w:hAnsi="Times New Roman" w:cs="Times New Roman"/>
                <w:b/>
                <w:color w:val="auto"/>
                <w:w w:val="95"/>
                <w:sz w:val="21"/>
              </w:rPr>
            </w:pPr>
            <w:r>
              <w:rPr>
                <w:rFonts w:hint="default" w:ascii="Times New Roman" w:hAnsi="Times New Roman" w:cs="Times New Roman"/>
                <w:b/>
                <w:color w:val="auto"/>
                <w:w w:val="95"/>
                <w:sz w:val="21"/>
              </w:rPr>
              <w:t>空间布局约束</w:t>
            </w:r>
          </w:p>
        </w:tc>
        <w:tc>
          <w:tcPr>
            <w:tcW w:w="11579" w:type="dxa"/>
            <w:gridSpan w:val="10"/>
            <w:tcBorders>
              <w:bottom w:val="single" w:color="auto" w:sz="4" w:space="0"/>
            </w:tcBorders>
            <w:vAlign w:val="center"/>
          </w:tcPr>
          <w:p w14:paraId="2066CC8B">
            <w:pPr>
              <w:pStyle w:val="90"/>
              <w:spacing w:line="240" w:lineRule="auto"/>
              <w:ind w:left="108" w:right="102"/>
              <w:jc w:val="left"/>
              <w:rPr>
                <w:rFonts w:hint="eastAsia"/>
              </w:rPr>
            </w:pPr>
            <w:r>
              <w:rPr>
                <w:rFonts w:hint="eastAsia"/>
              </w:rPr>
              <w:t>（1.1）非农建设区内限制镇村工业的零散发展。</w:t>
            </w:r>
          </w:p>
          <w:p w14:paraId="45DF3298">
            <w:pPr>
              <w:pStyle w:val="90"/>
              <w:spacing w:line="240" w:lineRule="auto"/>
              <w:ind w:left="108" w:right="102"/>
              <w:jc w:val="left"/>
              <w:rPr>
                <w:rFonts w:hint="default" w:ascii="Times New Roman" w:hAnsi="Times New Roman" w:cs="Times New Roman"/>
                <w:color w:val="auto"/>
                <w:sz w:val="21"/>
              </w:rPr>
            </w:pPr>
            <w:r>
              <w:rPr>
                <w:rFonts w:hint="eastAsia"/>
              </w:rPr>
              <w:t>（1.2）逐步加强对境内矿山地质环境的管理，不再新建对地质环境具有不可恢复破坏性影响的矿产资源开采项目，依据“谁破坏、谁治理”的原则加大对老矿山地质环境的恢复治理工作。</w:t>
            </w:r>
          </w:p>
        </w:tc>
        <w:tc>
          <w:tcPr>
            <w:tcW w:w="304" w:type="dxa"/>
            <w:vMerge w:val="restart"/>
            <w:vAlign w:val="center"/>
          </w:tcPr>
          <w:p w14:paraId="1319BF54">
            <w:pPr>
              <w:topLinePunct/>
              <w:adjustRightInd w:val="0"/>
              <w:snapToGrid w:val="0"/>
              <w:spacing w:line="240" w:lineRule="auto"/>
              <w:jc w:val="center"/>
              <w:rPr>
                <w:rFonts w:hint="eastAsia" w:ascii="Times New Roman" w:hAnsi="Times New Roman" w:eastAsia="宋体" w:cs="Times New Roman"/>
                <w:color w:val="auto"/>
                <w:spacing w:val="-2"/>
                <w:sz w:val="21"/>
                <w:lang w:val="en-US" w:eastAsia="zh-CN"/>
              </w:rPr>
            </w:pPr>
            <w:r>
              <w:rPr>
                <w:rFonts w:hint="eastAsia" w:ascii="Times New Roman" w:hAnsi="Times New Roman" w:cs="Times New Roman"/>
                <w:color w:val="auto"/>
                <w:spacing w:val="-2"/>
                <w:sz w:val="21"/>
                <w:lang w:val="en-US" w:eastAsia="zh-CN"/>
              </w:rPr>
              <w:t>符合</w:t>
            </w:r>
          </w:p>
        </w:tc>
      </w:tr>
      <w:tr w14:paraId="7B867E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630" w:type="dxa"/>
            <w:vAlign w:val="center"/>
          </w:tcPr>
          <w:p w14:paraId="1E08FD0A">
            <w:pPr>
              <w:pStyle w:val="90"/>
              <w:spacing w:before="131" w:line="240" w:lineRule="auto"/>
              <w:jc w:val="center"/>
              <w:rPr>
                <w:rFonts w:hint="default" w:ascii="Times New Roman" w:hAnsi="Times New Roman" w:cs="Times New Roman"/>
                <w:b/>
                <w:color w:val="auto"/>
                <w:w w:val="95"/>
                <w:sz w:val="21"/>
              </w:rPr>
            </w:pPr>
            <w:r>
              <w:rPr>
                <w:rFonts w:hint="default" w:ascii="Times New Roman" w:hAnsi="Times New Roman" w:cs="Times New Roman"/>
                <w:b/>
                <w:color w:val="auto"/>
                <w:w w:val="95"/>
                <w:sz w:val="21"/>
              </w:rPr>
              <w:t>污染物排放管控</w:t>
            </w:r>
          </w:p>
        </w:tc>
        <w:tc>
          <w:tcPr>
            <w:tcW w:w="11579" w:type="dxa"/>
            <w:gridSpan w:val="10"/>
            <w:tcBorders>
              <w:top w:val="single" w:color="auto" w:sz="4" w:space="0"/>
              <w:bottom w:val="single" w:color="auto" w:sz="4" w:space="0"/>
            </w:tcBorders>
            <w:vAlign w:val="center"/>
          </w:tcPr>
          <w:p w14:paraId="02D8CB8F">
            <w:pPr>
              <w:spacing w:line="240" w:lineRule="auto"/>
              <w:jc w:val="left"/>
              <w:rPr>
                <w:rFonts w:hint="default"/>
                <w:color w:val="auto"/>
                <w:spacing w:val="-2"/>
                <w:sz w:val="21"/>
              </w:rPr>
            </w:pPr>
            <w:r>
              <w:rPr>
                <w:rFonts w:hint="default"/>
                <w:color w:val="auto"/>
                <w:spacing w:val="-2"/>
                <w:sz w:val="21"/>
              </w:rPr>
              <w:t>（2.1）废水</w:t>
            </w:r>
          </w:p>
          <w:p w14:paraId="01F69AA0">
            <w:pPr>
              <w:spacing w:line="240" w:lineRule="auto"/>
              <w:jc w:val="left"/>
              <w:rPr>
                <w:rFonts w:hint="default"/>
                <w:color w:val="auto"/>
                <w:spacing w:val="-2"/>
                <w:sz w:val="21"/>
              </w:rPr>
            </w:pPr>
            <w:r>
              <w:rPr>
                <w:rFonts w:hint="default"/>
                <w:color w:val="auto"/>
                <w:spacing w:val="-2"/>
                <w:sz w:val="21"/>
              </w:rPr>
              <w:t>（2.1.1）充分发挥河（湖）长制作用，强化岸线保护利用，实施好重点水域“十年禁渔”。</w:t>
            </w:r>
          </w:p>
          <w:p w14:paraId="521640BE">
            <w:pPr>
              <w:spacing w:line="240" w:lineRule="auto"/>
              <w:jc w:val="left"/>
              <w:rPr>
                <w:rFonts w:hint="default"/>
                <w:color w:val="auto"/>
                <w:spacing w:val="-2"/>
                <w:sz w:val="21"/>
              </w:rPr>
            </w:pPr>
            <w:r>
              <w:rPr>
                <w:rFonts w:hint="default"/>
                <w:color w:val="auto"/>
                <w:spacing w:val="-2"/>
                <w:sz w:val="21"/>
              </w:rPr>
              <w:t>（2.1.2）推进以种养结合为重点的畜禽养殖废弃物资源利用，推动畜禽规模养殖场粪污处理设施装备提档升级，建立和完善畜禽养殖场和养殖户污染防治台账。实施池塘标准化改造，完善循环水和进排水处理设施，推进养殖尾水节水减排。</w:t>
            </w:r>
          </w:p>
          <w:p w14:paraId="7119CC05">
            <w:pPr>
              <w:spacing w:line="240" w:lineRule="auto"/>
              <w:jc w:val="left"/>
              <w:rPr>
                <w:rFonts w:hint="default"/>
                <w:color w:val="auto"/>
                <w:spacing w:val="-2"/>
                <w:sz w:val="21"/>
              </w:rPr>
            </w:pPr>
            <w:r>
              <w:rPr>
                <w:rFonts w:hint="default"/>
                <w:color w:val="auto"/>
                <w:spacing w:val="-2"/>
                <w:sz w:val="21"/>
              </w:rPr>
              <w:t>（2.2）废气：坚持源头防控、系统治理，以柴油货车、露天焚烧秸秆、餐饮油烟等为重点领域，以细颗粒物（PM2.5）等为重点因子，以特护期（当年10月16日至次年3月15日）为重点时段，开展“守护蓝天”行动。</w:t>
            </w:r>
          </w:p>
          <w:p w14:paraId="098D92DC">
            <w:pPr>
              <w:spacing w:line="240" w:lineRule="auto"/>
              <w:jc w:val="left"/>
              <w:rPr>
                <w:rFonts w:hint="default"/>
                <w:color w:val="auto"/>
                <w:spacing w:val="-2"/>
                <w:sz w:val="21"/>
              </w:rPr>
            </w:pPr>
            <w:r>
              <w:rPr>
                <w:rFonts w:hint="default"/>
                <w:color w:val="auto"/>
                <w:spacing w:val="-2"/>
                <w:sz w:val="21"/>
              </w:rPr>
              <w:t>（2.3）固体废弃物：推进强化危险废物监管和利用处置能力改革，逐步建立“源头严防、过程严管、后果严惩”危险废物监管体系。持续强化固体废物信息管理平台应用，实现危险废物全过程在线监管。</w:t>
            </w:r>
          </w:p>
          <w:p w14:paraId="3730FB4F">
            <w:pPr>
              <w:spacing w:line="240" w:lineRule="auto"/>
              <w:jc w:val="left"/>
              <w:rPr>
                <w:rFonts w:hint="default" w:ascii="Times New Roman" w:hAnsi="Times New Roman" w:cs="Times New Roman"/>
                <w:color w:val="auto"/>
                <w:sz w:val="2"/>
                <w:szCs w:val="2"/>
              </w:rPr>
            </w:pPr>
            <w:r>
              <w:rPr>
                <w:rFonts w:hint="default"/>
                <w:color w:val="auto"/>
                <w:spacing w:val="-2"/>
                <w:sz w:val="21"/>
              </w:rPr>
              <w:t>（2.4）加强老工业企业污染监管，引导工业企业完善手续，规范生产。</w:t>
            </w:r>
          </w:p>
        </w:tc>
        <w:tc>
          <w:tcPr>
            <w:tcW w:w="304" w:type="dxa"/>
            <w:vMerge w:val="continue"/>
            <w:vAlign w:val="center"/>
          </w:tcPr>
          <w:p w14:paraId="74F7E27D">
            <w:pPr>
              <w:spacing w:line="240" w:lineRule="auto"/>
              <w:jc w:val="center"/>
              <w:rPr>
                <w:rFonts w:hint="default" w:ascii="Times New Roman" w:hAnsi="Times New Roman" w:cs="Times New Roman"/>
                <w:color w:val="auto"/>
                <w:sz w:val="2"/>
                <w:szCs w:val="2"/>
              </w:rPr>
            </w:pPr>
          </w:p>
        </w:tc>
      </w:tr>
      <w:tr w14:paraId="650EDC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630" w:type="dxa"/>
            <w:vAlign w:val="center"/>
          </w:tcPr>
          <w:p w14:paraId="565FD1FF">
            <w:pPr>
              <w:pStyle w:val="90"/>
              <w:spacing w:before="131" w:line="240" w:lineRule="auto"/>
              <w:jc w:val="center"/>
              <w:rPr>
                <w:rFonts w:hint="default" w:ascii="Times New Roman" w:hAnsi="Times New Roman" w:cs="Times New Roman"/>
                <w:b/>
                <w:color w:val="auto"/>
                <w:w w:val="95"/>
                <w:sz w:val="21"/>
              </w:rPr>
            </w:pPr>
            <w:r>
              <w:rPr>
                <w:rFonts w:hint="default" w:ascii="Times New Roman" w:hAnsi="Times New Roman" w:cs="Times New Roman"/>
                <w:b/>
                <w:color w:val="auto"/>
                <w:w w:val="95"/>
                <w:sz w:val="21"/>
              </w:rPr>
              <w:t>环境风险防控</w:t>
            </w:r>
          </w:p>
        </w:tc>
        <w:tc>
          <w:tcPr>
            <w:tcW w:w="11579" w:type="dxa"/>
            <w:gridSpan w:val="10"/>
            <w:tcBorders>
              <w:top w:val="single" w:color="auto" w:sz="4" w:space="0"/>
              <w:bottom w:val="single" w:color="auto" w:sz="4" w:space="0"/>
            </w:tcBorders>
            <w:vAlign w:val="center"/>
          </w:tcPr>
          <w:p w14:paraId="58580597">
            <w:pPr>
              <w:spacing w:line="240" w:lineRule="auto"/>
              <w:jc w:val="left"/>
              <w:rPr>
                <w:rFonts w:hint="default" w:ascii="Times New Roman" w:hAnsi="Times New Roman" w:cs="Times New Roman"/>
                <w:color w:val="auto"/>
                <w:spacing w:val="-2"/>
                <w:sz w:val="21"/>
              </w:rPr>
            </w:pPr>
            <w:r>
              <w:rPr>
                <w:rFonts w:hint="default" w:ascii="Times New Roman" w:hAnsi="Times New Roman" w:cs="Times New Roman"/>
                <w:color w:val="auto"/>
                <w:spacing w:val="-2"/>
                <w:sz w:val="21"/>
              </w:rPr>
              <w:t>（3.1）按省级、市级生态环境准入总体清单中与环境风险防控相关条文执行。</w:t>
            </w:r>
          </w:p>
        </w:tc>
        <w:tc>
          <w:tcPr>
            <w:tcW w:w="304" w:type="dxa"/>
            <w:vMerge w:val="continue"/>
            <w:vAlign w:val="center"/>
          </w:tcPr>
          <w:p w14:paraId="2778D1F7">
            <w:pPr>
              <w:spacing w:line="240" w:lineRule="auto"/>
              <w:jc w:val="center"/>
              <w:rPr>
                <w:rFonts w:hint="default" w:ascii="Times New Roman" w:hAnsi="Times New Roman" w:cs="Times New Roman"/>
                <w:color w:val="FF0000"/>
                <w:sz w:val="2"/>
                <w:szCs w:val="2"/>
              </w:rPr>
            </w:pPr>
          </w:p>
        </w:tc>
      </w:tr>
      <w:tr w14:paraId="593CAE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630" w:type="dxa"/>
            <w:vAlign w:val="center"/>
          </w:tcPr>
          <w:p w14:paraId="5E4600E9">
            <w:pPr>
              <w:pStyle w:val="90"/>
              <w:spacing w:before="131" w:line="240" w:lineRule="auto"/>
              <w:jc w:val="center"/>
              <w:rPr>
                <w:rFonts w:hint="default" w:ascii="Times New Roman" w:hAnsi="Times New Roman" w:cs="Times New Roman"/>
                <w:b/>
                <w:color w:val="auto"/>
                <w:w w:val="95"/>
                <w:sz w:val="21"/>
              </w:rPr>
            </w:pPr>
            <w:r>
              <w:rPr>
                <w:rFonts w:hint="default" w:ascii="Times New Roman" w:hAnsi="Times New Roman" w:cs="Times New Roman"/>
                <w:b/>
                <w:color w:val="auto"/>
                <w:w w:val="95"/>
                <w:sz w:val="21"/>
              </w:rPr>
              <w:t>资源开发效率要求</w:t>
            </w:r>
          </w:p>
        </w:tc>
        <w:tc>
          <w:tcPr>
            <w:tcW w:w="11579" w:type="dxa"/>
            <w:gridSpan w:val="10"/>
            <w:tcBorders>
              <w:top w:val="single" w:color="auto" w:sz="4" w:space="0"/>
            </w:tcBorders>
            <w:vAlign w:val="center"/>
          </w:tcPr>
          <w:p w14:paraId="3E97FE96">
            <w:pPr>
              <w:spacing w:line="240" w:lineRule="auto"/>
              <w:jc w:val="left"/>
              <w:rPr>
                <w:rFonts w:hint="default"/>
                <w:color w:val="auto"/>
                <w:spacing w:val="-2"/>
                <w:sz w:val="21"/>
              </w:rPr>
            </w:pPr>
            <w:r>
              <w:rPr>
                <w:rFonts w:hint="default"/>
                <w:color w:val="auto"/>
                <w:spacing w:val="-2"/>
                <w:sz w:val="21"/>
              </w:rPr>
              <w:t>（4.1）能源：积极推进新能源的高效开发和利用，优化能源产业结构，提高能源开发利用效率，形成多元化能源供给体系。</w:t>
            </w:r>
          </w:p>
          <w:p w14:paraId="0B7249A8">
            <w:pPr>
              <w:spacing w:line="240" w:lineRule="auto"/>
              <w:jc w:val="left"/>
              <w:rPr>
                <w:rFonts w:hint="default"/>
                <w:color w:val="auto"/>
                <w:spacing w:val="-2"/>
                <w:sz w:val="21"/>
              </w:rPr>
            </w:pPr>
            <w:r>
              <w:rPr>
                <w:rFonts w:hint="default"/>
                <w:color w:val="auto"/>
                <w:spacing w:val="-2"/>
                <w:sz w:val="21"/>
              </w:rPr>
              <w:t>（4.2）水资源：落实水资源消耗总量和强度双控行动，到2025年，全县用水总量9090立方米，万元地区生产总量用水量比2020年下降24.83%，万元地区工业增加值用水量比2020年下降7.60%。</w:t>
            </w:r>
          </w:p>
          <w:p w14:paraId="68315F8D">
            <w:pPr>
              <w:spacing w:line="240" w:lineRule="auto"/>
              <w:jc w:val="left"/>
              <w:rPr>
                <w:rFonts w:hint="default" w:ascii="Times New Roman" w:hAnsi="Times New Roman" w:cs="Times New Roman"/>
                <w:color w:val="auto"/>
                <w:spacing w:val="-2"/>
                <w:sz w:val="21"/>
              </w:rPr>
            </w:pPr>
            <w:r>
              <w:rPr>
                <w:rFonts w:hint="default"/>
                <w:color w:val="auto"/>
                <w:spacing w:val="-2"/>
                <w:sz w:val="21"/>
              </w:rPr>
              <w:t>（4.3）土地资源：推进工业用地弹性管理制度，建立健全土地征用、收回、回购等土地储备制度，盘活存量土地，建立低效利用土地市场退出机制。</w:t>
            </w:r>
          </w:p>
        </w:tc>
        <w:tc>
          <w:tcPr>
            <w:tcW w:w="304" w:type="dxa"/>
            <w:vMerge w:val="continue"/>
            <w:vAlign w:val="center"/>
          </w:tcPr>
          <w:p w14:paraId="0A14340F">
            <w:pPr>
              <w:spacing w:line="240" w:lineRule="auto"/>
              <w:jc w:val="center"/>
              <w:rPr>
                <w:rFonts w:hint="default" w:ascii="Times New Roman" w:hAnsi="Times New Roman" w:cs="Times New Roman"/>
                <w:color w:val="FF0000"/>
                <w:sz w:val="2"/>
                <w:szCs w:val="2"/>
              </w:rPr>
            </w:pPr>
          </w:p>
        </w:tc>
      </w:tr>
    </w:tbl>
    <w:p w14:paraId="6294A0F8">
      <w:pPr>
        <w:pStyle w:val="89"/>
        <w:rPr>
          <w:color w:val="FF0000"/>
        </w:rPr>
      </w:pPr>
    </w:p>
    <w:p w14:paraId="67BB4763">
      <w:pPr>
        <w:pStyle w:val="89"/>
        <w:rPr>
          <w:color w:val="FF0000"/>
        </w:rPr>
        <w:sectPr>
          <w:pgSz w:w="16838" w:h="11906" w:orient="landscape"/>
          <w:pgMar w:top="1531" w:right="1701" w:bottom="1531" w:left="1701" w:header="851" w:footer="1077" w:gutter="0"/>
          <w:pgBorders>
            <w:top w:val="none" w:sz="0" w:space="0"/>
            <w:left w:val="none" w:sz="0" w:space="0"/>
            <w:bottom w:val="none" w:sz="0" w:space="0"/>
            <w:right w:val="none" w:sz="0" w:space="0"/>
          </w:pgBorders>
          <w:cols w:space="720" w:num="1"/>
          <w:docGrid w:linePitch="312" w:charSpace="0"/>
        </w:sectPr>
      </w:pPr>
    </w:p>
    <w:p w14:paraId="06DCF1ED">
      <w:pPr>
        <w:pStyle w:val="2"/>
        <w:rPr>
          <w:color w:val="000000" w:themeColor="text1"/>
          <w14:textFill>
            <w14:solidFill>
              <w14:schemeClr w14:val="tx1"/>
            </w14:solidFill>
          </w14:textFill>
        </w:rPr>
      </w:pPr>
      <w:bookmarkStart w:id="25" w:name="_Toc24506"/>
      <w:r>
        <w:rPr>
          <w:color w:val="000000" w:themeColor="text1"/>
          <w14:textFill>
            <w14:solidFill>
              <w14:schemeClr w14:val="tx1"/>
            </w14:solidFill>
          </w14:textFill>
        </w:rPr>
        <w:t>二、建设内容</w:t>
      </w:r>
      <w:bookmarkEnd w:id="25"/>
    </w:p>
    <w:tbl>
      <w:tblPr>
        <w:tblStyle w:val="26"/>
        <w:tblW w:w="852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066"/>
      </w:tblGrid>
      <w:tr w14:paraId="39CD1A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07" w:hRule="atLeast"/>
          <w:jc w:val="center"/>
        </w:trPr>
        <w:tc>
          <w:tcPr>
            <w:tcW w:w="452" w:type="dxa"/>
            <w:vAlign w:val="center"/>
          </w:tcPr>
          <w:p w14:paraId="3C594589">
            <w:pPr>
              <w:adjustRightInd w:val="0"/>
              <w:snapToGrid w:val="0"/>
              <w:spacing w:before="120" w:beforeLines="50"/>
              <w:jc w:val="center"/>
              <w:rPr>
                <w:color w:val="FF0000"/>
                <w:kern w:val="0"/>
              </w:rPr>
            </w:pPr>
            <w:r>
              <w:rPr>
                <w:color w:val="auto"/>
                <w:kern w:val="0"/>
              </w:rPr>
              <w:t>地理位置</w:t>
            </w:r>
          </w:p>
        </w:tc>
        <w:tc>
          <w:tcPr>
            <w:tcW w:w="8070" w:type="dxa"/>
            <w:vAlign w:val="center"/>
          </w:tcPr>
          <w:p w14:paraId="6EB7D4CD">
            <w:pPr>
              <w:adjustRightInd w:val="0"/>
              <w:snapToGrid w:val="0"/>
              <w:ind w:firstLine="480" w:firstLineChars="200"/>
              <w:rPr>
                <w:color w:val="000000" w:themeColor="text1"/>
                <w14:textFill>
                  <w14:solidFill>
                    <w14:schemeClr w14:val="tx1"/>
                  </w14:solidFill>
                </w14:textFill>
              </w:rPr>
            </w:pPr>
            <w:r>
              <w:rPr>
                <w:rFonts w:hint="eastAsia"/>
                <w:color w:val="auto"/>
                <w:lang w:val="en-US" w:eastAsia="zh-CN"/>
              </w:rPr>
              <w:t>华电通道太平山</w:t>
            </w:r>
            <w:r>
              <w:rPr>
                <w:rFonts w:hint="eastAsia"/>
                <w:color w:val="auto"/>
              </w:rPr>
              <w:t>风电场位于湖南省怀化市</w:t>
            </w:r>
            <w:r>
              <w:rPr>
                <w:rFonts w:hint="eastAsia"/>
                <w:color w:val="auto"/>
                <w:lang w:val="en-US" w:eastAsia="zh-CN"/>
              </w:rPr>
              <w:t>通道</w:t>
            </w:r>
            <w:r>
              <w:rPr>
                <w:rFonts w:hint="eastAsia"/>
                <w:color w:val="auto"/>
              </w:rPr>
              <w:t>县</w:t>
            </w:r>
            <w:r>
              <w:rPr>
                <w:rFonts w:hint="eastAsia"/>
                <w:color w:val="auto"/>
                <w:lang w:val="en-US" w:eastAsia="zh-CN"/>
              </w:rPr>
              <w:t>侗族自治县境内</w:t>
            </w:r>
            <w:r>
              <w:rPr>
                <w:rFonts w:hint="eastAsia"/>
                <w:color w:val="auto"/>
              </w:rPr>
              <w:t>，</w:t>
            </w:r>
            <w:r>
              <w:rPr>
                <w:rFonts w:hint="eastAsia"/>
                <w:color w:val="auto"/>
                <w:lang w:val="en-US" w:eastAsia="zh-CN"/>
              </w:rPr>
              <w:t>本风电场处于湖南西南部，属于山地风电场。本风电场中心</w:t>
            </w:r>
            <w:r>
              <w:rPr>
                <w:rFonts w:hint="eastAsia"/>
                <w:color w:val="auto"/>
              </w:rPr>
              <w:t>距</w:t>
            </w:r>
            <w:r>
              <w:rPr>
                <w:rFonts w:hint="eastAsia"/>
                <w:color w:val="auto"/>
                <w:lang w:val="en-US" w:eastAsia="zh-CN"/>
              </w:rPr>
              <w:t>通道县区约12</w:t>
            </w:r>
            <w:r>
              <w:rPr>
                <w:rFonts w:hint="eastAsia"/>
                <w:color w:val="auto"/>
              </w:rPr>
              <w:t>km，</w:t>
            </w:r>
            <w:r>
              <w:rPr>
                <w:rFonts w:hint="eastAsia"/>
                <w:color w:val="auto"/>
                <w:lang w:val="en-US" w:eastAsia="zh-CN"/>
              </w:rPr>
              <w:t>场区中心地理位置为</w:t>
            </w:r>
            <w:r>
              <w:rPr>
                <w:rFonts w:hint="eastAsia"/>
                <w:color w:val="auto"/>
              </w:rPr>
              <w:t>东经109.</w:t>
            </w:r>
            <w:r>
              <w:rPr>
                <w:rFonts w:hint="eastAsia"/>
                <w:color w:val="auto"/>
                <w:lang w:val="en-US" w:eastAsia="zh-CN"/>
              </w:rPr>
              <w:t>68458°</w:t>
            </w:r>
            <w:r>
              <w:rPr>
                <w:rFonts w:hint="eastAsia"/>
                <w:color w:val="auto"/>
              </w:rPr>
              <w:t>，北纬 26.</w:t>
            </w:r>
            <w:r>
              <w:rPr>
                <w:rFonts w:hint="eastAsia"/>
                <w:color w:val="auto"/>
                <w:lang w:val="en-US" w:eastAsia="zh-CN"/>
              </w:rPr>
              <w:t>12765</w:t>
            </w:r>
            <w:r>
              <w:rPr>
                <w:rFonts w:hint="eastAsia"/>
                <w:color w:val="auto"/>
              </w:rPr>
              <w:t>°，场址</w:t>
            </w:r>
            <w:r>
              <w:rPr>
                <w:rFonts w:hint="eastAsia"/>
                <w:color w:val="auto"/>
                <w:lang w:val="en-US" w:eastAsia="zh-CN"/>
              </w:rPr>
              <w:t>占地</w:t>
            </w:r>
            <w:r>
              <w:rPr>
                <w:rFonts w:hint="eastAsia"/>
                <w:color w:val="auto"/>
              </w:rPr>
              <w:t>面积约</w:t>
            </w:r>
            <w:r>
              <w:rPr>
                <w:rFonts w:hint="eastAsia"/>
                <w:color w:val="auto"/>
                <w:lang w:val="en-US" w:eastAsia="zh-CN"/>
              </w:rPr>
              <w:t>68.26h</w:t>
            </w:r>
            <w:r>
              <w:rPr>
                <w:rFonts w:hint="eastAsia"/>
                <w:color w:val="auto"/>
              </w:rPr>
              <w:t>m</w:t>
            </w:r>
            <w:r>
              <w:rPr>
                <w:rFonts w:hint="eastAsia"/>
                <w:color w:val="auto"/>
                <w:vertAlign w:val="superscript"/>
              </w:rPr>
              <w:t>2</w:t>
            </w:r>
            <w:r>
              <w:rPr>
                <w:rFonts w:hint="eastAsia"/>
                <w:color w:val="auto"/>
              </w:rPr>
              <w:t>，呈不规则形状。风电场所在区域地貌类型为山地，</w:t>
            </w:r>
            <w:r>
              <w:rPr>
                <w:rFonts w:hint="eastAsia"/>
                <w:color w:val="auto"/>
                <w:lang w:val="en-US" w:eastAsia="zh-CN"/>
              </w:rPr>
              <w:t>海拔高度60</w:t>
            </w:r>
            <w:r>
              <w:rPr>
                <w:rFonts w:hint="eastAsia"/>
                <w:color w:val="auto"/>
              </w:rPr>
              <w:t>0m~</w:t>
            </w:r>
            <w:r>
              <w:rPr>
                <w:rFonts w:hint="eastAsia"/>
                <w:color w:val="auto"/>
                <w:lang w:val="en-US" w:eastAsia="zh-CN"/>
              </w:rPr>
              <w:t>10</w:t>
            </w:r>
            <w:r>
              <w:rPr>
                <w:rFonts w:hint="eastAsia"/>
                <w:color w:val="auto"/>
              </w:rPr>
              <w:t>00m之间。</w:t>
            </w:r>
            <w:r>
              <w:rPr>
                <w:color w:val="000000" w:themeColor="text1"/>
                <w14:textFill>
                  <w14:solidFill>
                    <w14:schemeClr w14:val="tx1"/>
                  </w14:solidFill>
                </w14:textFill>
              </w:rPr>
              <w:t>项目地理位置图见图2-1。</w:t>
            </w:r>
          </w:p>
          <w:p w14:paraId="153EF8D6">
            <w:pPr>
              <w:pStyle w:val="35"/>
              <w:rPr>
                <w:color w:val="FF0000"/>
              </w:rPr>
            </w:pPr>
            <w:r>
              <w:rPr>
                <w:color w:val="FF0000"/>
              </w:rPr>
              <w:drawing>
                <wp:inline distT="0" distB="0" distL="114300" distR="114300">
                  <wp:extent cx="4982845" cy="3903345"/>
                  <wp:effectExtent l="0" t="0" r="8255" b="1905"/>
                  <wp:docPr id="33" name="图片 33" descr="17179482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717948265(1)"/>
                          <pic:cNvPicPr>
                            <a:picLocks noChangeAspect="1"/>
                          </pic:cNvPicPr>
                        </pic:nvPicPr>
                        <pic:blipFill>
                          <a:blip r:embed="rId23"/>
                          <a:stretch>
                            <a:fillRect/>
                          </a:stretch>
                        </pic:blipFill>
                        <pic:spPr>
                          <a:xfrm>
                            <a:off x="0" y="0"/>
                            <a:ext cx="4982845" cy="3903345"/>
                          </a:xfrm>
                          <a:prstGeom prst="rect">
                            <a:avLst/>
                          </a:prstGeom>
                        </pic:spPr>
                      </pic:pic>
                    </a:graphicData>
                  </a:graphic>
                </wp:inline>
              </w:drawing>
            </w:r>
            <w:r>
              <w:rPr>
                <w:color w:val="FF0000"/>
              </w:rPr>
              <w:drawing>
                <wp:anchor distT="0" distB="0" distL="114935" distR="114935" simplePos="0" relativeHeight="251679744" behindDoc="0" locked="0" layoutInCell="1" allowOverlap="1">
                  <wp:simplePos x="0" y="0"/>
                  <wp:positionH relativeFrom="column">
                    <wp:posOffset>4563110</wp:posOffset>
                  </wp:positionH>
                  <wp:positionV relativeFrom="paragraph">
                    <wp:posOffset>3175</wp:posOffset>
                  </wp:positionV>
                  <wp:extent cx="427990" cy="899795"/>
                  <wp:effectExtent l="0" t="0" r="10160" b="14605"/>
                  <wp:wrapNone/>
                  <wp:docPr id="17" name="图片 732" descr="C:/Users/230zz/AppData/Local/Temp/picturecompress_20211115115827/output_3.pngoutput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32" descr="C:/Users/230zz/AppData/Local/Temp/picturecompress_20211115115827/output_3.pngoutput_3"/>
                          <pic:cNvPicPr>
                            <a:picLocks noChangeAspect="1" noChangeArrowheads="1"/>
                          </pic:cNvPicPr>
                        </pic:nvPicPr>
                        <pic:blipFill>
                          <a:blip r:embed="rId24"/>
                          <a:srcRect/>
                          <a:stretch>
                            <a:fillRect/>
                          </a:stretch>
                        </pic:blipFill>
                        <pic:spPr>
                          <a:xfrm>
                            <a:off x="0" y="0"/>
                            <a:ext cx="427990" cy="899795"/>
                          </a:xfrm>
                          <a:prstGeom prst="rect">
                            <a:avLst/>
                          </a:prstGeom>
                          <a:noFill/>
                          <a:ln>
                            <a:noFill/>
                          </a:ln>
                        </pic:spPr>
                      </pic:pic>
                    </a:graphicData>
                  </a:graphic>
                </wp:anchor>
              </w:drawing>
            </w:r>
          </w:p>
          <w:p w14:paraId="0370479D">
            <w:pPr>
              <w:ind w:firstLine="422" w:firstLineChars="20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图2-1  项目地理位置图</w:t>
            </w:r>
          </w:p>
          <w:p w14:paraId="7389225C">
            <w:pPr>
              <w:ind w:firstLine="480" w:firstLineChars="200"/>
              <w:rPr>
                <w:rFonts w:hint="eastAsia" w:eastAsia="宋体"/>
                <w:b/>
                <w:bCs/>
                <w:color w:val="FF0000"/>
                <w:sz w:val="21"/>
                <w:szCs w:val="21"/>
                <w:lang w:eastAsia="zh-CN"/>
              </w:rPr>
            </w:pPr>
            <w:r>
              <w:rPr>
                <w:rFonts w:hint="eastAsia"/>
                <w:color w:val="auto"/>
                <w:u w:val="none"/>
              </w:rPr>
              <w:t>风电场所在区域区属于构造相对稳定地区，不存在大规模崩塌、滑坡、泥石流、地面沉降等不良地质作用，也无全新活动断裂通过，不会对场地和地基的稳定性构成影响。场址周边无发震断裂，本区域适宜工程建设。</w:t>
            </w:r>
          </w:p>
        </w:tc>
      </w:tr>
      <w:tr w14:paraId="5812F6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7" w:hRule="atLeast"/>
          <w:jc w:val="center"/>
        </w:trPr>
        <w:tc>
          <w:tcPr>
            <w:tcW w:w="452" w:type="dxa"/>
            <w:vAlign w:val="center"/>
          </w:tcPr>
          <w:p w14:paraId="37B5A535">
            <w:pPr>
              <w:adjustRightInd w:val="0"/>
              <w:snapToGrid w:val="0"/>
              <w:jc w:val="center"/>
              <w:rPr>
                <w:color w:val="FF0000"/>
                <w:kern w:val="0"/>
              </w:rPr>
            </w:pPr>
            <w:r>
              <w:rPr>
                <w:color w:val="auto"/>
                <w:kern w:val="0"/>
              </w:rPr>
              <w:t>项目组成及规模</w:t>
            </w:r>
          </w:p>
        </w:tc>
        <w:tc>
          <w:tcPr>
            <w:tcW w:w="8070" w:type="dxa"/>
            <w:vAlign w:val="center"/>
          </w:tcPr>
          <w:p w14:paraId="20196093">
            <w:pPr>
              <w:pStyle w:val="3"/>
              <w:rPr>
                <w:rFonts w:cs="Times New Roman"/>
                <w:color w:val="auto"/>
                <w:u w:val="none"/>
                <w:lang w:val="en-US"/>
              </w:rPr>
            </w:pPr>
            <w:r>
              <w:rPr>
                <w:rFonts w:cs="Times New Roman"/>
                <w:color w:val="auto"/>
                <w:u w:val="none"/>
                <w:lang w:val="en-US"/>
              </w:rPr>
              <w:t>2.2工程概况</w:t>
            </w:r>
          </w:p>
          <w:p w14:paraId="402D625B">
            <w:pPr>
              <w:pStyle w:val="5"/>
              <w:ind w:firstLine="480" w:firstLineChars="200"/>
              <w:rPr>
                <w:rFonts w:hint="eastAsia" w:ascii="Times New Roman" w:hAnsi="Times New Roman" w:eastAsia="宋体" w:cs="Times New Roman"/>
                <w:b w:val="0"/>
                <w:bCs w:val="0"/>
                <w:color w:val="auto"/>
                <w:kern w:val="2"/>
                <w:sz w:val="24"/>
                <w:szCs w:val="24"/>
                <w:u w:val="wave"/>
                <w:lang w:val="en-US" w:eastAsia="zh-CN" w:bidi="ar-SA"/>
              </w:rPr>
            </w:pPr>
            <w:r>
              <w:rPr>
                <w:rFonts w:hint="eastAsia" w:ascii="Times New Roman" w:hAnsi="Times New Roman" w:eastAsia="宋体" w:cs="Times New Roman"/>
                <w:b w:val="0"/>
                <w:bCs w:val="0"/>
                <w:color w:val="auto"/>
                <w:kern w:val="2"/>
                <w:sz w:val="24"/>
                <w:szCs w:val="24"/>
                <w:u w:val="wave"/>
                <w:lang w:val="en-US" w:eastAsia="zh-CN" w:bidi="ar-SA"/>
              </w:rPr>
              <w:t>根据《中华人民共和国环境保护法》、《中华人民共和国环境影响评价法》和《建设项目环境保护管理条例》（自2017年10月1日起施行）以及《建设项目环境影响评价分类管理名录》（2021年版）的有关规定要求，该项目需进行环境影响评价。本项目主要为风力发电，</w:t>
            </w:r>
            <w:r>
              <w:rPr>
                <w:rFonts w:hint="eastAsia" w:cs="Times New Roman"/>
                <w:b w:val="0"/>
                <w:bCs w:val="0"/>
                <w:color w:val="auto"/>
                <w:kern w:val="2"/>
                <w:sz w:val="24"/>
                <w:szCs w:val="24"/>
                <w:u w:val="wave"/>
                <w:lang w:val="en-US" w:eastAsia="zh-CN" w:bidi="ar-SA"/>
              </w:rPr>
              <w:t>不涉及环敏感区，</w:t>
            </w:r>
            <w:r>
              <w:rPr>
                <w:rFonts w:hint="eastAsia" w:ascii="Times New Roman" w:hAnsi="Times New Roman" w:eastAsia="宋体" w:cs="Times New Roman"/>
                <w:b w:val="0"/>
                <w:bCs w:val="0"/>
                <w:color w:val="auto"/>
                <w:kern w:val="2"/>
                <w:sz w:val="24"/>
                <w:szCs w:val="24"/>
                <w:u w:val="wave"/>
                <w:lang w:val="en-US" w:eastAsia="zh-CN" w:bidi="ar-SA"/>
              </w:rPr>
              <w:t>依据《建设项目环境影响评价分类管理名录》（2021年版），</w:t>
            </w:r>
            <w:r>
              <w:rPr>
                <w:rFonts w:hint="eastAsia" w:ascii="Times New Roman" w:hAnsi="Times New Roman" w:eastAsia="宋体" w:cs="Times New Roman"/>
                <w:b w:val="0"/>
                <w:bCs w:val="0"/>
                <w:color w:val="000000" w:themeColor="text1"/>
                <w:kern w:val="2"/>
                <w:sz w:val="24"/>
                <w:szCs w:val="24"/>
                <w:u w:val="wave"/>
                <w:lang w:val="en-US" w:eastAsia="zh-CN" w:bidi="ar-SA"/>
                <w14:textFill>
                  <w14:solidFill>
                    <w14:schemeClr w14:val="tx1"/>
                  </w14:solidFill>
                </w14:textFill>
              </w:rPr>
              <w:t>属于“四十一、电力、热力生产和供应业”90其他风力发电，</w:t>
            </w:r>
            <w:r>
              <w:rPr>
                <w:rFonts w:hint="eastAsia" w:ascii="Times New Roman" w:hAnsi="Times New Roman" w:eastAsia="宋体" w:cs="Times New Roman"/>
                <w:b w:val="0"/>
                <w:bCs w:val="0"/>
                <w:color w:val="auto"/>
                <w:kern w:val="2"/>
                <w:sz w:val="24"/>
                <w:szCs w:val="24"/>
                <w:u w:val="wave"/>
                <w:lang w:val="en-US" w:eastAsia="zh-CN" w:bidi="ar-SA"/>
              </w:rPr>
              <w:t>需编写环境影响评价报告表。本次评价仅包括风电场、升压站及进站道路、进场支线道路建设内容，不涉及输变电线路建设内容。</w:t>
            </w:r>
          </w:p>
          <w:p w14:paraId="4DD23FA9">
            <w:pPr>
              <w:pStyle w:val="5"/>
              <w:ind w:firstLine="480" w:firstLineChars="200"/>
              <w:rPr>
                <w:rFonts w:hint="default" w:ascii="Times New Roman" w:hAnsi="Times New Roman" w:eastAsia="宋体" w:cs="Times New Roman"/>
                <w:b w:val="0"/>
                <w:bCs w:val="0"/>
                <w:color w:val="auto"/>
                <w:kern w:val="2"/>
                <w:sz w:val="24"/>
                <w:szCs w:val="24"/>
                <w:u w:val="none"/>
                <w:lang w:val="en-US" w:eastAsia="zh-CN" w:bidi="ar-SA"/>
              </w:rPr>
            </w:pPr>
            <w:r>
              <w:rPr>
                <w:rFonts w:hint="default" w:ascii="Times New Roman" w:hAnsi="Times New Roman" w:eastAsia="宋体" w:cs="Times New Roman"/>
                <w:b w:val="0"/>
                <w:bCs w:val="0"/>
                <w:color w:val="auto"/>
                <w:kern w:val="2"/>
                <w:sz w:val="24"/>
                <w:szCs w:val="24"/>
                <w:u w:val="wave"/>
                <w:lang w:val="en-US" w:eastAsia="zh-CN" w:bidi="ar-SA"/>
              </w:rPr>
              <w:t>项目总规划容量75MW</w:t>
            </w:r>
            <w:r>
              <w:rPr>
                <w:rFonts w:hint="eastAsia" w:cs="Times New Roman"/>
                <w:b w:val="0"/>
                <w:bCs w:val="0"/>
                <w:color w:val="auto"/>
                <w:kern w:val="2"/>
                <w:sz w:val="24"/>
                <w:szCs w:val="24"/>
                <w:u w:val="wave"/>
                <w:lang w:val="en-US" w:eastAsia="zh-CN" w:bidi="ar-SA"/>
              </w:rPr>
              <w:t>，</w:t>
            </w:r>
            <w:r>
              <w:rPr>
                <w:rFonts w:hint="default" w:ascii="Times New Roman" w:hAnsi="Times New Roman" w:eastAsia="宋体" w:cs="Times New Roman"/>
                <w:b w:val="0"/>
                <w:bCs w:val="0"/>
                <w:color w:val="auto"/>
                <w:kern w:val="2"/>
                <w:sz w:val="24"/>
                <w:szCs w:val="24"/>
                <w:u w:val="wave"/>
                <w:lang w:val="en-US" w:eastAsia="zh-CN" w:bidi="ar-SA"/>
              </w:rPr>
              <w:t>本期拟安装15台单机容量5MW的风力发电机组，新建一座220kV升压站</w:t>
            </w:r>
            <w:r>
              <w:rPr>
                <w:rFonts w:hint="eastAsia" w:cs="Times New Roman"/>
                <w:b w:val="0"/>
                <w:bCs w:val="0"/>
                <w:color w:val="auto"/>
                <w:kern w:val="2"/>
                <w:sz w:val="24"/>
                <w:szCs w:val="24"/>
                <w:u w:val="wave"/>
                <w:lang w:val="en-US" w:eastAsia="zh-CN" w:bidi="ar-SA"/>
              </w:rPr>
              <w:t>，不设置储能设施</w:t>
            </w:r>
            <w:r>
              <w:rPr>
                <w:rFonts w:hint="default" w:ascii="Times New Roman" w:hAnsi="Times New Roman" w:eastAsia="宋体" w:cs="Times New Roman"/>
                <w:b w:val="0"/>
                <w:bCs w:val="0"/>
                <w:color w:val="auto"/>
                <w:kern w:val="2"/>
                <w:sz w:val="24"/>
                <w:szCs w:val="24"/>
                <w:u w:val="none"/>
                <w:lang w:val="en-US" w:eastAsia="zh-CN" w:bidi="ar-SA"/>
              </w:rPr>
              <w:t>。</w:t>
            </w:r>
          </w:p>
          <w:p w14:paraId="407450F6">
            <w:pPr>
              <w:pStyle w:val="5"/>
              <w:rPr>
                <w:color w:val="auto"/>
                <w:u w:val="none"/>
              </w:rPr>
            </w:pPr>
            <w:r>
              <w:rPr>
                <w:color w:val="auto"/>
                <w:u w:val="none"/>
              </w:rPr>
              <w:t>2.2.</w:t>
            </w:r>
            <w:r>
              <w:rPr>
                <w:rFonts w:hint="eastAsia"/>
                <w:color w:val="auto"/>
                <w:u w:val="none"/>
                <w:lang w:val="en-US" w:eastAsia="zh-CN"/>
              </w:rPr>
              <w:t>1</w:t>
            </w:r>
            <w:r>
              <w:rPr>
                <w:color w:val="auto"/>
                <w:u w:val="none"/>
              </w:rPr>
              <w:t>项目组成</w:t>
            </w:r>
          </w:p>
          <w:p w14:paraId="3A6D1E5E">
            <w:pPr>
              <w:ind w:firstLine="480" w:firstLineChars="200"/>
              <w:rPr>
                <w:rFonts w:hint="eastAsia"/>
                <w:color w:val="FF0000"/>
                <w:u w:val="none"/>
                <w:lang w:val="en-US" w:eastAsia="zh-CN"/>
              </w:rPr>
            </w:pPr>
            <w:r>
              <w:rPr>
                <w:rFonts w:hint="eastAsia"/>
                <w:color w:val="000000" w:themeColor="text1"/>
                <w:u w:val="none"/>
                <w:lang w:val="en-US" w:eastAsia="zh-CN"/>
                <w14:textFill>
                  <w14:solidFill>
                    <w14:schemeClr w14:val="tx1"/>
                  </w14:solidFill>
                </w14:textFill>
              </w:rPr>
              <w:t>本项目为全省“十四五”第一批风电、集中式光伏发电项目，于2022年6月21日获得湖南省发展和改革委员会复函，同意项目立项。</w:t>
            </w:r>
          </w:p>
          <w:p w14:paraId="37DFD1DA">
            <w:pPr>
              <w:ind w:firstLine="480" w:firstLineChars="200"/>
              <w:rPr>
                <w:rFonts w:hint="default" w:eastAsia="宋体"/>
                <w:color w:val="FF0000"/>
                <w:u w:val="none"/>
                <w:lang w:val="en-US" w:eastAsia="zh-CN"/>
              </w:rPr>
            </w:pPr>
            <w:r>
              <w:rPr>
                <w:color w:val="auto"/>
                <w:u w:val="none"/>
              </w:rPr>
              <w:t>本项目主要由风机基础区、集电线路区、升压站区、交通设施区、施工生产生活区、弃渣场和表土堆存场区等项目组成</w:t>
            </w:r>
            <w:r>
              <w:rPr>
                <w:rFonts w:hint="eastAsia"/>
                <w:color w:val="auto"/>
                <w:u w:val="none"/>
                <w:lang w:eastAsia="zh-CN"/>
              </w:rPr>
              <w:t>。</w:t>
            </w:r>
            <w:r>
              <w:rPr>
                <w:rFonts w:hint="eastAsia"/>
                <w:color w:val="auto"/>
                <w:u w:val="wave"/>
              </w:rPr>
              <w:t>本项目工程规模为中型。设计安装</w:t>
            </w:r>
            <w:r>
              <w:rPr>
                <w:rFonts w:hint="eastAsia"/>
                <w:color w:val="auto"/>
                <w:u w:val="wave"/>
                <w:lang w:val="en-US" w:eastAsia="zh-CN"/>
              </w:rPr>
              <w:t>15</w:t>
            </w:r>
            <w:r>
              <w:rPr>
                <w:rFonts w:hint="eastAsia"/>
                <w:color w:val="auto"/>
                <w:u w:val="wave"/>
              </w:rPr>
              <w:t>台单机容量为5000kW的WTG5.0-200型风力发电机组，总装机规模为</w:t>
            </w:r>
            <w:r>
              <w:rPr>
                <w:rFonts w:hint="eastAsia"/>
                <w:color w:val="auto"/>
                <w:u w:val="wave"/>
                <w:lang w:val="en-US" w:eastAsia="zh-CN"/>
              </w:rPr>
              <w:t>75</w:t>
            </w:r>
            <w:r>
              <w:rPr>
                <w:rFonts w:hint="eastAsia"/>
                <w:color w:val="auto"/>
                <w:u w:val="wave"/>
              </w:rPr>
              <w:t>MW。预计年上网发电量为</w:t>
            </w:r>
            <w:r>
              <w:rPr>
                <w:rFonts w:hint="eastAsia"/>
                <w:color w:val="000000" w:themeColor="text1"/>
                <w:u w:val="wave"/>
                <w14:textFill>
                  <w14:solidFill>
                    <w14:schemeClr w14:val="tx1"/>
                  </w14:solidFill>
                </w14:textFill>
              </w:rPr>
              <w:t>181500</w:t>
            </w:r>
            <w:r>
              <w:rPr>
                <w:rFonts w:hint="eastAsia"/>
                <w:color w:val="000000" w:themeColor="text1"/>
                <w:u w:val="wave"/>
                <w:lang w:val="en-US" w:eastAsia="zh-CN"/>
                <w14:textFill>
                  <w14:solidFill>
                    <w14:schemeClr w14:val="tx1"/>
                  </w14:solidFill>
                </w14:textFill>
              </w:rPr>
              <w:t>M</w:t>
            </w:r>
            <w:r>
              <w:rPr>
                <w:rFonts w:hint="eastAsia"/>
                <w:color w:val="000000" w:themeColor="text1"/>
                <w:u w:val="wave"/>
                <w14:textFill>
                  <w14:solidFill>
                    <w14:schemeClr w14:val="tx1"/>
                  </w14:solidFill>
                </w14:textFill>
              </w:rPr>
              <w:t>W•h，</w:t>
            </w:r>
            <w:r>
              <w:rPr>
                <w:rFonts w:hint="eastAsia"/>
                <w:color w:val="auto"/>
                <w:u w:val="wave"/>
              </w:rPr>
              <w:t>年等效满负荷小时数</w:t>
            </w:r>
            <w:r>
              <w:rPr>
                <w:rFonts w:hint="eastAsia"/>
                <w:color w:val="auto"/>
                <w:u w:val="wave"/>
                <w:lang w:val="en-US" w:eastAsia="zh-CN"/>
              </w:rPr>
              <w:t>2180</w:t>
            </w:r>
            <w:r>
              <w:rPr>
                <w:rFonts w:hint="eastAsia"/>
                <w:color w:val="auto"/>
                <w:u w:val="wave"/>
              </w:rPr>
              <w:t>h。道路工程总长</w:t>
            </w:r>
            <w:r>
              <w:rPr>
                <w:rFonts w:hint="eastAsia"/>
                <w:color w:val="auto"/>
                <w:u w:val="wave"/>
                <w:lang w:val="en-US" w:eastAsia="zh-CN"/>
              </w:rPr>
              <w:t>39.5</w:t>
            </w:r>
            <w:r>
              <w:rPr>
                <w:rFonts w:hint="eastAsia"/>
                <w:color w:val="auto"/>
                <w:u w:val="wave"/>
              </w:rPr>
              <w:t>km，其中新建道路</w:t>
            </w:r>
            <w:r>
              <w:rPr>
                <w:rFonts w:hint="eastAsia"/>
                <w:color w:val="auto"/>
                <w:u w:val="wave"/>
                <w:lang w:val="en-US" w:eastAsia="zh-CN"/>
              </w:rPr>
              <w:t>34.0</w:t>
            </w:r>
            <w:r>
              <w:rPr>
                <w:rFonts w:hint="eastAsia"/>
                <w:color w:val="auto"/>
                <w:u w:val="wave"/>
              </w:rPr>
              <w:t>km，改建道路</w:t>
            </w:r>
            <w:r>
              <w:rPr>
                <w:rFonts w:hint="eastAsia"/>
                <w:color w:val="auto"/>
                <w:u w:val="wave"/>
                <w:lang w:val="en-US" w:eastAsia="zh-CN"/>
              </w:rPr>
              <w:t>5.5</w:t>
            </w:r>
            <w:r>
              <w:rPr>
                <w:rFonts w:hint="eastAsia"/>
                <w:color w:val="auto"/>
                <w:u w:val="wave"/>
              </w:rPr>
              <w:t>km，新建1座</w:t>
            </w:r>
            <w:r>
              <w:rPr>
                <w:rFonts w:hint="eastAsia"/>
                <w:color w:val="auto"/>
                <w:u w:val="wave"/>
                <w:lang w:val="en-US" w:eastAsia="zh-CN"/>
              </w:rPr>
              <w:t>22</w:t>
            </w:r>
            <w:r>
              <w:rPr>
                <w:rFonts w:hint="eastAsia"/>
                <w:color w:val="auto"/>
                <w:u w:val="wave"/>
              </w:rPr>
              <w:t>0kV升压站</w:t>
            </w:r>
            <w:r>
              <w:rPr>
                <w:rFonts w:hint="eastAsia"/>
                <w:color w:val="auto"/>
                <w:u w:val="wave"/>
                <w:lang w:eastAsia="zh-CN"/>
              </w:rPr>
              <w:t>，容量系数0.2</w:t>
            </w:r>
            <w:r>
              <w:rPr>
                <w:rFonts w:hint="eastAsia"/>
                <w:color w:val="auto"/>
                <w:u w:val="wave"/>
                <w:lang w:val="en-US" w:eastAsia="zh-CN"/>
              </w:rPr>
              <w:t>76</w:t>
            </w:r>
            <w:r>
              <w:rPr>
                <w:rFonts w:hint="eastAsia"/>
                <w:color w:val="auto"/>
                <w:u w:val="wave"/>
                <w:lang w:eastAsia="zh-CN"/>
              </w:rPr>
              <w:t>。</w:t>
            </w:r>
            <w:r>
              <w:rPr>
                <w:rFonts w:hint="eastAsia"/>
                <w:color w:val="auto"/>
                <w:u w:val="wave"/>
              </w:rPr>
              <w:t>集电线路总长</w:t>
            </w:r>
            <w:r>
              <w:rPr>
                <w:rFonts w:hint="eastAsia"/>
                <w:color w:val="auto"/>
                <w:u w:val="wave"/>
                <w:lang w:val="en-US" w:eastAsia="zh-CN"/>
              </w:rPr>
              <w:t>56.1</w:t>
            </w:r>
            <w:r>
              <w:rPr>
                <w:rFonts w:hint="eastAsia"/>
                <w:color w:val="auto"/>
                <w:u w:val="wave"/>
              </w:rPr>
              <w:t>km，均为直埋电缆</w:t>
            </w:r>
            <w:r>
              <w:rPr>
                <w:rFonts w:hint="eastAsia"/>
                <w:color w:val="auto"/>
                <w:u w:val="wave"/>
                <w:lang w:eastAsia="zh-CN"/>
              </w:rPr>
              <w:t>，</w:t>
            </w:r>
            <w:r>
              <w:rPr>
                <w:rFonts w:hint="eastAsia"/>
                <w:color w:val="auto"/>
                <w:u w:val="wave"/>
                <w:lang w:val="en-US" w:eastAsia="zh-CN"/>
              </w:rPr>
              <w:t>项目不设置储能设施</w:t>
            </w:r>
            <w:r>
              <w:rPr>
                <w:rFonts w:hint="eastAsia"/>
                <w:color w:val="auto"/>
                <w:u w:val="wave"/>
              </w:rPr>
              <w:t>。</w:t>
            </w:r>
          </w:p>
          <w:p w14:paraId="68A09262">
            <w:pPr>
              <w:pStyle w:val="89"/>
              <w:ind w:firstLine="2530" w:firstLineChars="1200"/>
              <w:jc w:val="both"/>
              <w:rPr>
                <w:color w:val="auto"/>
                <w:kern w:val="2"/>
                <w:u w:val="none"/>
              </w:rPr>
            </w:pPr>
            <w:r>
              <w:rPr>
                <w:color w:val="auto"/>
                <w:kern w:val="2"/>
                <w:u w:val="none"/>
              </w:rPr>
              <w:t>表</w:t>
            </w:r>
            <w:r>
              <w:rPr>
                <w:rFonts w:hint="eastAsia"/>
                <w:color w:val="auto"/>
                <w:kern w:val="2"/>
                <w:u w:val="none"/>
              </w:rPr>
              <w:t>2.</w:t>
            </w:r>
            <w:r>
              <w:rPr>
                <w:color w:val="auto"/>
                <w:kern w:val="2"/>
                <w:u w:val="none"/>
              </w:rPr>
              <w:t>2-</w:t>
            </w:r>
            <w:r>
              <w:rPr>
                <w:rFonts w:hint="eastAsia"/>
                <w:color w:val="auto"/>
                <w:kern w:val="2"/>
                <w:u w:val="none"/>
                <w:lang w:val="en-US" w:eastAsia="zh-CN"/>
              </w:rPr>
              <w:t>1</w:t>
            </w:r>
            <w:r>
              <w:rPr>
                <w:color w:val="auto"/>
                <w:kern w:val="2"/>
                <w:u w:val="none"/>
              </w:rPr>
              <w:t xml:space="preserve">  风电场项目组成一览表</w:t>
            </w:r>
          </w:p>
          <w:tbl>
            <w:tblPr>
              <w:tblStyle w:val="26"/>
              <w:tblW w:w="7838" w:type="dxa"/>
              <w:tblInd w:w="-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561"/>
              <w:gridCol w:w="193"/>
              <w:gridCol w:w="826"/>
              <w:gridCol w:w="6258"/>
            </w:tblGrid>
            <w:tr w14:paraId="791F19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580" w:type="dxa"/>
                  <w:gridSpan w:val="3"/>
                  <w:vAlign w:val="center"/>
                </w:tcPr>
                <w:p w14:paraId="0154895A">
                  <w:pPr>
                    <w:adjustRightInd w:val="0"/>
                    <w:snapToGrid w:val="0"/>
                    <w:spacing w:before="24" w:beforeLines="10" w:after="24" w:afterLines="10" w:line="240" w:lineRule="auto"/>
                    <w:jc w:val="center"/>
                    <w:rPr>
                      <w:rFonts w:hint="eastAsia"/>
                      <w:b/>
                      <w:bCs/>
                      <w:color w:val="auto"/>
                      <w:kern w:val="0"/>
                      <w:sz w:val="21"/>
                      <w:szCs w:val="21"/>
                      <w:u w:val="none"/>
                    </w:rPr>
                  </w:pPr>
                  <w:r>
                    <w:rPr>
                      <w:rFonts w:hint="eastAsia"/>
                      <w:b/>
                      <w:bCs/>
                      <w:color w:val="auto"/>
                      <w:kern w:val="0"/>
                      <w:sz w:val="21"/>
                      <w:szCs w:val="21"/>
                      <w:u w:val="none"/>
                    </w:rPr>
                    <w:t>工程项目</w:t>
                  </w:r>
                </w:p>
              </w:tc>
              <w:tc>
                <w:tcPr>
                  <w:tcW w:w="6258" w:type="dxa"/>
                  <w:vAlign w:val="center"/>
                </w:tcPr>
                <w:p w14:paraId="5969A99C">
                  <w:pPr>
                    <w:adjustRightInd w:val="0"/>
                    <w:snapToGrid w:val="0"/>
                    <w:spacing w:before="24" w:beforeLines="10" w:after="24" w:afterLines="10" w:line="240" w:lineRule="auto"/>
                    <w:jc w:val="center"/>
                    <w:rPr>
                      <w:rFonts w:hint="eastAsia"/>
                      <w:b/>
                      <w:bCs/>
                      <w:color w:val="auto"/>
                      <w:kern w:val="0"/>
                      <w:sz w:val="21"/>
                      <w:szCs w:val="21"/>
                      <w:u w:val="none"/>
                    </w:rPr>
                  </w:pPr>
                  <w:r>
                    <w:rPr>
                      <w:rFonts w:hint="eastAsia"/>
                      <w:b/>
                      <w:bCs/>
                      <w:color w:val="auto"/>
                      <w:kern w:val="0"/>
                      <w:sz w:val="21"/>
                      <w:szCs w:val="21"/>
                      <w:u w:val="none"/>
                    </w:rPr>
                    <w:t>项目组成及特性</w:t>
                  </w:r>
                </w:p>
              </w:tc>
            </w:tr>
            <w:tr w14:paraId="31A5D4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61" w:type="dxa"/>
                  <w:vMerge w:val="restart"/>
                  <w:vAlign w:val="center"/>
                </w:tcPr>
                <w:p w14:paraId="2EC3D864">
                  <w:pPr>
                    <w:adjustRightInd w:val="0"/>
                    <w:snapToGrid w:val="0"/>
                    <w:spacing w:before="24" w:beforeLines="10" w:after="24" w:afterLines="10" w:line="240" w:lineRule="auto"/>
                    <w:jc w:val="center"/>
                    <w:rPr>
                      <w:rFonts w:hint="eastAsia"/>
                      <w:color w:val="auto"/>
                      <w:kern w:val="0"/>
                      <w:sz w:val="21"/>
                      <w:szCs w:val="21"/>
                      <w:u w:val="none"/>
                    </w:rPr>
                  </w:pPr>
                </w:p>
                <w:p w14:paraId="60B65C0F">
                  <w:pPr>
                    <w:adjustRightInd w:val="0"/>
                    <w:snapToGrid w:val="0"/>
                    <w:spacing w:before="24" w:beforeLines="10" w:after="24" w:afterLines="10" w:line="240" w:lineRule="auto"/>
                    <w:jc w:val="center"/>
                    <w:rPr>
                      <w:rFonts w:hint="eastAsia"/>
                      <w:color w:val="auto"/>
                      <w:kern w:val="0"/>
                      <w:sz w:val="21"/>
                      <w:szCs w:val="21"/>
                      <w:u w:val="none"/>
                    </w:rPr>
                  </w:pPr>
                  <w:r>
                    <w:rPr>
                      <w:rFonts w:hint="eastAsia"/>
                      <w:color w:val="auto"/>
                      <w:kern w:val="0"/>
                      <w:sz w:val="21"/>
                      <w:szCs w:val="21"/>
                      <w:u w:val="none"/>
                    </w:rPr>
                    <w:t>风机</w:t>
                  </w:r>
                </w:p>
                <w:p w14:paraId="270A3B83">
                  <w:pPr>
                    <w:adjustRightInd w:val="0"/>
                    <w:snapToGrid w:val="0"/>
                    <w:spacing w:before="24" w:beforeLines="10" w:after="24" w:afterLines="10" w:line="240" w:lineRule="auto"/>
                    <w:jc w:val="center"/>
                    <w:rPr>
                      <w:rFonts w:hint="eastAsia"/>
                      <w:color w:val="auto"/>
                      <w:kern w:val="0"/>
                      <w:sz w:val="21"/>
                      <w:szCs w:val="21"/>
                      <w:u w:val="none"/>
                    </w:rPr>
                  </w:pPr>
                  <w:r>
                    <w:rPr>
                      <w:rFonts w:hint="eastAsia"/>
                      <w:color w:val="auto"/>
                      <w:kern w:val="0"/>
                      <w:sz w:val="21"/>
                      <w:szCs w:val="21"/>
                      <w:u w:val="none"/>
                    </w:rPr>
                    <w:t>平台</w:t>
                  </w:r>
                </w:p>
              </w:tc>
              <w:tc>
                <w:tcPr>
                  <w:tcW w:w="1019" w:type="dxa"/>
                  <w:gridSpan w:val="2"/>
                  <w:vAlign w:val="center"/>
                </w:tcPr>
                <w:p w14:paraId="46EF9865">
                  <w:pPr>
                    <w:adjustRightInd w:val="0"/>
                    <w:snapToGrid w:val="0"/>
                    <w:spacing w:before="24" w:beforeLines="10" w:after="24" w:afterLines="10" w:line="240" w:lineRule="auto"/>
                    <w:jc w:val="center"/>
                    <w:rPr>
                      <w:rFonts w:hint="eastAsia"/>
                      <w:color w:val="auto"/>
                      <w:kern w:val="0"/>
                      <w:sz w:val="21"/>
                      <w:szCs w:val="21"/>
                      <w:u w:val="none"/>
                    </w:rPr>
                  </w:pPr>
                  <w:r>
                    <w:rPr>
                      <w:rFonts w:hint="eastAsia"/>
                      <w:color w:val="auto"/>
                      <w:kern w:val="0"/>
                      <w:sz w:val="21"/>
                      <w:szCs w:val="21"/>
                      <w:u w:val="none"/>
                    </w:rPr>
                    <w:t>风机、箱变基础</w:t>
                  </w:r>
                </w:p>
              </w:tc>
              <w:tc>
                <w:tcPr>
                  <w:tcW w:w="6258" w:type="dxa"/>
                  <w:vAlign w:val="center"/>
                </w:tcPr>
                <w:p w14:paraId="614684CC">
                  <w:pPr>
                    <w:adjustRightInd w:val="0"/>
                    <w:snapToGrid w:val="0"/>
                    <w:spacing w:before="24" w:beforeLines="10" w:after="24" w:afterLines="10" w:line="240" w:lineRule="auto"/>
                    <w:jc w:val="left"/>
                    <w:rPr>
                      <w:rFonts w:hint="eastAsia"/>
                      <w:color w:val="FF0000"/>
                      <w:kern w:val="0"/>
                      <w:sz w:val="21"/>
                      <w:szCs w:val="21"/>
                      <w:u w:val="none"/>
                    </w:rPr>
                  </w:pPr>
                  <w:r>
                    <w:rPr>
                      <w:rFonts w:hint="eastAsia"/>
                      <w:color w:val="000000" w:themeColor="text1"/>
                      <w:kern w:val="0"/>
                      <w:sz w:val="21"/>
                      <w:szCs w:val="21"/>
                      <w:u w:val="none"/>
                      <w:lang w:val="en-US" w:eastAsia="zh-CN"/>
                      <w14:textFill>
                        <w14:solidFill>
                          <w14:schemeClr w14:val="tx1"/>
                        </w14:solidFill>
                      </w14:textFill>
                    </w:rPr>
                    <w:t>15</w:t>
                  </w:r>
                  <w:r>
                    <w:rPr>
                      <w:rFonts w:hint="eastAsia"/>
                      <w:color w:val="000000" w:themeColor="text1"/>
                      <w:kern w:val="0"/>
                      <w:sz w:val="21"/>
                      <w:szCs w:val="21"/>
                      <w:u w:val="none"/>
                      <w14:textFill>
                        <w14:solidFill>
                          <w14:schemeClr w14:val="tx1"/>
                        </w14:solidFill>
                      </w14:textFill>
                    </w:rPr>
                    <w:t>台风力发电机组，总装机规模为</w:t>
                  </w:r>
                  <w:r>
                    <w:rPr>
                      <w:rFonts w:hint="eastAsia"/>
                      <w:color w:val="000000" w:themeColor="text1"/>
                      <w:kern w:val="0"/>
                      <w:sz w:val="21"/>
                      <w:szCs w:val="21"/>
                      <w:u w:val="none"/>
                      <w:lang w:val="en-US" w:eastAsia="zh-CN"/>
                      <w14:textFill>
                        <w14:solidFill>
                          <w14:schemeClr w14:val="tx1"/>
                        </w14:solidFill>
                      </w14:textFill>
                    </w:rPr>
                    <w:t>75</w:t>
                  </w:r>
                  <w:r>
                    <w:rPr>
                      <w:rFonts w:hint="eastAsia"/>
                      <w:color w:val="000000" w:themeColor="text1"/>
                      <w:kern w:val="0"/>
                      <w:sz w:val="21"/>
                      <w:szCs w:val="21"/>
                      <w:u w:val="none"/>
                      <w14:textFill>
                        <w14:solidFill>
                          <w14:schemeClr w14:val="tx1"/>
                        </w14:solidFill>
                      </w14:textFill>
                    </w:rPr>
                    <w:t>MW</w:t>
                  </w:r>
                  <w:r>
                    <w:rPr>
                      <w:rFonts w:hint="eastAsia"/>
                      <w:color w:val="000000" w:themeColor="text1"/>
                      <w:kern w:val="0"/>
                      <w:sz w:val="21"/>
                      <w:szCs w:val="21"/>
                      <w:u w:val="none"/>
                      <w:lang w:val="en-US" w:eastAsia="zh-CN"/>
                      <w14:textFill>
                        <w14:solidFill>
                          <w14:schemeClr w14:val="tx1"/>
                        </w14:solidFill>
                      </w14:textFill>
                    </w:rPr>
                    <w:t>。</w:t>
                  </w:r>
                  <w:r>
                    <w:rPr>
                      <w:rFonts w:hint="eastAsia"/>
                      <w:color w:val="auto"/>
                      <w:kern w:val="0"/>
                      <w:sz w:val="21"/>
                      <w:szCs w:val="21"/>
                      <w:u w:val="none"/>
                    </w:rPr>
                    <w:t>总占地面积</w:t>
                  </w:r>
                  <w:r>
                    <w:rPr>
                      <w:rFonts w:hint="eastAsia"/>
                      <w:color w:val="auto"/>
                      <w:kern w:val="0"/>
                      <w:sz w:val="21"/>
                      <w:szCs w:val="21"/>
                      <w:u w:val="none"/>
                      <w:lang w:val="en-US" w:eastAsia="zh-CN"/>
                    </w:rPr>
                    <w:t>0.594h</w:t>
                  </w:r>
                  <w:r>
                    <w:rPr>
                      <w:rFonts w:hint="eastAsia"/>
                      <w:color w:val="auto"/>
                      <w:kern w:val="0"/>
                      <w:sz w:val="21"/>
                      <w:szCs w:val="21"/>
                      <w:u w:val="none"/>
                    </w:rPr>
                    <w:t>m</w:t>
                  </w:r>
                  <w:r>
                    <w:rPr>
                      <w:rFonts w:hint="eastAsia"/>
                      <w:color w:val="auto"/>
                      <w:kern w:val="0"/>
                      <w:sz w:val="21"/>
                      <w:szCs w:val="21"/>
                      <w:u w:val="none"/>
                      <w:vertAlign w:val="superscript"/>
                    </w:rPr>
                    <w:t>2</w:t>
                  </w:r>
                  <w:r>
                    <w:rPr>
                      <w:rFonts w:hint="eastAsia"/>
                      <w:color w:val="auto"/>
                      <w:kern w:val="0"/>
                      <w:sz w:val="21"/>
                      <w:szCs w:val="21"/>
                      <w:u w:val="none"/>
                      <w:vertAlign w:val="baseline"/>
                    </w:rPr>
                    <w:t>。</w:t>
                  </w:r>
                </w:p>
              </w:tc>
            </w:tr>
            <w:tr w14:paraId="19FAC1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61" w:type="dxa"/>
                  <w:vMerge w:val="continue"/>
                  <w:tcBorders>
                    <w:top w:val="nil"/>
                  </w:tcBorders>
                  <w:vAlign w:val="center"/>
                </w:tcPr>
                <w:p w14:paraId="3F98545E">
                  <w:pPr>
                    <w:adjustRightInd w:val="0"/>
                    <w:snapToGrid w:val="0"/>
                    <w:spacing w:before="24" w:beforeLines="10" w:after="24" w:afterLines="10" w:line="240" w:lineRule="auto"/>
                    <w:jc w:val="center"/>
                    <w:rPr>
                      <w:rFonts w:hint="eastAsia"/>
                      <w:color w:val="auto"/>
                      <w:kern w:val="0"/>
                      <w:sz w:val="21"/>
                      <w:szCs w:val="21"/>
                      <w:u w:val="none"/>
                    </w:rPr>
                  </w:pPr>
                </w:p>
              </w:tc>
              <w:tc>
                <w:tcPr>
                  <w:tcW w:w="1019" w:type="dxa"/>
                  <w:gridSpan w:val="2"/>
                  <w:vAlign w:val="center"/>
                </w:tcPr>
                <w:p w14:paraId="67403D51">
                  <w:pPr>
                    <w:adjustRightInd w:val="0"/>
                    <w:snapToGrid w:val="0"/>
                    <w:spacing w:before="24" w:beforeLines="10" w:after="24" w:afterLines="10" w:line="240" w:lineRule="auto"/>
                    <w:jc w:val="center"/>
                    <w:rPr>
                      <w:rFonts w:hint="eastAsia"/>
                      <w:color w:val="auto"/>
                      <w:kern w:val="0"/>
                      <w:sz w:val="21"/>
                      <w:szCs w:val="21"/>
                      <w:u w:val="none"/>
                    </w:rPr>
                  </w:pPr>
                  <w:r>
                    <w:rPr>
                      <w:rFonts w:hint="eastAsia"/>
                      <w:color w:val="auto"/>
                      <w:kern w:val="0"/>
                      <w:sz w:val="21"/>
                      <w:szCs w:val="21"/>
                      <w:u w:val="none"/>
                    </w:rPr>
                    <w:t>风机</w:t>
                  </w:r>
                </w:p>
                <w:p w14:paraId="07362006">
                  <w:pPr>
                    <w:adjustRightInd w:val="0"/>
                    <w:snapToGrid w:val="0"/>
                    <w:spacing w:before="24" w:beforeLines="10" w:after="24" w:afterLines="10" w:line="240" w:lineRule="auto"/>
                    <w:jc w:val="center"/>
                    <w:rPr>
                      <w:rFonts w:hint="eastAsia"/>
                      <w:color w:val="auto"/>
                      <w:kern w:val="0"/>
                      <w:sz w:val="21"/>
                      <w:szCs w:val="21"/>
                      <w:u w:val="none"/>
                    </w:rPr>
                  </w:pPr>
                  <w:r>
                    <w:rPr>
                      <w:rFonts w:hint="eastAsia"/>
                      <w:color w:val="auto"/>
                      <w:kern w:val="0"/>
                      <w:sz w:val="21"/>
                      <w:szCs w:val="21"/>
                      <w:u w:val="none"/>
                    </w:rPr>
                    <w:t>安装场地</w:t>
                  </w:r>
                </w:p>
              </w:tc>
              <w:tc>
                <w:tcPr>
                  <w:tcW w:w="6258" w:type="dxa"/>
                  <w:vAlign w:val="center"/>
                </w:tcPr>
                <w:p w14:paraId="28AC794A">
                  <w:pPr>
                    <w:adjustRightInd w:val="0"/>
                    <w:snapToGrid w:val="0"/>
                    <w:spacing w:before="24" w:beforeLines="10" w:after="24" w:afterLines="10" w:line="240" w:lineRule="auto"/>
                    <w:jc w:val="left"/>
                    <w:rPr>
                      <w:rFonts w:hint="eastAsia" w:eastAsia="宋体"/>
                      <w:color w:val="auto"/>
                      <w:kern w:val="0"/>
                      <w:sz w:val="21"/>
                      <w:szCs w:val="21"/>
                      <w:u w:val="none"/>
                      <w:lang w:eastAsia="zh-CN"/>
                    </w:rPr>
                  </w:pPr>
                  <w:r>
                    <w:rPr>
                      <w:rFonts w:hint="eastAsia"/>
                      <w:color w:val="auto"/>
                      <w:kern w:val="0"/>
                      <w:sz w:val="21"/>
                      <w:szCs w:val="21"/>
                      <w:u w:val="none"/>
                    </w:rPr>
                    <w:t>风机平台区总用地</w:t>
                  </w:r>
                  <w:r>
                    <w:rPr>
                      <w:rFonts w:hint="eastAsia"/>
                      <w:color w:val="auto"/>
                      <w:kern w:val="0"/>
                      <w:sz w:val="21"/>
                      <w:szCs w:val="21"/>
                      <w:u w:val="none"/>
                      <w:lang w:val="en-US" w:eastAsia="zh-CN"/>
                    </w:rPr>
                    <w:t>3.57h</w:t>
                  </w:r>
                  <w:r>
                    <w:rPr>
                      <w:rFonts w:hint="eastAsia"/>
                      <w:color w:val="auto"/>
                      <w:kern w:val="0"/>
                      <w:sz w:val="21"/>
                      <w:szCs w:val="21"/>
                      <w:u w:val="none"/>
                    </w:rPr>
                    <w:t>m</w:t>
                  </w:r>
                  <w:r>
                    <w:rPr>
                      <w:rFonts w:hint="eastAsia"/>
                      <w:color w:val="auto"/>
                      <w:kern w:val="0"/>
                      <w:sz w:val="21"/>
                      <w:szCs w:val="21"/>
                      <w:u w:val="none"/>
                      <w:vertAlign w:val="superscript"/>
                    </w:rPr>
                    <w:t>2</w:t>
                  </w:r>
                  <w:r>
                    <w:rPr>
                      <w:rFonts w:hint="eastAsia"/>
                      <w:color w:val="auto"/>
                      <w:kern w:val="0"/>
                      <w:sz w:val="21"/>
                      <w:szCs w:val="21"/>
                      <w:u w:val="none"/>
                    </w:rPr>
                    <w:t>，扣除风机及箱变基础永久用地后，安装场地共计</w:t>
                  </w:r>
                  <w:r>
                    <w:rPr>
                      <w:rFonts w:hint="eastAsia"/>
                      <w:color w:val="auto"/>
                      <w:kern w:val="0"/>
                      <w:sz w:val="21"/>
                      <w:szCs w:val="21"/>
                      <w:u w:val="none"/>
                      <w:lang w:val="en-US" w:eastAsia="zh-CN"/>
                    </w:rPr>
                    <w:t>3.0h</w:t>
                  </w:r>
                  <w:r>
                    <w:rPr>
                      <w:rFonts w:hint="eastAsia"/>
                      <w:color w:val="auto"/>
                      <w:kern w:val="0"/>
                      <w:sz w:val="21"/>
                      <w:szCs w:val="21"/>
                      <w:u w:val="none"/>
                    </w:rPr>
                    <w:t>m</w:t>
                  </w:r>
                  <w:r>
                    <w:rPr>
                      <w:rFonts w:hint="eastAsia"/>
                      <w:color w:val="auto"/>
                      <w:kern w:val="0"/>
                      <w:sz w:val="21"/>
                      <w:szCs w:val="21"/>
                      <w:u w:val="none"/>
                      <w:vertAlign w:val="superscript"/>
                    </w:rPr>
                    <w:t>2</w:t>
                  </w:r>
                  <w:r>
                    <w:rPr>
                      <w:rFonts w:hint="eastAsia"/>
                      <w:color w:val="auto"/>
                      <w:kern w:val="0"/>
                      <w:sz w:val="21"/>
                      <w:szCs w:val="21"/>
                      <w:u w:val="none"/>
                      <w:vertAlign w:val="baseline"/>
                      <w:lang w:eastAsia="zh-CN"/>
                    </w:rPr>
                    <w:t>。</w:t>
                  </w:r>
                </w:p>
              </w:tc>
            </w:tr>
            <w:tr w14:paraId="6F9132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580" w:type="dxa"/>
                  <w:gridSpan w:val="3"/>
                  <w:vAlign w:val="center"/>
                </w:tcPr>
                <w:p w14:paraId="55BDF754">
                  <w:pPr>
                    <w:adjustRightInd w:val="0"/>
                    <w:snapToGrid w:val="0"/>
                    <w:spacing w:before="24" w:beforeLines="10" w:after="24" w:afterLines="10" w:line="240" w:lineRule="auto"/>
                    <w:jc w:val="center"/>
                    <w:rPr>
                      <w:rFonts w:hint="eastAsia"/>
                      <w:color w:val="000000" w:themeColor="text1"/>
                      <w:kern w:val="0"/>
                      <w:sz w:val="21"/>
                      <w:szCs w:val="21"/>
                      <w:u w:val="none"/>
                      <w14:textFill>
                        <w14:solidFill>
                          <w14:schemeClr w14:val="tx1"/>
                        </w14:solidFill>
                      </w14:textFill>
                    </w:rPr>
                  </w:pPr>
                  <w:r>
                    <w:rPr>
                      <w:rFonts w:hint="eastAsia"/>
                      <w:color w:val="000000" w:themeColor="text1"/>
                      <w:kern w:val="0"/>
                      <w:sz w:val="21"/>
                      <w:szCs w:val="21"/>
                      <w:u w:val="none"/>
                      <w14:textFill>
                        <w14:solidFill>
                          <w14:schemeClr w14:val="tx1"/>
                        </w14:solidFill>
                      </w14:textFill>
                    </w:rPr>
                    <w:t>升压站</w:t>
                  </w:r>
                </w:p>
              </w:tc>
              <w:tc>
                <w:tcPr>
                  <w:tcW w:w="6258" w:type="dxa"/>
                  <w:vAlign w:val="center"/>
                </w:tcPr>
                <w:p w14:paraId="72B8D8F2">
                  <w:pPr>
                    <w:adjustRightInd w:val="0"/>
                    <w:snapToGrid w:val="0"/>
                    <w:spacing w:before="24" w:beforeLines="10" w:after="24" w:afterLines="10" w:line="240" w:lineRule="auto"/>
                    <w:jc w:val="left"/>
                    <w:rPr>
                      <w:rFonts w:hint="eastAsia" w:eastAsia="宋体"/>
                      <w:color w:val="000000" w:themeColor="text1"/>
                      <w:kern w:val="0"/>
                      <w:sz w:val="21"/>
                      <w:szCs w:val="21"/>
                      <w:u w:val="none"/>
                      <w:lang w:val="en-US" w:eastAsia="zh-CN"/>
                      <w14:textFill>
                        <w14:solidFill>
                          <w14:schemeClr w14:val="tx1"/>
                        </w14:solidFill>
                      </w14:textFill>
                    </w:rPr>
                  </w:pPr>
                  <w:r>
                    <w:rPr>
                      <w:rFonts w:hint="eastAsia"/>
                      <w:color w:val="000000" w:themeColor="text1"/>
                      <w:kern w:val="0"/>
                      <w:sz w:val="21"/>
                      <w:szCs w:val="21"/>
                      <w:u w:val="none"/>
                      <w14:textFill>
                        <w14:solidFill>
                          <w14:schemeClr w14:val="tx1"/>
                        </w14:solidFill>
                      </w14:textFill>
                    </w:rPr>
                    <w:t>新建一座</w:t>
                  </w:r>
                  <w:r>
                    <w:rPr>
                      <w:rFonts w:hint="eastAsia"/>
                      <w:color w:val="000000" w:themeColor="text1"/>
                      <w:kern w:val="0"/>
                      <w:sz w:val="21"/>
                      <w:szCs w:val="21"/>
                      <w:u w:val="none"/>
                      <w:lang w:val="en-US" w:eastAsia="zh-CN"/>
                      <w14:textFill>
                        <w14:solidFill>
                          <w14:schemeClr w14:val="tx1"/>
                        </w14:solidFill>
                      </w14:textFill>
                    </w:rPr>
                    <w:t>22</w:t>
                  </w:r>
                  <w:r>
                    <w:rPr>
                      <w:rFonts w:hint="eastAsia"/>
                      <w:color w:val="000000" w:themeColor="text1"/>
                      <w:kern w:val="0"/>
                      <w:sz w:val="21"/>
                      <w:szCs w:val="21"/>
                      <w:u w:val="none"/>
                      <w14:textFill>
                        <w14:solidFill>
                          <w14:schemeClr w14:val="tx1"/>
                        </w14:solidFill>
                      </w14:textFill>
                    </w:rPr>
                    <w:t>0kV升压站，电压等级</w:t>
                  </w:r>
                  <w:r>
                    <w:rPr>
                      <w:rFonts w:hint="eastAsia"/>
                      <w:color w:val="000000" w:themeColor="text1"/>
                      <w:kern w:val="0"/>
                      <w:sz w:val="21"/>
                      <w:szCs w:val="21"/>
                      <w:u w:val="none"/>
                      <w:lang w:val="en-US" w:eastAsia="zh-CN"/>
                      <w14:textFill>
                        <w14:solidFill>
                          <w14:schemeClr w14:val="tx1"/>
                        </w14:solidFill>
                      </w14:textFill>
                    </w:rPr>
                    <w:t>220</w:t>
                  </w:r>
                  <w:r>
                    <w:rPr>
                      <w:rFonts w:hint="eastAsia"/>
                      <w:color w:val="000000" w:themeColor="text1"/>
                      <w:kern w:val="0"/>
                      <w:sz w:val="21"/>
                      <w:szCs w:val="21"/>
                      <w:u w:val="none"/>
                      <w14:textFill>
                        <w14:solidFill>
                          <w14:schemeClr w14:val="tx1"/>
                        </w14:solidFill>
                      </w14:textFill>
                    </w:rPr>
                    <w:t>/</w:t>
                  </w:r>
                  <w:r>
                    <w:rPr>
                      <w:rFonts w:hint="eastAsia"/>
                      <w:color w:val="000000" w:themeColor="text1"/>
                      <w:kern w:val="0"/>
                      <w:sz w:val="21"/>
                      <w:szCs w:val="21"/>
                      <w:u w:val="none"/>
                      <w:lang w:val="en-US" w:eastAsia="zh-CN"/>
                      <w14:textFill>
                        <w14:solidFill>
                          <w14:schemeClr w14:val="tx1"/>
                        </w14:solidFill>
                      </w14:textFill>
                    </w:rPr>
                    <w:t>35</w:t>
                  </w:r>
                  <w:r>
                    <w:rPr>
                      <w:rFonts w:hint="eastAsia"/>
                      <w:color w:val="000000" w:themeColor="text1"/>
                      <w:kern w:val="0"/>
                      <w:sz w:val="21"/>
                      <w:szCs w:val="21"/>
                      <w:u w:val="none"/>
                      <w14:textFill>
                        <w14:solidFill>
                          <w14:schemeClr w14:val="tx1"/>
                        </w14:solidFill>
                      </w14:textFill>
                    </w:rPr>
                    <w:t>kV。主变容量为</w:t>
                  </w:r>
                  <w:r>
                    <w:rPr>
                      <w:rFonts w:hint="eastAsia"/>
                      <w:color w:val="000000" w:themeColor="text1"/>
                      <w:kern w:val="0"/>
                      <w:sz w:val="21"/>
                      <w:szCs w:val="21"/>
                      <w:u w:val="none"/>
                      <w:lang w:val="en-US" w:eastAsia="zh-CN"/>
                      <w14:textFill>
                        <w14:solidFill>
                          <w14:schemeClr w14:val="tx1"/>
                        </w14:solidFill>
                      </w14:textFill>
                    </w:rPr>
                    <w:t>150</w:t>
                  </w:r>
                  <w:r>
                    <w:rPr>
                      <w:rFonts w:hint="eastAsia"/>
                      <w:color w:val="000000" w:themeColor="text1"/>
                      <w:kern w:val="0"/>
                      <w:sz w:val="21"/>
                      <w:szCs w:val="21"/>
                      <w:u w:val="none"/>
                      <w14:textFill>
                        <w14:solidFill>
                          <w14:schemeClr w14:val="tx1"/>
                        </w14:solidFill>
                      </w14:textFill>
                    </w:rPr>
                    <w:t>MVA。</w:t>
                  </w:r>
                  <w:r>
                    <w:rPr>
                      <w:rFonts w:hint="eastAsia"/>
                      <w:color w:val="000000" w:themeColor="text1"/>
                      <w:kern w:val="0"/>
                      <w:sz w:val="21"/>
                      <w:szCs w:val="21"/>
                      <w:u w:val="none"/>
                      <w:lang w:val="en-US" w:eastAsia="zh-CN"/>
                      <w14:textFill>
                        <w14:solidFill>
                          <w14:schemeClr w14:val="tx1"/>
                        </w14:solidFill>
                      </w14:textFill>
                    </w:rPr>
                    <w:t>22</w:t>
                  </w:r>
                  <w:r>
                    <w:rPr>
                      <w:rFonts w:hint="eastAsia"/>
                      <w:color w:val="000000" w:themeColor="text1"/>
                      <w:kern w:val="0"/>
                      <w:sz w:val="21"/>
                      <w:szCs w:val="21"/>
                      <w:u w:val="none"/>
                      <w14:textFill>
                        <w14:solidFill>
                          <w14:schemeClr w14:val="tx1"/>
                        </w14:solidFill>
                      </w14:textFill>
                    </w:rPr>
                    <w:t>0kV架空出线1回。</w:t>
                  </w:r>
                  <w:r>
                    <w:rPr>
                      <w:rFonts w:hint="eastAsia"/>
                      <w:color w:val="000000" w:themeColor="text1"/>
                      <w:kern w:val="0"/>
                      <w:sz w:val="21"/>
                      <w:szCs w:val="21"/>
                      <w:u w:val="none"/>
                      <w:lang w:val="en-US" w:eastAsia="zh-CN"/>
                      <w14:textFill>
                        <w14:solidFill>
                          <w14:schemeClr w14:val="tx1"/>
                        </w14:solidFill>
                      </w14:textFill>
                    </w:rPr>
                    <w:t>总占地面积0.7990h</w:t>
                  </w:r>
                  <w:r>
                    <w:rPr>
                      <w:rFonts w:hint="eastAsia"/>
                      <w:color w:val="000000" w:themeColor="text1"/>
                      <w:kern w:val="0"/>
                      <w:sz w:val="21"/>
                      <w:szCs w:val="21"/>
                      <w:u w:val="none"/>
                      <w14:textFill>
                        <w14:solidFill>
                          <w14:schemeClr w14:val="tx1"/>
                        </w14:solidFill>
                      </w14:textFill>
                    </w:rPr>
                    <w:t>m</w:t>
                  </w:r>
                  <w:r>
                    <w:rPr>
                      <w:rFonts w:hint="eastAsia"/>
                      <w:color w:val="000000" w:themeColor="text1"/>
                      <w:kern w:val="0"/>
                      <w:sz w:val="21"/>
                      <w:szCs w:val="21"/>
                      <w:u w:val="none"/>
                      <w:vertAlign w:val="superscript"/>
                      <w14:textFill>
                        <w14:solidFill>
                          <w14:schemeClr w14:val="tx1"/>
                        </w14:solidFill>
                      </w14:textFill>
                    </w:rPr>
                    <w:t>2</w:t>
                  </w:r>
                  <w:r>
                    <w:rPr>
                      <w:rFonts w:hint="eastAsia"/>
                      <w:color w:val="000000" w:themeColor="text1"/>
                      <w:kern w:val="0"/>
                      <w:sz w:val="21"/>
                      <w:szCs w:val="21"/>
                      <w:u w:val="none"/>
                      <w:vertAlign w:val="baseline"/>
                      <w:lang w:eastAsia="zh-CN"/>
                      <w14:textFill>
                        <w14:solidFill>
                          <w14:schemeClr w14:val="tx1"/>
                        </w14:solidFill>
                      </w14:textFill>
                    </w:rPr>
                    <w:t>。</w:t>
                  </w:r>
                </w:p>
              </w:tc>
            </w:tr>
            <w:tr w14:paraId="0839B0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580" w:type="dxa"/>
                  <w:gridSpan w:val="3"/>
                  <w:vAlign w:val="center"/>
                </w:tcPr>
                <w:p w14:paraId="57E4395E">
                  <w:pPr>
                    <w:adjustRightInd w:val="0"/>
                    <w:snapToGrid w:val="0"/>
                    <w:spacing w:before="24" w:beforeLines="10" w:after="24" w:afterLines="10" w:line="240" w:lineRule="auto"/>
                    <w:jc w:val="center"/>
                    <w:rPr>
                      <w:rFonts w:hint="eastAsia"/>
                      <w:color w:val="auto"/>
                      <w:kern w:val="0"/>
                      <w:sz w:val="21"/>
                      <w:szCs w:val="21"/>
                      <w:u w:val="none"/>
                    </w:rPr>
                  </w:pPr>
                  <w:r>
                    <w:rPr>
                      <w:rFonts w:hint="eastAsia"/>
                      <w:color w:val="auto"/>
                      <w:kern w:val="0"/>
                      <w:sz w:val="21"/>
                      <w:szCs w:val="21"/>
                      <w:u w:val="none"/>
                    </w:rPr>
                    <w:t>集电线路</w:t>
                  </w:r>
                </w:p>
              </w:tc>
              <w:tc>
                <w:tcPr>
                  <w:tcW w:w="6258" w:type="dxa"/>
                  <w:vAlign w:val="center"/>
                </w:tcPr>
                <w:p w14:paraId="2B2060A8">
                  <w:pPr>
                    <w:adjustRightInd w:val="0"/>
                    <w:snapToGrid w:val="0"/>
                    <w:spacing w:before="24" w:beforeLines="10" w:after="24" w:afterLines="10" w:line="240" w:lineRule="auto"/>
                    <w:jc w:val="left"/>
                    <w:rPr>
                      <w:rFonts w:hint="eastAsia"/>
                      <w:color w:val="auto"/>
                      <w:kern w:val="0"/>
                      <w:sz w:val="21"/>
                      <w:szCs w:val="21"/>
                      <w:u w:val="none"/>
                    </w:rPr>
                  </w:pPr>
                  <w:r>
                    <w:rPr>
                      <w:rFonts w:hint="eastAsia"/>
                      <w:color w:val="auto"/>
                      <w:kern w:val="0"/>
                      <w:sz w:val="21"/>
                      <w:szCs w:val="21"/>
                      <w:u w:val="none"/>
                    </w:rPr>
                    <w:t>集电线路总长</w:t>
                  </w:r>
                  <w:r>
                    <w:rPr>
                      <w:rFonts w:hint="eastAsia"/>
                      <w:color w:val="auto"/>
                      <w:kern w:val="0"/>
                      <w:sz w:val="21"/>
                      <w:szCs w:val="21"/>
                      <w:u w:val="none"/>
                      <w:lang w:val="en-US" w:eastAsia="zh-CN"/>
                    </w:rPr>
                    <w:t>56.1</w:t>
                  </w:r>
                  <w:r>
                    <w:rPr>
                      <w:rFonts w:hint="eastAsia"/>
                      <w:color w:val="auto"/>
                      <w:kern w:val="0"/>
                      <w:sz w:val="21"/>
                      <w:szCs w:val="21"/>
                      <w:u w:val="none"/>
                    </w:rPr>
                    <w:t>km，均为直埋电缆，占地面积</w:t>
                  </w:r>
                  <w:r>
                    <w:rPr>
                      <w:rFonts w:hint="eastAsia"/>
                      <w:color w:val="auto"/>
                      <w:kern w:val="0"/>
                      <w:sz w:val="21"/>
                      <w:szCs w:val="21"/>
                      <w:u w:val="none"/>
                      <w:lang w:val="en-US" w:eastAsia="zh-CN"/>
                    </w:rPr>
                    <w:t>5.61</w:t>
                  </w:r>
                  <w:r>
                    <w:rPr>
                      <w:rFonts w:hint="eastAsia"/>
                      <w:color w:val="auto"/>
                      <w:kern w:val="0"/>
                      <w:sz w:val="21"/>
                      <w:szCs w:val="21"/>
                      <w:u w:val="none"/>
                    </w:rPr>
                    <w:t>hm</w:t>
                  </w:r>
                  <w:r>
                    <w:rPr>
                      <w:rFonts w:hint="eastAsia"/>
                      <w:color w:val="auto"/>
                      <w:kern w:val="0"/>
                      <w:sz w:val="21"/>
                      <w:szCs w:val="21"/>
                      <w:u w:val="none"/>
                      <w:vertAlign w:val="superscript"/>
                    </w:rPr>
                    <w:t>2</w:t>
                  </w:r>
                </w:p>
              </w:tc>
            </w:tr>
            <w:tr w14:paraId="20B003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580" w:type="dxa"/>
                  <w:gridSpan w:val="3"/>
                  <w:vAlign w:val="center"/>
                </w:tcPr>
                <w:p w14:paraId="476A3E8C">
                  <w:pPr>
                    <w:adjustRightInd w:val="0"/>
                    <w:snapToGrid w:val="0"/>
                    <w:spacing w:before="24" w:beforeLines="10" w:after="24" w:afterLines="10" w:line="240" w:lineRule="auto"/>
                    <w:jc w:val="center"/>
                    <w:rPr>
                      <w:rFonts w:hint="eastAsia"/>
                      <w:color w:val="auto"/>
                      <w:kern w:val="0"/>
                      <w:sz w:val="21"/>
                      <w:szCs w:val="21"/>
                      <w:u w:val="none"/>
                    </w:rPr>
                  </w:pPr>
                  <w:r>
                    <w:rPr>
                      <w:rFonts w:hint="eastAsia"/>
                      <w:color w:val="auto"/>
                      <w:kern w:val="0"/>
                      <w:sz w:val="21"/>
                      <w:szCs w:val="21"/>
                      <w:u w:val="none"/>
                    </w:rPr>
                    <w:t>道路工程</w:t>
                  </w:r>
                </w:p>
              </w:tc>
              <w:tc>
                <w:tcPr>
                  <w:tcW w:w="6258" w:type="dxa"/>
                  <w:vAlign w:val="center"/>
                </w:tcPr>
                <w:p w14:paraId="0B579409">
                  <w:pPr>
                    <w:adjustRightInd w:val="0"/>
                    <w:snapToGrid w:val="0"/>
                    <w:spacing w:before="24" w:beforeLines="10" w:after="24" w:afterLines="10" w:line="240" w:lineRule="auto"/>
                    <w:jc w:val="left"/>
                    <w:rPr>
                      <w:rFonts w:hint="eastAsia" w:eastAsia="宋体"/>
                      <w:color w:val="FF0000"/>
                      <w:kern w:val="0"/>
                      <w:sz w:val="21"/>
                      <w:szCs w:val="21"/>
                      <w:u w:val="none"/>
                      <w:lang w:val="en-US" w:eastAsia="zh-CN"/>
                    </w:rPr>
                  </w:pPr>
                  <w:r>
                    <w:rPr>
                      <w:rFonts w:hint="eastAsia"/>
                      <w:color w:val="auto"/>
                      <w:kern w:val="0"/>
                      <w:sz w:val="21"/>
                      <w:szCs w:val="21"/>
                      <w:u w:val="none"/>
                    </w:rPr>
                    <w:t>道路总长</w:t>
                  </w:r>
                  <w:r>
                    <w:rPr>
                      <w:rFonts w:hint="eastAsia"/>
                      <w:color w:val="auto"/>
                      <w:kern w:val="0"/>
                      <w:sz w:val="21"/>
                      <w:szCs w:val="21"/>
                      <w:u w:val="none"/>
                      <w:lang w:val="en-US" w:eastAsia="zh-CN"/>
                    </w:rPr>
                    <w:t>39.50</w:t>
                  </w:r>
                  <w:r>
                    <w:rPr>
                      <w:rFonts w:hint="eastAsia"/>
                      <w:color w:val="auto"/>
                      <w:kern w:val="0"/>
                      <w:sz w:val="21"/>
                      <w:szCs w:val="21"/>
                      <w:u w:val="none"/>
                    </w:rPr>
                    <w:t>km，其中改造进场道路5.5km，新建场内道路34.0km，总占地面积</w:t>
                  </w:r>
                  <w:r>
                    <w:rPr>
                      <w:rFonts w:hint="eastAsia"/>
                      <w:color w:val="auto"/>
                      <w:kern w:val="0"/>
                      <w:sz w:val="21"/>
                      <w:szCs w:val="21"/>
                      <w:u w:val="none"/>
                      <w:lang w:val="en-US" w:eastAsia="zh-CN"/>
                    </w:rPr>
                    <w:t>55.41</w:t>
                  </w:r>
                  <w:r>
                    <w:rPr>
                      <w:rFonts w:hint="eastAsia"/>
                      <w:color w:val="auto"/>
                      <w:kern w:val="0"/>
                      <w:sz w:val="21"/>
                      <w:szCs w:val="21"/>
                      <w:u w:val="none"/>
                    </w:rPr>
                    <w:t>hm</w:t>
                  </w:r>
                  <w:r>
                    <w:rPr>
                      <w:rFonts w:hint="eastAsia"/>
                      <w:color w:val="auto"/>
                      <w:kern w:val="0"/>
                      <w:sz w:val="21"/>
                      <w:szCs w:val="21"/>
                      <w:u w:val="none"/>
                      <w:vertAlign w:val="superscript"/>
                    </w:rPr>
                    <w:t>2</w:t>
                  </w:r>
                  <w:r>
                    <w:rPr>
                      <w:rFonts w:hint="eastAsia"/>
                      <w:color w:val="auto"/>
                      <w:kern w:val="0"/>
                      <w:sz w:val="21"/>
                      <w:szCs w:val="21"/>
                      <w:u w:val="none"/>
                    </w:rPr>
                    <w:t>。</w:t>
                  </w:r>
                </w:p>
              </w:tc>
            </w:tr>
            <w:tr w14:paraId="338184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580" w:type="dxa"/>
                  <w:gridSpan w:val="3"/>
                  <w:vAlign w:val="center"/>
                </w:tcPr>
                <w:p w14:paraId="4052960F">
                  <w:pPr>
                    <w:adjustRightInd w:val="0"/>
                    <w:snapToGrid w:val="0"/>
                    <w:spacing w:before="24" w:beforeLines="10" w:after="24" w:afterLines="10" w:line="240" w:lineRule="auto"/>
                    <w:jc w:val="center"/>
                    <w:rPr>
                      <w:rFonts w:hint="eastAsia"/>
                      <w:color w:val="auto"/>
                      <w:kern w:val="0"/>
                      <w:sz w:val="21"/>
                      <w:szCs w:val="21"/>
                      <w:u w:val="none"/>
                    </w:rPr>
                  </w:pPr>
                  <w:r>
                    <w:rPr>
                      <w:rFonts w:hint="eastAsia"/>
                      <w:color w:val="auto"/>
                      <w:kern w:val="0"/>
                      <w:sz w:val="21"/>
                      <w:szCs w:val="21"/>
                      <w:u w:val="none"/>
                    </w:rPr>
                    <w:t>施工生产生活区</w:t>
                  </w:r>
                </w:p>
              </w:tc>
              <w:tc>
                <w:tcPr>
                  <w:tcW w:w="6258" w:type="dxa"/>
                  <w:vAlign w:val="center"/>
                </w:tcPr>
                <w:p w14:paraId="3BA419EE">
                  <w:pPr>
                    <w:adjustRightInd w:val="0"/>
                    <w:snapToGrid w:val="0"/>
                    <w:spacing w:before="24" w:beforeLines="10" w:after="24" w:afterLines="10" w:line="240" w:lineRule="auto"/>
                    <w:jc w:val="left"/>
                    <w:rPr>
                      <w:rFonts w:hint="eastAsia" w:eastAsia="宋体"/>
                      <w:color w:val="auto"/>
                      <w:kern w:val="0"/>
                      <w:sz w:val="21"/>
                      <w:szCs w:val="21"/>
                      <w:u w:val="none"/>
                      <w:lang w:eastAsia="zh-CN"/>
                    </w:rPr>
                  </w:pPr>
                  <w:r>
                    <w:rPr>
                      <w:rFonts w:hint="eastAsia"/>
                      <w:color w:val="auto"/>
                      <w:kern w:val="0"/>
                      <w:sz w:val="21"/>
                      <w:szCs w:val="21"/>
                      <w:u w:val="none"/>
                    </w:rPr>
                    <w:t>砂石料堆场、综合加工厂、综合仓库、机械停放场、临时生活、办公区等，占地面积0.40hm</w:t>
                  </w:r>
                  <w:r>
                    <w:rPr>
                      <w:rFonts w:hint="eastAsia"/>
                      <w:color w:val="auto"/>
                      <w:kern w:val="0"/>
                      <w:sz w:val="21"/>
                      <w:szCs w:val="21"/>
                      <w:u w:val="none"/>
                      <w:vertAlign w:val="superscript"/>
                    </w:rPr>
                    <w:t>2</w:t>
                  </w:r>
                  <w:r>
                    <w:rPr>
                      <w:rFonts w:hint="eastAsia"/>
                      <w:color w:val="auto"/>
                      <w:kern w:val="0"/>
                      <w:sz w:val="21"/>
                      <w:szCs w:val="21"/>
                      <w:u w:val="none"/>
                    </w:rPr>
                    <w:t>。</w:t>
                  </w:r>
                </w:p>
              </w:tc>
            </w:tr>
            <w:tr w14:paraId="391D0A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580" w:type="dxa"/>
                  <w:gridSpan w:val="3"/>
                  <w:vAlign w:val="center"/>
                </w:tcPr>
                <w:p w14:paraId="75D0FC21">
                  <w:pPr>
                    <w:adjustRightInd w:val="0"/>
                    <w:snapToGrid w:val="0"/>
                    <w:spacing w:before="24" w:beforeLines="10" w:after="24" w:afterLines="10" w:line="240" w:lineRule="auto"/>
                    <w:jc w:val="center"/>
                    <w:rPr>
                      <w:rFonts w:hint="eastAsia"/>
                      <w:color w:val="auto"/>
                      <w:kern w:val="0"/>
                      <w:sz w:val="21"/>
                      <w:szCs w:val="21"/>
                      <w:u w:val="none"/>
                    </w:rPr>
                  </w:pPr>
                  <w:r>
                    <w:rPr>
                      <w:rFonts w:hint="eastAsia"/>
                      <w:color w:val="auto"/>
                      <w:kern w:val="0"/>
                      <w:sz w:val="21"/>
                      <w:szCs w:val="21"/>
                      <w:u w:val="none"/>
                    </w:rPr>
                    <w:t>弃渣场</w:t>
                  </w:r>
                </w:p>
              </w:tc>
              <w:tc>
                <w:tcPr>
                  <w:tcW w:w="6258" w:type="dxa"/>
                  <w:vAlign w:val="center"/>
                </w:tcPr>
                <w:p w14:paraId="4482F27E">
                  <w:pPr>
                    <w:adjustRightInd w:val="0"/>
                    <w:snapToGrid w:val="0"/>
                    <w:spacing w:before="24" w:beforeLines="10" w:after="24" w:afterLines="10" w:line="240" w:lineRule="auto"/>
                    <w:jc w:val="left"/>
                    <w:rPr>
                      <w:rFonts w:hint="eastAsia" w:eastAsia="宋体"/>
                      <w:color w:val="auto"/>
                      <w:kern w:val="0"/>
                      <w:sz w:val="21"/>
                      <w:szCs w:val="21"/>
                      <w:u w:val="none"/>
                      <w:lang w:eastAsia="zh-CN"/>
                    </w:rPr>
                  </w:pPr>
                  <w:r>
                    <w:rPr>
                      <w:rFonts w:hint="eastAsia"/>
                      <w:color w:val="auto"/>
                      <w:kern w:val="0"/>
                      <w:sz w:val="21"/>
                      <w:szCs w:val="21"/>
                      <w:u w:val="none"/>
                    </w:rPr>
                    <w:t>规划弃渣场</w:t>
                  </w:r>
                  <w:r>
                    <w:rPr>
                      <w:rFonts w:hint="eastAsia"/>
                      <w:color w:val="auto"/>
                      <w:kern w:val="0"/>
                      <w:sz w:val="21"/>
                      <w:szCs w:val="21"/>
                      <w:u w:val="none"/>
                      <w:lang w:val="en-US" w:eastAsia="zh-CN"/>
                    </w:rPr>
                    <w:t>9</w:t>
                  </w:r>
                  <w:r>
                    <w:rPr>
                      <w:rFonts w:hint="eastAsia"/>
                      <w:color w:val="auto"/>
                      <w:kern w:val="0"/>
                      <w:sz w:val="21"/>
                      <w:szCs w:val="21"/>
                      <w:u w:val="none"/>
                    </w:rPr>
                    <w:t>处，占地面积</w:t>
                  </w:r>
                  <w:r>
                    <w:rPr>
                      <w:rFonts w:hint="eastAsia"/>
                      <w:color w:val="auto"/>
                      <w:kern w:val="0"/>
                      <w:sz w:val="21"/>
                      <w:szCs w:val="21"/>
                      <w:u w:val="none"/>
                      <w:lang w:val="en-US" w:eastAsia="zh-CN"/>
                    </w:rPr>
                    <w:t>5.96</w:t>
                  </w:r>
                  <w:r>
                    <w:rPr>
                      <w:rFonts w:hint="eastAsia"/>
                      <w:color w:val="auto"/>
                      <w:kern w:val="0"/>
                      <w:sz w:val="21"/>
                      <w:szCs w:val="21"/>
                      <w:u w:val="none"/>
                    </w:rPr>
                    <w:t>hm</w:t>
                  </w:r>
                  <w:r>
                    <w:rPr>
                      <w:rFonts w:hint="eastAsia"/>
                      <w:color w:val="auto"/>
                      <w:kern w:val="0"/>
                      <w:sz w:val="21"/>
                      <w:szCs w:val="21"/>
                      <w:u w:val="none"/>
                      <w:vertAlign w:val="superscript"/>
                    </w:rPr>
                    <w:t>2</w:t>
                  </w:r>
                  <w:r>
                    <w:rPr>
                      <w:rFonts w:hint="eastAsia"/>
                      <w:color w:val="auto"/>
                      <w:kern w:val="0"/>
                      <w:sz w:val="21"/>
                      <w:szCs w:val="21"/>
                      <w:u w:val="none"/>
                      <w:vertAlign w:val="baseline"/>
                      <w:lang w:eastAsia="zh-CN"/>
                    </w:rPr>
                    <w:t>。</w:t>
                  </w:r>
                </w:p>
              </w:tc>
            </w:tr>
            <w:tr w14:paraId="4DB10E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580" w:type="dxa"/>
                  <w:gridSpan w:val="3"/>
                  <w:vAlign w:val="center"/>
                </w:tcPr>
                <w:p w14:paraId="5E4C2729">
                  <w:pPr>
                    <w:adjustRightInd w:val="0"/>
                    <w:snapToGrid w:val="0"/>
                    <w:spacing w:before="24" w:beforeLines="10" w:after="24" w:afterLines="10" w:line="240" w:lineRule="auto"/>
                    <w:jc w:val="center"/>
                    <w:rPr>
                      <w:rFonts w:hint="eastAsia"/>
                      <w:color w:val="auto"/>
                      <w:kern w:val="0"/>
                      <w:sz w:val="21"/>
                      <w:szCs w:val="21"/>
                      <w:u w:val="none"/>
                    </w:rPr>
                  </w:pPr>
                  <w:r>
                    <w:rPr>
                      <w:color w:val="auto"/>
                      <w:kern w:val="0"/>
                      <w:sz w:val="21"/>
                      <w:szCs w:val="21"/>
                      <w:u w:val="none"/>
                    </w:rPr>
                    <w:t>表土堆存场区</w:t>
                  </w:r>
                </w:p>
              </w:tc>
              <w:tc>
                <w:tcPr>
                  <w:tcW w:w="6258" w:type="dxa"/>
                  <w:vAlign w:val="center"/>
                </w:tcPr>
                <w:p w14:paraId="2FC5C5C5">
                  <w:pPr>
                    <w:adjustRightInd w:val="0"/>
                    <w:snapToGrid w:val="0"/>
                    <w:spacing w:before="24" w:beforeLines="10" w:after="24" w:afterLines="10" w:line="240" w:lineRule="auto"/>
                    <w:jc w:val="both"/>
                    <w:rPr>
                      <w:rFonts w:hint="eastAsia"/>
                      <w:color w:val="auto"/>
                      <w:kern w:val="0"/>
                      <w:sz w:val="21"/>
                      <w:szCs w:val="21"/>
                      <w:u w:val="none"/>
                    </w:rPr>
                  </w:pPr>
                  <w:r>
                    <w:rPr>
                      <w:color w:val="auto"/>
                      <w:kern w:val="0"/>
                      <w:sz w:val="21"/>
                      <w:szCs w:val="21"/>
                      <w:u w:val="none"/>
                    </w:rPr>
                    <w:t>因表土堆存期短，且收集部位相对分散、故表土临时堆置于就近空地</w:t>
                  </w:r>
                </w:p>
              </w:tc>
            </w:tr>
            <w:tr w14:paraId="1D743C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54" w:type="dxa"/>
                  <w:gridSpan w:val="2"/>
                  <w:vMerge w:val="restart"/>
                  <w:tcBorders>
                    <w:right w:val="single" w:color="auto" w:sz="4" w:space="0"/>
                  </w:tcBorders>
                  <w:vAlign w:val="center"/>
                </w:tcPr>
                <w:p w14:paraId="0E1CDCF9">
                  <w:pPr>
                    <w:adjustRightInd w:val="0"/>
                    <w:snapToGrid w:val="0"/>
                    <w:spacing w:before="24" w:beforeLines="10" w:after="24" w:afterLines="10" w:line="240" w:lineRule="auto"/>
                    <w:jc w:val="center"/>
                    <w:rPr>
                      <w:rFonts w:hint="default" w:eastAsia="宋体"/>
                      <w:color w:val="auto"/>
                      <w:kern w:val="0"/>
                      <w:sz w:val="21"/>
                      <w:szCs w:val="21"/>
                      <w:u w:val="none"/>
                      <w:lang w:val="en-US" w:eastAsia="zh-CN"/>
                    </w:rPr>
                  </w:pPr>
                  <w:r>
                    <w:rPr>
                      <w:rFonts w:hint="eastAsia"/>
                      <w:color w:val="auto"/>
                      <w:kern w:val="0"/>
                      <w:sz w:val="21"/>
                      <w:szCs w:val="21"/>
                      <w:u w:val="none"/>
                      <w:lang w:val="en-US" w:eastAsia="zh-CN"/>
                    </w:rPr>
                    <w:t>公用工程</w:t>
                  </w:r>
                </w:p>
              </w:tc>
              <w:tc>
                <w:tcPr>
                  <w:tcW w:w="826" w:type="dxa"/>
                  <w:tcBorders>
                    <w:left w:val="single" w:color="auto" w:sz="4" w:space="0"/>
                  </w:tcBorders>
                  <w:vAlign w:val="center"/>
                </w:tcPr>
                <w:p w14:paraId="5EBD5CE5">
                  <w:pPr>
                    <w:adjustRightInd w:val="0"/>
                    <w:snapToGrid w:val="0"/>
                    <w:spacing w:before="24" w:beforeLines="10" w:after="24" w:afterLines="10" w:line="240" w:lineRule="auto"/>
                    <w:jc w:val="center"/>
                    <w:rPr>
                      <w:rFonts w:hint="eastAsia"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供水</w:t>
                  </w:r>
                </w:p>
              </w:tc>
              <w:tc>
                <w:tcPr>
                  <w:tcW w:w="6258" w:type="dxa"/>
                  <w:vAlign w:val="center"/>
                </w:tcPr>
                <w:p w14:paraId="5FFC5403">
                  <w:pPr>
                    <w:adjustRightInd w:val="0"/>
                    <w:snapToGrid w:val="0"/>
                    <w:spacing w:before="24" w:beforeLines="10" w:after="24" w:afterLines="10" w:line="240" w:lineRule="auto"/>
                    <w:jc w:val="both"/>
                    <w:rPr>
                      <w:color w:val="FF0000"/>
                      <w:kern w:val="0"/>
                      <w:sz w:val="21"/>
                      <w:szCs w:val="21"/>
                      <w:u w:val="none"/>
                    </w:rPr>
                  </w:pPr>
                  <w:r>
                    <w:rPr>
                      <w:rFonts w:hint="eastAsia"/>
                      <w:color w:val="auto"/>
                      <w:kern w:val="0"/>
                      <w:sz w:val="21"/>
                      <w:szCs w:val="21"/>
                      <w:u w:val="none"/>
                    </w:rPr>
                    <w:t>升压站生活用水来源于地下水。</w:t>
                  </w:r>
                  <w:r>
                    <w:rPr>
                      <w:rFonts w:hint="eastAsia"/>
                      <w:color w:val="auto"/>
                      <w:kern w:val="0"/>
                      <w:sz w:val="21"/>
                      <w:szCs w:val="21"/>
                      <w:u w:val="none"/>
                      <w:lang w:val="en-US" w:eastAsia="zh-CN"/>
                    </w:rPr>
                    <w:t>生活</w:t>
                  </w:r>
                  <w:r>
                    <w:rPr>
                      <w:rFonts w:hint="eastAsia"/>
                      <w:color w:val="auto"/>
                      <w:kern w:val="0"/>
                      <w:sz w:val="21"/>
                      <w:szCs w:val="21"/>
                      <w:u w:val="none"/>
                    </w:rPr>
                    <w:t>用水采用地下水，在升压站附近打一眼深井，地下水通过深井泵加压经给水管道送至</w:t>
                  </w:r>
                  <w:r>
                    <w:rPr>
                      <w:rFonts w:hint="eastAsia"/>
                      <w:color w:val="auto"/>
                      <w:kern w:val="0"/>
                      <w:sz w:val="21"/>
                      <w:szCs w:val="21"/>
                      <w:u w:val="none"/>
                      <w:lang w:val="en-US" w:eastAsia="zh-CN"/>
                    </w:rPr>
                    <w:t>生活水箱</w:t>
                  </w:r>
                  <w:r>
                    <w:rPr>
                      <w:rFonts w:hint="eastAsia"/>
                      <w:color w:val="auto"/>
                      <w:kern w:val="0"/>
                      <w:sz w:val="21"/>
                      <w:szCs w:val="21"/>
                      <w:u w:val="none"/>
                    </w:rPr>
                    <w:t>。</w:t>
                  </w:r>
                </w:p>
              </w:tc>
            </w:tr>
            <w:tr w14:paraId="7F13EC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54" w:type="dxa"/>
                  <w:gridSpan w:val="2"/>
                  <w:vMerge w:val="continue"/>
                  <w:tcBorders>
                    <w:right w:val="single" w:color="auto" w:sz="4" w:space="0"/>
                  </w:tcBorders>
                  <w:vAlign w:val="center"/>
                </w:tcPr>
                <w:p w14:paraId="5F624496">
                  <w:pPr>
                    <w:adjustRightInd w:val="0"/>
                    <w:snapToGrid w:val="0"/>
                    <w:spacing w:before="24" w:beforeLines="10" w:after="24" w:afterLines="10" w:line="240" w:lineRule="auto"/>
                    <w:jc w:val="center"/>
                    <w:rPr>
                      <w:color w:val="auto"/>
                      <w:kern w:val="0"/>
                      <w:sz w:val="21"/>
                      <w:szCs w:val="21"/>
                      <w:u w:val="none"/>
                    </w:rPr>
                  </w:pPr>
                </w:p>
              </w:tc>
              <w:tc>
                <w:tcPr>
                  <w:tcW w:w="826" w:type="dxa"/>
                  <w:tcBorders>
                    <w:left w:val="single" w:color="auto" w:sz="4" w:space="0"/>
                  </w:tcBorders>
                  <w:vAlign w:val="center"/>
                </w:tcPr>
                <w:p w14:paraId="48ADB671">
                  <w:pPr>
                    <w:adjustRightInd w:val="0"/>
                    <w:snapToGrid w:val="0"/>
                    <w:spacing w:before="24" w:beforeLines="10" w:after="24" w:afterLines="10" w:line="240" w:lineRule="auto"/>
                    <w:jc w:val="center"/>
                    <w:rPr>
                      <w:rFonts w:hint="eastAsia"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供电</w:t>
                  </w:r>
                </w:p>
              </w:tc>
              <w:tc>
                <w:tcPr>
                  <w:tcW w:w="6258" w:type="dxa"/>
                  <w:vAlign w:val="center"/>
                </w:tcPr>
                <w:p w14:paraId="2DE7A168">
                  <w:pPr>
                    <w:adjustRightInd w:val="0"/>
                    <w:snapToGrid w:val="0"/>
                    <w:spacing w:before="24" w:beforeLines="10" w:after="24" w:afterLines="10" w:line="240" w:lineRule="auto"/>
                    <w:jc w:val="both"/>
                    <w:rPr>
                      <w:color w:val="FF0000"/>
                      <w:kern w:val="0"/>
                      <w:sz w:val="21"/>
                      <w:szCs w:val="21"/>
                      <w:u w:val="none"/>
                    </w:rPr>
                  </w:pPr>
                  <w:r>
                    <w:rPr>
                      <w:rFonts w:hint="eastAsia"/>
                      <w:color w:val="auto"/>
                      <w:kern w:val="0"/>
                      <w:sz w:val="21"/>
                      <w:szCs w:val="21"/>
                      <w:u w:val="none"/>
                    </w:rPr>
                    <w:t>施工用电电源就近从附近村庄10kV线路引接，在升压站施工现场安装一台变压器，经变压器降压后引线至各施工用电点，施工变作为后期升压站运营期站用备用变；且施工期配备1台120kW和2台75kW移移动式柴油发电机</w:t>
                  </w:r>
                  <w:r>
                    <w:rPr>
                      <w:rFonts w:hint="eastAsia"/>
                      <w:color w:val="000000" w:themeColor="text1"/>
                      <w:kern w:val="0"/>
                      <w:sz w:val="21"/>
                      <w:szCs w:val="21"/>
                      <w:u w:val="none"/>
                      <w14:textFill>
                        <w14:solidFill>
                          <w14:schemeClr w14:val="tx1"/>
                        </w14:solidFill>
                      </w14:textFill>
                    </w:rPr>
                    <w:t>。</w:t>
                  </w:r>
                  <w:r>
                    <w:rPr>
                      <w:rFonts w:hint="eastAsia"/>
                      <w:color w:val="auto"/>
                      <w:kern w:val="0"/>
                      <w:sz w:val="21"/>
                      <w:szCs w:val="21"/>
                      <w:u w:val="none"/>
                    </w:rPr>
                    <w:t>运营期用电由升压站内配电装置引接。</w:t>
                  </w:r>
                </w:p>
              </w:tc>
            </w:tr>
            <w:tr w14:paraId="3AECA7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54" w:type="dxa"/>
                  <w:gridSpan w:val="2"/>
                  <w:vMerge w:val="restart"/>
                  <w:tcBorders>
                    <w:right w:val="single" w:color="auto" w:sz="4" w:space="0"/>
                  </w:tcBorders>
                  <w:vAlign w:val="center"/>
                </w:tcPr>
                <w:p w14:paraId="2A55A5C1">
                  <w:pPr>
                    <w:adjustRightInd w:val="0"/>
                    <w:snapToGrid w:val="0"/>
                    <w:spacing w:before="24" w:beforeLines="10" w:after="24" w:afterLines="10" w:line="240" w:lineRule="auto"/>
                    <w:jc w:val="center"/>
                    <w:rPr>
                      <w:rFonts w:hint="default" w:eastAsia="宋体"/>
                      <w:color w:val="auto"/>
                      <w:kern w:val="0"/>
                      <w:sz w:val="21"/>
                      <w:szCs w:val="21"/>
                      <w:u w:val="none"/>
                      <w:lang w:val="en-US" w:eastAsia="zh-CN"/>
                    </w:rPr>
                  </w:pPr>
                  <w:r>
                    <w:rPr>
                      <w:rFonts w:hint="eastAsia"/>
                      <w:color w:val="auto"/>
                      <w:kern w:val="0"/>
                      <w:sz w:val="21"/>
                      <w:szCs w:val="21"/>
                      <w:u w:val="none"/>
                      <w:lang w:val="en-US" w:eastAsia="zh-CN"/>
                    </w:rPr>
                    <w:t>环保工程</w:t>
                  </w:r>
                </w:p>
              </w:tc>
              <w:tc>
                <w:tcPr>
                  <w:tcW w:w="826" w:type="dxa"/>
                  <w:tcBorders>
                    <w:left w:val="single" w:color="auto" w:sz="4" w:space="0"/>
                  </w:tcBorders>
                  <w:vAlign w:val="center"/>
                </w:tcPr>
                <w:p w14:paraId="1DC41940">
                  <w:pPr>
                    <w:adjustRightInd w:val="0"/>
                    <w:snapToGrid w:val="0"/>
                    <w:spacing w:before="24" w:beforeLines="10" w:after="24" w:afterLines="10" w:line="240" w:lineRule="auto"/>
                    <w:jc w:val="center"/>
                    <w:rPr>
                      <w:rFonts w:hint="eastAsia"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lang w:val="en-US" w:eastAsia="zh-CN"/>
                    </w:rPr>
                    <w:t>废水</w:t>
                  </w:r>
                </w:p>
              </w:tc>
              <w:tc>
                <w:tcPr>
                  <w:tcW w:w="6258" w:type="dxa"/>
                  <w:vAlign w:val="center"/>
                </w:tcPr>
                <w:p w14:paraId="474DED93">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lang w:val="en-US" w:eastAsia="zh-CN"/>
                    </w:rPr>
                  </w:pPr>
                  <w:r>
                    <w:rPr>
                      <w:rFonts w:hint="eastAsia" w:ascii="Times New Roman" w:hAnsi="Times New Roman" w:eastAsia="宋体" w:cs="Times New Roman"/>
                      <w:color w:val="auto"/>
                      <w:kern w:val="0"/>
                      <w:sz w:val="21"/>
                      <w:szCs w:val="21"/>
                      <w:u w:val="none"/>
                    </w:rPr>
                    <w:t>生活污水经</w:t>
                  </w:r>
                  <w:r>
                    <w:rPr>
                      <w:rFonts w:hint="eastAsia" w:cs="Times New Roman"/>
                      <w:color w:val="auto"/>
                      <w:kern w:val="0"/>
                      <w:sz w:val="21"/>
                      <w:szCs w:val="21"/>
                      <w:u w:val="none"/>
                      <w:lang w:val="en-US" w:eastAsia="zh-CN"/>
                    </w:rPr>
                    <w:t>化粪池+调节池，再经</w:t>
                  </w:r>
                  <w:r>
                    <w:rPr>
                      <w:rFonts w:hint="eastAsia" w:ascii="Times New Roman" w:hAnsi="Times New Roman" w:eastAsia="宋体" w:cs="Times New Roman"/>
                      <w:color w:val="auto"/>
                      <w:kern w:val="0"/>
                      <w:sz w:val="21"/>
                      <w:szCs w:val="21"/>
                      <w:u w:val="none"/>
                    </w:rPr>
                    <w:t>一体化污水处理设施处理后</w:t>
                  </w:r>
                  <w:r>
                    <w:rPr>
                      <w:rFonts w:hint="eastAsia" w:ascii="Times New Roman" w:hAnsi="Times New Roman" w:eastAsia="宋体" w:cs="Times New Roman"/>
                      <w:color w:val="auto"/>
                      <w:kern w:val="0"/>
                      <w:sz w:val="21"/>
                      <w:szCs w:val="21"/>
                      <w:u w:val="none"/>
                      <w:lang w:val="en-US" w:eastAsia="zh-CN"/>
                    </w:rPr>
                    <w:t>用于厂内绿化。</w:t>
                  </w:r>
                </w:p>
              </w:tc>
            </w:tr>
            <w:tr w14:paraId="657149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54" w:type="dxa"/>
                  <w:gridSpan w:val="2"/>
                  <w:vMerge w:val="continue"/>
                  <w:tcBorders>
                    <w:right w:val="single" w:color="auto" w:sz="4" w:space="0"/>
                  </w:tcBorders>
                  <w:vAlign w:val="center"/>
                </w:tcPr>
                <w:p w14:paraId="5055CD40">
                  <w:pPr>
                    <w:adjustRightInd w:val="0"/>
                    <w:snapToGrid w:val="0"/>
                    <w:spacing w:before="24" w:beforeLines="10" w:after="24" w:afterLines="10" w:line="240" w:lineRule="auto"/>
                    <w:jc w:val="center"/>
                    <w:rPr>
                      <w:color w:val="FF0000"/>
                      <w:kern w:val="0"/>
                      <w:sz w:val="21"/>
                      <w:szCs w:val="21"/>
                      <w:u w:val="none"/>
                    </w:rPr>
                  </w:pPr>
                </w:p>
              </w:tc>
              <w:tc>
                <w:tcPr>
                  <w:tcW w:w="826" w:type="dxa"/>
                  <w:tcBorders>
                    <w:left w:val="single" w:color="auto" w:sz="4" w:space="0"/>
                  </w:tcBorders>
                  <w:vAlign w:val="center"/>
                </w:tcPr>
                <w:p w14:paraId="1B2D6EBF">
                  <w:pPr>
                    <w:adjustRightInd w:val="0"/>
                    <w:snapToGrid w:val="0"/>
                    <w:spacing w:before="24" w:beforeLines="10" w:after="24" w:afterLines="10" w:line="240" w:lineRule="auto"/>
                    <w:jc w:val="center"/>
                    <w:rPr>
                      <w:rFonts w:hint="eastAsia"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lang w:val="en-US" w:eastAsia="zh-CN"/>
                    </w:rPr>
                    <w:t>食堂油烟</w:t>
                  </w:r>
                </w:p>
              </w:tc>
              <w:tc>
                <w:tcPr>
                  <w:tcW w:w="6258" w:type="dxa"/>
                  <w:vAlign w:val="center"/>
                </w:tcPr>
                <w:p w14:paraId="4937C65E">
                  <w:pPr>
                    <w:adjustRightInd w:val="0"/>
                    <w:snapToGrid w:val="0"/>
                    <w:spacing w:before="24" w:beforeLines="10" w:after="24" w:afterLines="10" w:line="240" w:lineRule="auto"/>
                    <w:jc w:val="center"/>
                    <w:rPr>
                      <w:rFonts w:hint="eastAsia" w:ascii="Times New Roman" w:hAnsi="Times New Roman" w:eastAsia="宋体" w:cs="Times New Roman"/>
                      <w:color w:val="auto"/>
                      <w:kern w:val="0"/>
                      <w:sz w:val="21"/>
                      <w:szCs w:val="21"/>
                      <w:u w:val="none"/>
                    </w:rPr>
                  </w:pPr>
                  <w:r>
                    <w:rPr>
                      <w:rFonts w:hint="eastAsia" w:ascii="Times New Roman" w:hAnsi="Times New Roman" w:eastAsia="宋体" w:cs="Times New Roman"/>
                      <w:color w:val="auto"/>
                      <w:kern w:val="0"/>
                      <w:sz w:val="21"/>
                      <w:szCs w:val="21"/>
                      <w:u w:val="none"/>
                    </w:rPr>
                    <w:t>经油烟处理装置处理后引至楼顶排放。</w:t>
                  </w:r>
                </w:p>
              </w:tc>
            </w:tr>
            <w:tr w14:paraId="17DE93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54" w:type="dxa"/>
                  <w:gridSpan w:val="2"/>
                  <w:vMerge w:val="continue"/>
                  <w:tcBorders>
                    <w:right w:val="single" w:color="auto" w:sz="4" w:space="0"/>
                  </w:tcBorders>
                  <w:vAlign w:val="center"/>
                </w:tcPr>
                <w:p w14:paraId="55B20399">
                  <w:pPr>
                    <w:adjustRightInd w:val="0"/>
                    <w:snapToGrid w:val="0"/>
                    <w:spacing w:before="24" w:beforeLines="10" w:after="24" w:afterLines="10" w:line="240" w:lineRule="auto"/>
                    <w:jc w:val="center"/>
                    <w:rPr>
                      <w:color w:val="FF0000"/>
                      <w:kern w:val="0"/>
                      <w:sz w:val="21"/>
                      <w:szCs w:val="21"/>
                      <w:u w:val="none"/>
                    </w:rPr>
                  </w:pPr>
                </w:p>
              </w:tc>
              <w:tc>
                <w:tcPr>
                  <w:tcW w:w="826" w:type="dxa"/>
                  <w:tcBorders>
                    <w:left w:val="single" w:color="auto" w:sz="4" w:space="0"/>
                  </w:tcBorders>
                  <w:vAlign w:val="center"/>
                </w:tcPr>
                <w:p w14:paraId="600BC1EF">
                  <w:pPr>
                    <w:adjustRightInd w:val="0"/>
                    <w:snapToGrid w:val="0"/>
                    <w:spacing w:before="24" w:beforeLines="10" w:after="24" w:afterLines="10" w:line="240" w:lineRule="auto"/>
                    <w:jc w:val="center"/>
                    <w:rPr>
                      <w:rFonts w:hint="eastAsia"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噪声</w:t>
                  </w:r>
                </w:p>
              </w:tc>
              <w:tc>
                <w:tcPr>
                  <w:tcW w:w="6258" w:type="dxa"/>
                  <w:vAlign w:val="center"/>
                </w:tcPr>
                <w:p w14:paraId="01DB00C5">
                  <w:pPr>
                    <w:adjustRightInd w:val="0"/>
                    <w:snapToGrid w:val="0"/>
                    <w:spacing w:before="24" w:beforeLines="10" w:after="24" w:afterLines="10" w:line="240" w:lineRule="auto"/>
                    <w:jc w:val="center"/>
                    <w:rPr>
                      <w:rFonts w:hint="eastAsia"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选用低噪设备，风电机选用隔音防振型，变速齿轮箱为减噪型，叶片用减速叶片等</w:t>
                  </w:r>
                  <w:r>
                    <w:rPr>
                      <w:rFonts w:hint="default" w:ascii="Times New Roman" w:hAnsi="Times New Roman" w:eastAsia="宋体" w:cs="Times New Roman"/>
                      <w:color w:val="auto"/>
                      <w:kern w:val="0"/>
                      <w:sz w:val="21"/>
                      <w:szCs w:val="21"/>
                      <w:u w:val="none"/>
                      <w:lang w:eastAsia="zh-CN"/>
                    </w:rPr>
                    <w:t>，</w:t>
                  </w:r>
                  <w:r>
                    <w:rPr>
                      <w:rFonts w:hint="default" w:ascii="Times New Roman" w:hAnsi="Times New Roman" w:eastAsia="宋体" w:cs="Times New Roman"/>
                      <w:color w:val="auto"/>
                      <w:kern w:val="0"/>
                      <w:sz w:val="21"/>
                      <w:szCs w:val="21"/>
                      <w:u w:val="none"/>
                      <w:lang w:val="en-US" w:eastAsia="zh-CN"/>
                    </w:rPr>
                    <w:t>并</w:t>
                  </w:r>
                  <w:r>
                    <w:rPr>
                      <w:rFonts w:hint="default" w:ascii="Times New Roman" w:hAnsi="Times New Roman" w:eastAsia="宋体" w:cs="Times New Roman"/>
                      <w:color w:val="auto"/>
                      <w:kern w:val="0"/>
                      <w:sz w:val="21"/>
                      <w:szCs w:val="21"/>
                      <w:u w:val="none"/>
                      <w:lang w:eastAsia="zh-CN"/>
                    </w:rPr>
                    <w:t>定期检查维护风机机械系统</w:t>
                  </w:r>
                  <w:r>
                    <w:rPr>
                      <w:rFonts w:hint="default" w:ascii="Times New Roman" w:hAnsi="Times New Roman" w:eastAsia="宋体" w:cs="Times New Roman"/>
                      <w:color w:val="auto"/>
                      <w:kern w:val="0"/>
                      <w:sz w:val="21"/>
                      <w:szCs w:val="21"/>
                      <w:u w:val="none"/>
                    </w:rPr>
                    <w:t>。</w:t>
                  </w:r>
                </w:p>
              </w:tc>
            </w:tr>
            <w:tr w14:paraId="662C19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54" w:type="dxa"/>
                  <w:gridSpan w:val="2"/>
                  <w:vMerge w:val="continue"/>
                  <w:tcBorders>
                    <w:right w:val="single" w:color="auto" w:sz="4" w:space="0"/>
                  </w:tcBorders>
                  <w:vAlign w:val="center"/>
                </w:tcPr>
                <w:p w14:paraId="7FA98FCF">
                  <w:pPr>
                    <w:adjustRightInd w:val="0"/>
                    <w:snapToGrid w:val="0"/>
                    <w:spacing w:before="24" w:beforeLines="10" w:after="24" w:afterLines="10" w:line="240" w:lineRule="auto"/>
                    <w:jc w:val="center"/>
                    <w:rPr>
                      <w:color w:val="FF0000"/>
                      <w:kern w:val="0"/>
                      <w:sz w:val="21"/>
                      <w:szCs w:val="21"/>
                      <w:u w:val="none"/>
                    </w:rPr>
                  </w:pPr>
                </w:p>
              </w:tc>
              <w:tc>
                <w:tcPr>
                  <w:tcW w:w="826" w:type="dxa"/>
                  <w:tcBorders>
                    <w:left w:val="single" w:color="auto" w:sz="4" w:space="0"/>
                  </w:tcBorders>
                  <w:vAlign w:val="center"/>
                </w:tcPr>
                <w:p w14:paraId="0CD5424A">
                  <w:pPr>
                    <w:adjustRightInd w:val="0"/>
                    <w:snapToGrid w:val="0"/>
                    <w:spacing w:before="24" w:beforeLines="10" w:after="24" w:afterLines="10" w:line="240" w:lineRule="auto"/>
                    <w:jc w:val="center"/>
                    <w:rPr>
                      <w:rFonts w:hint="eastAsia"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固体废物</w:t>
                  </w:r>
                </w:p>
              </w:tc>
              <w:tc>
                <w:tcPr>
                  <w:tcW w:w="6258" w:type="dxa"/>
                  <w:vAlign w:val="center"/>
                </w:tcPr>
                <w:p w14:paraId="13E0455E">
                  <w:pPr>
                    <w:adjustRightInd w:val="0"/>
                    <w:snapToGrid w:val="0"/>
                    <w:spacing w:before="24" w:beforeLines="10" w:after="24" w:afterLines="10" w:line="240" w:lineRule="auto"/>
                    <w:jc w:val="center"/>
                    <w:rPr>
                      <w:rFonts w:hint="eastAsia"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生活垃圾</w:t>
                  </w:r>
                  <w:r>
                    <w:rPr>
                      <w:rFonts w:hint="default" w:ascii="Times New Roman" w:hAnsi="Times New Roman" w:eastAsia="宋体" w:cs="Times New Roman"/>
                      <w:color w:val="auto"/>
                      <w:kern w:val="0"/>
                      <w:sz w:val="21"/>
                      <w:szCs w:val="21"/>
                      <w:u w:val="none"/>
                      <w:lang w:val="en-US" w:eastAsia="zh-CN"/>
                    </w:rPr>
                    <w:t>集中</w:t>
                  </w:r>
                  <w:r>
                    <w:rPr>
                      <w:rFonts w:hint="default" w:ascii="Times New Roman" w:hAnsi="Times New Roman" w:eastAsia="宋体" w:cs="Times New Roman"/>
                      <w:color w:val="auto"/>
                      <w:kern w:val="0"/>
                      <w:sz w:val="21"/>
                      <w:szCs w:val="21"/>
                      <w:u w:val="none"/>
                    </w:rPr>
                    <w:t>收集</w:t>
                  </w:r>
                  <w:r>
                    <w:rPr>
                      <w:rFonts w:hint="default" w:ascii="Times New Roman" w:hAnsi="Times New Roman" w:eastAsia="宋体" w:cs="Times New Roman"/>
                      <w:color w:val="auto"/>
                      <w:kern w:val="0"/>
                      <w:sz w:val="21"/>
                      <w:szCs w:val="21"/>
                      <w:u w:val="none"/>
                      <w:lang w:val="en-US" w:eastAsia="zh-CN"/>
                    </w:rPr>
                    <w:t>后</w:t>
                  </w:r>
                  <w:r>
                    <w:rPr>
                      <w:rFonts w:hint="eastAsia" w:cs="Times New Roman"/>
                      <w:color w:val="auto"/>
                      <w:kern w:val="0"/>
                      <w:sz w:val="21"/>
                      <w:szCs w:val="21"/>
                      <w:u w:val="none"/>
                      <w:lang w:val="en-US" w:eastAsia="zh-CN"/>
                    </w:rPr>
                    <w:t>定期</w:t>
                  </w:r>
                  <w:r>
                    <w:rPr>
                      <w:rFonts w:hint="default" w:ascii="Times New Roman" w:hAnsi="Times New Roman" w:eastAsia="宋体" w:cs="Times New Roman"/>
                      <w:color w:val="auto"/>
                      <w:kern w:val="0"/>
                      <w:sz w:val="21"/>
                      <w:szCs w:val="21"/>
                      <w:u w:val="none"/>
                      <w:lang w:val="en-US" w:eastAsia="zh-CN"/>
                    </w:rPr>
                    <w:t>送</w:t>
                  </w:r>
                  <w:r>
                    <w:rPr>
                      <w:rFonts w:hint="eastAsia" w:cs="Times New Roman"/>
                      <w:color w:val="auto"/>
                      <w:kern w:val="0"/>
                      <w:sz w:val="21"/>
                      <w:szCs w:val="21"/>
                      <w:u w:val="none"/>
                      <w:lang w:val="en-US" w:eastAsia="zh-CN"/>
                    </w:rPr>
                    <w:t>至当地垃圾运转站</w:t>
                  </w:r>
                  <w:r>
                    <w:rPr>
                      <w:rFonts w:hint="default" w:ascii="Times New Roman" w:hAnsi="Times New Roman" w:eastAsia="宋体" w:cs="Times New Roman"/>
                      <w:color w:val="auto"/>
                      <w:kern w:val="0"/>
                      <w:sz w:val="21"/>
                      <w:szCs w:val="21"/>
                      <w:u w:val="none"/>
                      <w:lang w:val="en-US" w:eastAsia="zh-CN"/>
                    </w:rPr>
                    <w:t>进行处置</w:t>
                  </w:r>
                  <w:r>
                    <w:rPr>
                      <w:rFonts w:hint="default" w:ascii="Times New Roman" w:hAnsi="Times New Roman" w:eastAsia="宋体" w:cs="Times New Roman"/>
                      <w:color w:val="auto"/>
                      <w:kern w:val="0"/>
                      <w:sz w:val="21"/>
                      <w:szCs w:val="21"/>
                      <w:u w:val="none"/>
                    </w:rPr>
                    <w:t>；危险废物</w:t>
                  </w:r>
                  <w:r>
                    <w:rPr>
                      <w:rFonts w:hint="default" w:ascii="Times New Roman" w:hAnsi="Times New Roman" w:eastAsia="宋体" w:cs="Times New Roman"/>
                      <w:color w:val="auto"/>
                      <w:kern w:val="0"/>
                      <w:sz w:val="21"/>
                      <w:szCs w:val="21"/>
                      <w:u w:val="none"/>
                      <w:lang w:val="en-US" w:eastAsia="zh-CN"/>
                    </w:rPr>
                    <w:t>包括废旧蓄电池、废润滑油、废变压器油等，</w:t>
                  </w:r>
                  <w:r>
                    <w:rPr>
                      <w:rFonts w:hint="default" w:ascii="Times New Roman" w:hAnsi="Times New Roman" w:eastAsia="宋体" w:cs="Times New Roman"/>
                      <w:color w:val="auto"/>
                      <w:kern w:val="0"/>
                      <w:sz w:val="21"/>
                      <w:szCs w:val="21"/>
                      <w:u w:val="none"/>
                    </w:rPr>
                    <w:t>集中收集暂存</w:t>
                  </w:r>
                  <w:r>
                    <w:rPr>
                      <w:rFonts w:hint="default" w:ascii="Times New Roman" w:hAnsi="Times New Roman" w:eastAsia="宋体" w:cs="Times New Roman"/>
                      <w:color w:val="auto"/>
                      <w:kern w:val="0"/>
                      <w:sz w:val="21"/>
                      <w:szCs w:val="21"/>
                      <w:u w:val="none"/>
                      <w:lang w:val="en-US" w:eastAsia="zh-CN"/>
                    </w:rPr>
                    <w:t>于</w:t>
                  </w:r>
                  <w:r>
                    <w:rPr>
                      <w:rFonts w:hint="default" w:ascii="Times New Roman" w:hAnsi="Times New Roman" w:eastAsia="宋体" w:cs="Times New Roman"/>
                      <w:color w:val="auto"/>
                      <w:kern w:val="0"/>
                      <w:sz w:val="21"/>
                      <w:szCs w:val="21"/>
                      <w:u w:val="none"/>
                    </w:rPr>
                    <w:t>危废暂存间，</w:t>
                  </w:r>
                  <w:r>
                    <w:rPr>
                      <w:rFonts w:hint="default" w:ascii="Times New Roman" w:hAnsi="Times New Roman" w:eastAsia="宋体" w:cs="Times New Roman"/>
                      <w:color w:val="auto"/>
                      <w:kern w:val="0"/>
                      <w:sz w:val="21"/>
                      <w:szCs w:val="21"/>
                      <w:u w:val="none"/>
                      <w:lang w:val="en-US" w:eastAsia="zh-CN"/>
                    </w:rPr>
                    <w:t>定期交有</w:t>
                  </w:r>
                  <w:r>
                    <w:rPr>
                      <w:rFonts w:hint="default" w:ascii="Times New Roman" w:hAnsi="Times New Roman" w:eastAsia="宋体" w:cs="Times New Roman"/>
                      <w:color w:val="auto"/>
                      <w:kern w:val="0"/>
                      <w:sz w:val="21"/>
                      <w:szCs w:val="21"/>
                      <w:u w:val="none"/>
                    </w:rPr>
                    <w:t>资质单位处理。</w:t>
                  </w:r>
                </w:p>
              </w:tc>
            </w:tr>
            <w:tr w14:paraId="6086B8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54" w:type="dxa"/>
                  <w:gridSpan w:val="2"/>
                  <w:vMerge w:val="continue"/>
                  <w:tcBorders>
                    <w:right w:val="single" w:color="auto" w:sz="4" w:space="0"/>
                  </w:tcBorders>
                  <w:vAlign w:val="center"/>
                </w:tcPr>
                <w:p w14:paraId="4335A784">
                  <w:pPr>
                    <w:adjustRightInd w:val="0"/>
                    <w:snapToGrid w:val="0"/>
                    <w:spacing w:before="24" w:beforeLines="10" w:after="24" w:afterLines="10" w:line="240" w:lineRule="auto"/>
                    <w:jc w:val="center"/>
                    <w:rPr>
                      <w:color w:val="FF0000"/>
                      <w:kern w:val="0"/>
                      <w:sz w:val="21"/>
                      <w:szCs w:val="21"/>
                      <w:u w:val="none"/>
                    </w:rPr>
                  </w:pPr>
                </w:p>
              </w:tc>
              <w:tc>
                <w:tcPr>
                  <w:tcW w:w="826" w:type="dxa"/>
                  <w:tcBorders>
                    <w:left w:val="single" w:color="auto" w:sz="4" w:space="0"/>
                  </w:tcBorders>
                  <w:vAlign w:val="center"/>
                </w:tcPr>
                <w:p w14:paraId="619085ED">
                  <w:pPr>
                    <w:adjustRightInd w:val="0"/>
                    <w:snapToGrid w:val="0"/>
                    <w:spacing w:before="24" w:beforeLines="10" w:after="24" w:afterLines="10" w:line="240" w:lineRule="auto"/>
                    <w:jc w:val="center"/>
                    <w:rPr>
                      <w:rFonts w:hint="eastAsia"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lang w:val="en-US" w:eastAsia="zh-CN"/>
                    </w:rPr>
                    <w:t>环境风险</w:t>
                  </w:r>
                </w:p>
              </w:tc>
              <w:tc>
                <w:tcPr>
                  <w:tcW w:w="6258" w:type="dxa"/>
                  <w:vAlign w:val="center"/>
                </w:tcPr>
                <w:p w14:paraId="4708C8BE">
                  <w:pPr>
                    <w:adjustRightInd w:val="0"/>
                    <w:snapToGrid w:val="0"/>
                    <w:spacing w:before="24" w:beforeLines="10" w:after="24" w:afterLines="10" w:line="240" w:lineRule="auto"/>
                    <w:jc w:val="center"/>
                    <w:rPr>
                      <w:rFonts w:hint="eastAsia"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lang w:val="en-US" w:eastAsia="zh-CN"/>
                    </w:rPr>
                    <w:t>升压站</w:t>
                  </w:r>
                  <w:r>
                    <w:rPr>
                      <w:rFonts w:hint="default" w:ascii="Times New Roman" w:hAnsi="Times New Roman" w:eastAsia="宋体" w:cs="Times New Roman"/>
                      <w:color w:val="auto"/>
                      <w:kern w:val="0"/>
                      <w:sz w:val="21"/>
                      <w:szCs w:val="21"/>
                      <w:u w:val="none"/>
                    </w:rPr>
                    <w:t>主变压器</w:t>
                  </w:r>
                  <w:r>
                    <w:rPr>
                      <w:rFonts w:hint="default" w:ascii="Times New Roman" w:hAnsi="Times New Roman" w:eastAsia="宋体" w:cs="Times New Roman"/>
                      <w:color w:val="auto"/>
                      <w:kern w:val="0"/>
                      <w:sz w:val="21"/>
                      <w:szCs w:val="21"/>
                      <w:u w:val="none"/>
                      <w:lang w:val="en-US" w:eastAsia="zh-CN"/>
                    </w:rPr>
                    <w:t>下方新建一</w:t>
                  </w:r>
                  <w: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t>座</w:t>
                  </w:r>
                  <w:r>
                    <w:rPr>
                      <w:rFonts w:hint="eastAsia" w:cs="Times New Roman"/>
                      <w:color w:val="000000" w:themeColor="text1"/>
                      <w:kern w:val="0"/>
                      <w:sz w:val="21"/>
                      <w:szCs w:val="21"/>
                      <w:u w:val="none"/>
                      <w:lang w:val="en-US" w:eastAsia="zh-CN"/>
                      <w14:textFill>
                        <w14:solidFill>
                          <w14:schemeClr w14:val="tx1"/>
                        </w14:solidFill>
                      </w14:textFill>
                    </w:rPr>
                    <w:t>48</w:t>
                  </w:r>
                  <w: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t>m</w:t>
                  </w:r>
                  <w:r>
                    <w:rPr>
                      <w:rFonts w:hint="default" w:ascii="Times New Roman" w:hAnsi="Times New Roman" w:eastAsia="宋体" w:cs="Times New Roman"/>
                      <w:color w:val="000000" w:themeColor="text1"/>
                      <w:kern w:val="0"/>
                      <w:sz w:val="21"/>
                      <w:szCs w:val="21"/>
                      <w:u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kern w:val="0"/>
                      <w:sz w:val="21"/>
                      <w:szCs w:val="21"/>
                      <w:u w:val="none"/>
                      <w14:textFill>
                        <w14:solidFill>
                          <w14:schemeClr w14:val="tx1"/>
                        </w14:solidFill>
                      </w14:textFill>
                    </w:rPr>
                    <w:t>事</w:t>
                  </w:r>
                  <w:r>
                    <w:rPr>
                      <w:rFonts w:hint="default" w:ascii="Times New Roman" w:hAnsi="Times New Roman" w:eastAsia="宋体" w:cs="Times New Roman"/>
                      <w:color w:val="auto"/>
                      <w:kern w:val="0"/>
                      <w:sz w:val="21"/>
                      <w:szCs w:val="21"/>
                      <w:u w:val="none"/>
                    </w:rPr>
                    <w:t>故</w:t>
                  </w:r>
                  <w:r>
                    <w:rPr>
                      <w:rFonts w:hint="default" w:ascii="Times New Roman" w:hAnsi="Times New Roman" w:eastAsia="宋体" w:cs="Times New Roman"/>
                      <w:color w:val="auto"/>
                      <w:kern w:val="0"/>
                      <w:sz w:val="21"/>
                      <w:szCs w:val="21"/>
                      <w:u w:val="none"/>
                      <w:lang w:val="en-US" w:eastAsia="zh-CN"/>
                    </w:rPr>
                    <w:t>油池，用于</w:t>
                  </w:r>
                  <w:r>
                    <w:rPr>
                      <w:rFonts w:hint="default" w:ascii="Times New Roman" w:hAnsi="Times New Roman" w:eastAsia="宋体" w:cs="Times New Roman"/>
                      <w:color w:val="auto"/>
                      <w:kern w:val="0"/>
                      <w:sz w:val="21"/>
                      <w:szCs w:val="21"/>
                      <w:u w:val="none"/>
                    </w:rPr>
                    <w:t>收集事故状态时产生的废变压器油</w:t>
                  </w:r>
                  <w:r>
                    <w:rPr>
                      <w:rFonts w:hint="default" w:ascii="Times New Roman" w:hAnsi="Times New Roman" w:eastAsia="宋体" w:cs="Times New Roman"/>
                      <w:color w:val="auto"/>
                      <w:kern w:val="0"/>
                      <w:sz w:val="21"/>
                      <w:szCs w:val="21"/>
                      <w:u w:val="none"/>
                      <w:lang w:eastAsia="zh-CN"/>
                    </w:rPr>
                    <w:t>。</w:t>
                  </w:r>
                </w:p>
              </w:tc>
            </w:tr>
            <w:tr w14:paraId="067E2C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54" w:type="dxa"/>
                  <w:gridSpan w:val="2"/>
                  <w:vMerge w:val="continue"/>
                  <w:tcBorders>
                    <w:right w:val="single" w:color="auto" w:sz="4" w:space="0"/>
                  </w:tcBorders>
                  <w:vAlign w:val="center"/>
                </w:tcPr>
                <w:p w14:paraId="227B6431">
                  <w:pPr>
                    <w:adjustRightInd w:val="0"/>
                    <w:snapToGrid w:val="0"/>
                    <w:spacing w:before="24" w:beforeLines="10" w:after="24" w:afterLines="10" w:line="240" w:lineRule="auto"/>
                    <w:jc w:val="center"/>
                    <w:rPr>
                      <w:color w:val="FF0000"/>
                      <w:kern w:val="0"/>
                      <w:sz w:val="21"/>
                      <w:szCs w:val="21"/>
                      <w:u w:val="none"/>
                    </w:rPr>
                  </w:pPr>
                </w:p>
              </w:tc>
              <w:tc>
                <w:tcPr>
                  <w:tcW w:w="826" w:type="dxa"/>
                  <w:tcBorders>
                    <w:left w:val="single" w:color="auto" w:sz="4" w:space="0"/>
                  </w:tcBorders>
                  <w:vAlign w:val="center"/>
                </w:tcPr>
                <w:p w14:paraId="55379BB4">
                  <w:pPr>
                    <w:adjustRightInd w:val="0"/>
                    <w:snapToGrid w:val="0"/>
                    <w:spacing w:before="24" w:beforeLines="10" w:after="24" w:afterLines="10" w:line="240" w:lineRule="auto"/>
                    <w:jc w:val="center"/>
                    <w:rPr>
                      <w:rFonts w:hint="eastAsia"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生态保护和水土流失治理</w:t>
                  </w:r>
                </w:p>
              </w:tc>
              <w:tc>
                <w:tcPr>
                  <w:tcW w:w="6258" w:type="dxa"/>
                  <w:vAlign w:val="center"/>
                </w:tcPr>
                <w:p w14:paraId="30BD82D3">
                  <w:pPr>
                    <w:adjustRightInd w:val="0"/>
                    <w:snapToGrid w:val="0"/>
                    <w:spacing w:before="24" w:beforeLines="10" w:after="24" w:afterLines="10" w:line="240" w:lineRule="auto"/>
                    <w:jc w:val="left"/>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生态保护：优化风电机组位置，减少植被破坏。施工期加强环境管理，减少施工临时占地，避免对植物的破坏；设置排水沟、挡土墙、护坡</w:t>
                  </w:r>
                  <w:r>
                    <w:rPr>
                      <w:rFonts w:hint="default" w:ascii="Times New Roman" w:hAnsi="Times New Roman" w:eastAsia="宋体" w:cs="Times New Roman"/>
                      <w:color w:val="auto"/>
                      <w:kern w:val="0"/>
                      <w:sz w:val="21"/>
                      <w:szCs w:val="21"/>
                      <w:u w:val="none"/>
                      <w:lang w:val="en-US" w:eastAsia="zh-CN"/>
                    </w:rPr>
                    <w:t>等防护措施，</w:t>
                  </w:r>
                  <w:r>
                    <w:rPr>
                      <w:rFonts w:hint="default" w:ascii="Times New Roman" w:hAnsi="Times New Roman" w:eastAsia="宋体" w:cs="Times New Roman"/>
                      <w:color w:val="auto"/>
                      <w:kern w:val="0"/>
                      <w:sz w:val="21"/>
                      <w:szCs w:val="21"/>
                      <w:u w:val="none"/>
                    </w:rPr>
                    <w:t>对临时占地及时采取植树</w:t>
                  </w:r>
                  <w:r>
                    <w:rPr>
                      <w:rFonts w:hint="default" w:ascii="Times New Roman" w:hAnsi="Times New Roman" w:eastAsia="宋体" w:cs="Times New Roman"/>
                      <w:color w:val="auto"/>
                      <w:kern w:val="0"/>
                      <w:sz w:val="21"/>
                      <w:szCs w:val="21"/>
                      <w:u w:val="none"/>
                      <w:lang w:eastAsia="zh-CN"/>
                    </w:rPr>
                    <w:t>、</w:t>
                  </w:r>
                  <w:r>
                    <w:rPr>
                      <w:rFonts w:hint="default" w:ascii="Times New Roman" w:hAnsi="Times New Roman" w:eastAsia="宋体" w:cs="Times New Roman"/>
                      <w:color w:val="auto"/>
                      <w:kern w:val="0"/>
                      <w:sz w:val="21"/>
                      <w:szCs w:val="21"/>
                      <w:u w:val="none"/>
                    </w:rPr>
                    <w:t>种草、合理绿化，施工迹地进行生态修复。</w:t>
                  </w:r>
                </w:p>
                <w:p w14:paraId="234DD10A">
                  <w:pPr>
                    <w:adjustRightInd w:val="0"/>
                    <w:snapToGrid w:val="0"/>
                    <w:spacing w:before="24" w:beforeLines="10" w:after="24" w:afterLines="10" w:line="240" w:lineRule="auto"/>
                    <w:jc w:val="left"/>
                    <w:rPr>
                      <w:rFonts w:hint="eastAsia"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水土流失治理：编制水土保持方案，制定水土保持控制目标，采取工程措施、植物措施相结合控制水土流失量。</w:t>
                  </w:r>
                </w:p>
              </w:tc>
            </w:tr>
          </w:tbl>
          <w:p w14:paraId="3C842EC0">
            <w:pPr>
              <w:pStyle w:val="89"/>
              <w:spacing w:line="240" w:lineRule="auto"/>
              <w:ind w:firstLine="3584" w:firstLineChars="1700"/>
              <w:jc w:val="both"/>
              <w:rPr>
                <w:color w:val="FF0000"/>
                <w:kern w:val="2"/>
                <w:u w:val="none"/>
              </w:rPr>
            </w:pPr>
          </w:p>
          <w:p w14:paraId="4D510CE6">
            <w:pPr>
              <w:pStyle w:val="89"/>
              <w:spacing w:line="240" w:lineRule="auto"/>
              <w:ind w:firstLine="2741" w:firstLineChars="1300"/>
              <w:jc w:val="both"/>
              <w:rPr>
                <w:color w:val="auto"/>
                <w:kern w:val="2"/>
                <w:u w:val="none"/>
              </w:rPr>
            </w:pPr>
            <w:r>
              <w:rPr>
                <w:color w:val="auto"/>
                <w:kern w:val="2"/>
                <w:u w:val="none"/>
              </w:rPr>
              <w:t>表</w:t>
            </w:r>
            <w:r>
              <w:rPr>
                <w:rFonts w:hint="eastAsia"/>
                <w:color w:val="auto"/>
                <w:kern w:val="2"/>
                <w:u w:val="none"/>
              </w:rPr>
              <w:t>2.</w:t>
            </w:r>
            <w:r>
              <w:rPr>
                <w:color w:val="auto"/>
                <w:kern w:val="2"/>
                <w:u w:val="none"/>
              </w:rPr>
              <w:t>2-</w:t>
            </w:r>
            <w:r>
              <w:rPr>
                <w:rFonts w:hint="eastAsia"/>
                <w:color w:val="auto"/>
                <w:kern w:val="2"/>
                <w:u w:val="none"/>
                <w:lang w:val="en-US" w:eastAsia="zh-CN"/>
              </w:rPr>
              <w:t>2</w:t>
            </w:r>
            <w:r>
              <w:rPr>
                <w:color w:val="auto"/>
                <w:kern w:val="2"/>
                <w:u w:val="none"/>
              </w:rPr>
              <w:t xml:space="preserve">  </w:t>
            </w:r>
            <w:r>
              <w:rPr>
                <w:rFonts w:hint="eastAsia"/>
                <w:color w:val="auto"/>
                <w:kern w:val="2"/>
                <w:u w:val="none"/>
              </w:rPr>
              <w:t>工程特性表</w:t>
            </w:r>
          </w:p>
          <w:tbl>
            <w:tblPr>
              <w:tblStyle w:val="26"/>
              <w:tblW w:w="7811"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576"/>
              <w:gridCol w:w="685"/>
              <w:gridCol w:w="880"/>
              <w:gridCol w:w="1557"/>
              <w:gridCol w:w="887"/>
              <w:gridCol w:w="2357"/>
              <w:gridCol w:w="869"/>
            </w:tblGrid>
            <w:tr w14:paraId="4E29244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tblHeader/>
                <w:jc w:val="center"/>
              </w:trPr>
              <w:tc>
                <w:tcPr>
                  <w:tcW w:w="3698" w:type="dxa"/>
                  <w:gridSpan w:val="4"/>
                  <w:tcBorders>
                    <w:tl2br w:val="nil"/>
                    <w:tr2bl w:val="nil"/>
                  </w:tcBorders>
                  <w:vAlign w:val="center"/>
                </w:tcPr>
                <w:p w14:paraId="4F310A90">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名    称</w:t>
                  </w:r>
                </w:p>
              </w:tc>
              <w:tc>
                <w:tcPr>
                  <w:tcW w:w="887" w:type="dxa"/>
                  <w:tcBorders>
                    <w:tl2br w:val="nil"/>
                    <w:tr2bl w:val="nil"/>
                  </w:tcBorders>
                  <w:vAlign w:val="center"/>
                </w:tcPr>
                <w:p w14:paraId="3A03FFE5">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单位</w:t>
                  </w:r>
                </w:p>
                <w:p w14:paraId="720B3955">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(或型号)</w:t>
                  </w:r>
                </w:p>
              </w:tc>
              <w:tc>
                <w:tcPr>
                  <w:tcW w:w="2357" w:type="dxa"/>
                  <w:tcBorders>
                    <w:tl2br w:val="nil"/>
                    <w:tr2bl w:val="nil"/>
                  </w:tcBorders>
                  <w:vAlign w:val="center"/>
                </w:tcPr>
                <w:p w14:paraId="50E564B6">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数量</w:t>
                  </w:r>
                </w:p>
              </w:tc>
              <w:tc>
                <w:tcPr>
                  <w:tcW w:w="869" w:type="dxa"/>
                  <w:tcBorders>
                    <w:tl2br w:val="nil"/>
                    <w:tr2bl w:val="nil"/>
                  </w:tcBorders>
                  <w:vAlign w:val="center"/>
                </w:tcPr>
                <w:p w14:paraId="29B0B55D">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备注</w:t>
                  </w:r>
                </w:p>
              </w:tc>
            </w:tr>
            <w:tr w14:paraId="457976B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76" w:type="dxa"/>
                  <w:vMerge w:val="restart"/>
                  <w:tcBorders>
                    <w:tl2br w:val="nil"/>
                    <w:tr2bl w:val="nil"/>
                  </w:tcBorders>
                  <w:vAlign w:val="center"/>
                </w:tcPr>
                <w:p w14:paraId="0B108ECE">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风</w:t>
                  </w:r>
                </w:p>
                <w:p w14:paraId="187CA021">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电</w:t>
                  </w:r>
                </w:p>
                <w:p w14:paraId="7D597CFB">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场</w:t>
                  </w:r>
                </w:p>
                <w:p w14:paraId="0624DBC8">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场</w:t>
                  </w:r>
                </w:p>
                <w:p w14:paraId="3C72389C">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址</w:t>
                  </w:r>
                </w:p>
              </w:tc>
              <w:tc>
                <w:tcPr>
                  <w:tcW w:w="3122" w:type="dxa"/>
                  <w:gridSpan w:val="3"/>
                  <w:tcBorders>
                    <w:tl2br w:val="nil"/>
                    <w:tr2bl w:val="nil"/>
                  </w:tcBorders>
                  <w:vAlign w:val="center"/>
                </w:tcPr>
                <w:p w14:paraId="2FEF8CC2">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海拔高度</w:t>
                  </w:r>
                </w:p>
              </w:tc>
              <w:tc>
                <w:tcPr>
                  <w:tcW w:w="887" w:type="dxa"/>
                  <w:tcBorders>
                    <w:tl2br w:val="nil"/>
                    <w:tr2bl w:val="nil"/>
                  </w:tcBorders>
                  <w:vAlign w:val="center"/>
                </w:tcPr>
                <w:p w14:paraId="05020D1F">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m</w:t>
                  </w:r>
                </w:p>
              </w:tc>
              <w:tc>
                <w:tcPr>
                  <w:tcW w:w="2357" w:type="dxa"/>
                  <w:tcBorders>
                    <w:tl2br w:val="nil"/>
                    <w:tr2bl w:val="nil"/>
                  </w:tcBorders>
                  <w:vAlign w:val="center"/>
                </w:tcPr>
                <w:p w14:paraId="0D383D00">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lang w:val="en-US" w:eastAsia="zh-CN"/>
                    </w:rPr>
                  </w:pPr>
                  <w:r>
                    <w:rPr>
                      <w:rFonts w:hint="eastAsia" w:cs="Times New Roman"/>
                      <w:color w:val="auto"/>
                      <w:kern w:val="0"/>
                      <w:sz w:val="21"/>
                      <w:szCs w:val="21"/>
                      <w:u w:val="none"/>
                      <w:lang w:val="en-US" w:eastAsia="zh-CN"/>
                    </w:rPr>
                    <w:t>60</w:t>
                  </w:r>
                  <w:r>
                    <w:rPr>
                      <w:rFonts w:hint="eastAsia" w:ascii="Times New Roman" w:hAnsi="Times New Roman" w:eastAsia="宋体" w:cs="Times New Roman"/>
                      <w:color w:val="auto"/>
                      <w:kern w:val="0"/>
                      <w:sz w:val="21"/>
                      <w:szCs w:val="21"/>
                      <w:u w:val="none"/>
                      <w:lang w:val="en-US" w:eastAsia="zh-CN"/>
                    </w:rPr>
                    <w:t>0</w:t>
                  </w:r>
                  <w:r>
                    <w:rPr>
                      <w:rFonts w:hint="eastAsia" w:ascii="Times New Roman" w:hAnsi="Times New Roman" w:eastAsia="宋体" w:cs="Times New Roman"/>
                      <w:color w:val="auto"/>
                      <w:kern w:val="0"/>
                      <w:sz w:val="21"/>
                      <w:szCs w:val="21"/>
                      <w:u w:val="none"/>
                    </w:rPr>
                    <w:t>~</w:t>
                  </w:r>
                  <w:r>
                    <w:rPr>
                      <w:rFonts w:hint="eastAsia" w:cs="Times New Roman"/>
                      <w:color w:val="auto"/>
                      <w:kern w:val="0"/>
                      <w:sz w:val="21"/>
                      <w:szCs w:val="21"/>
                      <w:u w:val="none"/>
                      <w:lang w:val="en-US" w:eastAsia="zh-CN"/>
                    </w:rPr>
                    <w:t>1000</w:t>
                  </w:r>
                </w:p>
              </w:tc>
              <w:tc>
                <w:tcPr>
                  <w:tcW w:w="869" w:type="dxa"/>
                  <w:tcBorders>
                    <w:tl2br w:val="nil"/>
                    <w:tr2bl w:val="nil"/>
                  </w:tcBorders>
                  <w:vAlign w:val="center"/>
                </w:tcPr>
                <w:p w14:paraId="222F4B94">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p>
              </w:tc>
            </w:tr>
            <w:tr w14:paraId="3F36C1A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76" w:type="dxa"/>
                  <w:vMerge w:val="continue"/>
                  <w:tcBorders>
                    <w:tl2br w:val="nil"/>
                    <w:tr2bl w:val="nil"/>
                  </w:tcBorders>
                  <w:vAlign w:val="center"/>
                </w:tcPr>
                <w:p w14:paraId="7F6416C0">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p>
              </w:tc>
              <w:tc>
                <w:tcPr>
                  <w:tcW w:w="3122" w:type="dxa"/>
                  <w:gridSpan w:val="3"/>
                  <w:tcBorders>
                    <w:tl2br w:val="nil"/>
                    <w:tr2bl w:val="nil"/>
                  </w:tcBorders>
                  <w:vAlign w:val="center"/>
                </w:tcPr>
                <w:p w14:paraId="4F05CB32">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经度(东经)</w:t>
                  </w:r>
                </w:p>
              </w:tc>
              <w:tc>
                <w:tcPr>
                  <w:tcW w:w="887" w:type="dxa"/>
                  <w:tcBorders>
                    <w:tl2br w:val="nil"/>
                    <w:tr2bl w:val="nil"/>
                  </w:tcBorders>
                  <w:vAlign w:val="center"/>
                </w:tcPr>
                <w:p w14:paraId="5DAB4FF8">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w:t>
                  </w:r>
                </w:p>
              </w:tc>
              <w:tc>
                <w:tcPr>
                  <w:tcW w:w="2357" w:type="dxa"/>
                  <w:tcBorders>
                    <w:tl2br w:val="nil"/>
                    <w:tr2bl w:val="nil"/>
                  </w:tcBorders>
                  <w:vAlign w:val="center"/>
                </w:tcPr>
                <w:p w14:paraId="10D6E68F">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lang w:val="en-US" w:eastAsia="zh-CN"/>
                    </w:rPr>
                  </w:pPr>
                  <w:r>
                    <w:rPr>
                      <w:rFonts w:hint="eastAsia"/>
                      <w:color w:val="auto"/>
                      <w:kern w:val="0"/>
                      <w:sz w:val="21"/>
                      <w:szCs w:val="21"/>
                      <w:u w:val="none"/>
                    </w:rPr>
                    <w:t>109°38′23″～109°47′4″</w:t>
                  </w:r>
                </w:p>
              </w:tc>
              <w:tc>
                <w:tcPr>
                  <w:tcW w:w="869" w:type="dxa"/>
                  <w:vMerge w:val="restart"/>
                  <w:tcBorders>
                    <w:tl2br w:val="nil"/>
                    <w:tr2bl w:val="nil"/>
                  </w:tcBorders>
                  <w:vAlign w:val="center"/>
                </w:tcPr>
                <w:p w14:paraId="15C64F42">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lang w:val="en-US" w:eastAsia="zh-CN"/>
                    </w:rPr>
                  </w:pPr>
                </w:p>
              </w:tc>
            </w:tr>
            <w:tr w14:paraId="73F8487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76" w:type="dxa"/>
                  <w:vMerge w:val="continue"/>
                  <w:tcBorders>
                    <w:tl2br w:val="nil"/>
                    <w:tr2bl w:val="nil"/>
                  </w:tcBorders>
                  <w:vAlign w:val="center"/>
                </w:tcPr>
                <w:p w14:paraId="0CF2D17C">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p>
              </w:tc>
              <w:tc>
                <w:tcPr>
                  <w:tcW w:w="3122" w:type="dxa"/>
                  <w:gridSpan w:val="3"/>
                  <w:tcBorders>
                    <w:tl2br w:val="nil"/>
                    <w:tr2bl w:val="nil"/>
                  </w:tcBorders>
                  <w:vAlign w:val="center"/>
                </w:tcPr>
                <w:p w14:paraId="19E40D12">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纬度(北纬)</w:t>
                  </w:r>
                </w:p>
              </w:tc>
              <w:tc>
                <w:tcPr>
                  <w:tcW w:w="887" w:type="dxa"/>
                  <w:tcBorders>
                    <w:tl2br w:val="nil"/>
                    <w:tr2bl w:val="nil"/>
                  </w:tcBorders>
                  <w:vAlign w:val="center"/>
                </w:tcPr>
                <w:p w14:paraId="34A7E057">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w:t>
                  </w:r>
                </w:p>
              </w:tc>
              <w:tc>
                <w:tcPr>
                  <w:tcW w:w="2357" w:type="dxa"/>
                  <w:tcBorders>
                    <w:tl2br w:val="nil"/>
                    <w:tr2bl w:val="nil"/>
                  </w:tcBorders>
                  <w:vAlign w:val="center"/>
                </w:tcPr>
                <w:p w14:paraId="61D646AE">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r>
                    <w:rPr>
                      <w:rFonts w:hint="eastAsia"/>
                      <w:color w:val="auto"/>
                      <w:kern w:val="0"/>
                      <w:sz w:val="21"/>
                      <w:szCs w:val="21"/>
                      <w:u w:val="none"/>
                    </w:rPr>
                    <w:t>26°25′41″～26°31′7″，</w:t>
                  </w:r>
                </w:p>
              </w:tc>
              <w:tc>
                <w:tcPr>
                  <w:tcW w:w="869" w:type="dxa"/>
                  <w:vMerge w:val="continue"/>
                  <w:tcBorders>
                    <w:tl2br w:val="nil"/>
                    <w:tr2bl w:val="nil"/>
                  </w:tcBorders>
                  <w:vAlign w:val="center"/>
                </w:tcPr>
                <w:p w14:paraId="2DC8346B">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p>
              </w:tc>
            </w:tr>
            <w:tr w14:paraId="539D7D2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76" w:type="dxa"/>
                  <w:vMerge w:val="continue"/>
                  <w:tcBorders>
                    <w:tl2br w:val="nil"/>
                    <w:tr2bl w:val="nil"/>
                  </w:tcBorders>
                  <w:vAlign w:val="center"/>
                </w:tcPr>
                <w:p w14:paraId="73514A71">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p>
              </w:tc>
              <w:tc>
                <w:tcPr>
                  <w:tcW w:w="3122" w:type="dxa"/>
                  <w:gridSpan w:val="3"/>
                  <w:tcBorders>
                    <w:tl2br w:val="nil"/>
                    <w:tr2bl w:val="nil"/>
                  </w:tcBorders>
                  <w:vAlign w:val="center"/>
                </w:tcPr>
                <w:p w14:paraId="144F60EF">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年平均风速</w:t>
                  </w:r>
                </w:p>
              </w:tc>
              <w:tc>
                <w:tcPr>
                  <w:tcW w:w="887" w:type="dxa"/>
                  <w:tcBorders>
                    <w:tl2br w:val="nil"/>
                    <w:tr2bl w:val="nil"/>
                  </w:tcBorders>
                  <w:vAlign w:val="center"/>
                </w:tcPr>
                <w:p w14:paraId="672F94B7">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m/s</w:t>
                  </w:r>
                </w:p>
              </w:tc>
              <w:tc>
                <w:tcPr>
                  <w:tcW w:w="2357" w:type="dxa"/>
                  <w:tcBorders>
                    <w:tl2br w:val="nil"/>
                    <w:tr2bl w:val="nil"/>
                  </w:tcBorders>
                  <w:vAlign w:val="center"/>
                </w:tcPr>
                <w:p w14:paraId="10876E4A">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lang w:val="en-US" w:eastAsia="zh-CN"/>
                    </w:rPr>
                  </w:pPr>
                  <w:r>
                    <w:rPr>
                      <w:rFonts w:hint="eastAsia" w:cs="Times New Roman"/>
                      <w:color w:val="auto"/>
                      <w:kern w:val="0"/>
                      <w:sz w:val="21"/>
                      <w:szCs w:val="21"/>
                      <w:u w:val="none"/>
                      <w:lang w:val="en-US" w:eastAsia="zh-CN"/>
                    </w:rPr>
                    <w:t>6.22/6.19</w:t>
                  </w:r>
                </w:p>
              </w:tc>
              <w:tc>
                <w:tcPr>
                  <w:tcW w:w="869" w:type="dxa"/>
                  <w:vMerge w:val="restart"/>
                  <w:tcBorders>
                    <w:tl2br w:val="nil"/>
                    <w:tr2bl w:val="nil"/>
                  </w:tcBorders>
                  <w:vAlign w:val="center"/>
                </w:tcPr>
                <w:p w14:paraId="1F70D4EB">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lang w:val="en-US" w:eastAsia="zh-CN"/>
                    </w:rPr>
                  </w:pPr>
                  <w:r>
                    <w:rPr>
                      <w:rFonts w:hint="eastAsia" w:cs="Times New Roman"/>
                      <w:color w:val="auto"/>
                      <w:kern w:val="0"/>
                      <w:sz w:val="21"/>
                      <w:szCs w:val="21"/>
                      <w:u w:val="none"/>
                      <w:lang w:val="en-US" w:eastAsia="zh-CN"/>
                    </w:rPr>
                    <w:t>代表塔轮毂高度</w:t>
                  </w:r>
                </w:p>
              </w:tc>
            </w:tr>
            <w:tr w14:paraId="290D9A0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76" w:type="dxa"/>
                  <w:vMerge w:val="continue"/>
                  <w:tcBorders>
                    <w:tl2br w:val="nil"/>
                    <w:tr2bl w:val="nil"/>
                  </w:tcBorders>
                  <w:vAlign w:val="center"/>
                </w:tcPr>
                <w:p w14:paraId="04BA7279">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p>
              </w:tc>
              <w:tc>
                <w:tcPr>
                  <w:tcW w:w="3122" w:type="dxa"/>
                  <w:gridSpan w:val="3"/>
                  <w:tcBorders>
                    <w:tl2br w:val="nil"/>
                    <w:tr2bl w:val="nil"/>
                  </w:tcBorders>
                  <w:vAlign w:val="center"/>
                </w:tcPr>
                <w:p w14:paraId="75F7BA6C">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风功率密度</w:t>
                  </w:r>
                </w:p>
              </w:tc>
              <w:tc>
                <w:tcPr>
                  <w:tcW w:w="887" w:type="dxa"/>
                  <w:tcBorders>
                    <w:tl2br w:val="nil"/>
                    <w:tr2bl w:val="nil"/>
                  </w:tcBorders>
                  <w:vAlign w:val="center"/>
                </w:tcPr>
                <w:p w14:paraId="029A9C90">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lang w:eastAsia="zh-CN"/>
                    </w:rPr>
                  </w:pPr>
                  <w:r>
                    <w:rPr>
                      <w:rFonts w:hint="default" w:ascii="Times New Roman" w:hAnsi="Times New Roman" w:eastAsia="宋体" w:cs="Times New Roman"/>
                      <w:color w:val="auto"/>
                      <w:kern w:val="0"/>
                      <w:sz w:val="21"/>
                      <w:szCs w:val="21"/>
                      <w:u w:val="none"/>
                    </w:rPr>
                    <w:t>W/</w:t>
                  </w:r>
                  <w:r>
                    <w:rPr>
                      <w:rFonts w:hint="default" w:ascii="Times New Roman" w:hAnsi="Times New Roman" w:eastAsia="宋体" w:cs="Times New Roman"/>
                      <w:color w:val="auto"/>
                      <w:kern w:val="0"/>
                      <w:sz w:val="21"/>
                      <w:szCs w:val="21"/>
                      <w:u w:val="none"/>
                      <w:lang w:eastAsia="zh-CN"/>
                    </w:rPr>
                    <w:t>m</w:t>
                  </w:r>
                  <w:r>
                    <w:rPr>
                      <w:rFonts w:hint="default" w:ascii="Times New Roman" w:hAnsi="Times New Roman" w:eastAsia="宋体" w:cs="Times New Roman"/>
                      <w:color w:val="auto"/>
                      <w:kern w:val="0"/>
                      <w:sz w:val="21"/>
                      <w:szCs w:val="21"/>
                      <w:u w:val="none"/>
                      <w:vertAlign w:val="superscript"/>
                      <w:lang w:eastAsia="zh-CN"/>
                    </w:rPr>
                    <w:t>2</w:t>
                  </w:r>
                </w:p>
              </w:tc>
              <w:tc>
                <w:tcPr>
                  <w:tcW w:w="2357" w:type="dxa"/>
                  <w:tcBorders>
                    <w:tl2br w:val="nil"/>
                    <w:tr2bl w:val="nil"/>
                  </w:tcBorders>
                  <w:vAlign w:val="center"/>
                </w:tcPr>
                <w:p w14:paraId="76D6693E">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lang w:val="en-US" w:eastAsia="zh-CN"/>
                    </w:rPr>
                  </w:pPr>
                  <w:r>
                    <w:rPr>
                      <w:rFonts w:hint="eastAsia" w:cs="Times New Roman"/>
                      <w:color w:val="auto"/>
                      <w:kern w:val="0"/>
                      <w:sz w:val="21"/>
                      <w:szCs w:val="21"/>
                      <w:u w:val="none"/>
                      <w:lang w:val="en-US" w:eastAsia="zh-CN"/>
                    </w:rPr>
                    <w:t>220.42/228.25</w:t>
                  </w:r>
                </w:p>
              </w:tc>
              <w:tc>
                <w:tcPr>
                  <w:tcW w:w="869" w:type="dxa"/>
                  <w:vMerge w:val="continue"/>
                  <w:tcBorders>
                    <w:tl2br w:val="nil"/>
                    <w:tr2bl w:val="nil"/>
                  </w:tcBorders>
                  <w:vAlign w:val="center"/>
                </w:tcPr>
                <w:p w14:paraId="2F4112E2">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p>
              </w:tc>
            </w:tr>
            <w:tr w14:paraId="428A77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76" w:type="dxa"/>
                  <w:vMerge w:val="continue"/>
                  <w:tcBorders>
                    <w:tl2br w:val="nil"/>
                    <w:tr2bl w:val="nil"/>
                  </w:tcBorders>
                  <w:vAlign w:val="center"/>
                </w:tcPr>
                <w:p w14:paraId="2E9586DC">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p>
              </w:tc>
              <w:tc>
                <w:tcPr>
                  <w:tcW w:w="3122" w:type="dxa"/>
                  <w:gridSpan w:val="3"/>
                  <w:tcBorders>
                    <w:tl2br w:val="nil"/>
                    <w:tr2bl w:val="nil"/>
                  </w:tcBorders>
                  <w:vAlign w:val="center"/>
                </w:tcPr>
                <w:p w14:paraId="68F77299">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lang w:val="en-US" w:eastAsia="zh-CN"/>
                    </w:rPr>
                  </w:pPr>
                  <w:r>
                    <w:rPr>
                      <w:rFonts w:hint="eastAsia" w:cs="Times New Roman"/>
                      <w:color w:val="auto"/>
                      <w:kern w:val="0"/>
                      <w:sz w:val="21"/>
                      <w:szCs w:val="21"/>
                      <w:u w:val="none"/>
                      <w:lang w:val="en-US" w:eastAsia="zh-CN"/>
                    </w:rPr>
                    <w:t>主风能方向</w:t>
                  </w:r>
                </w:p>
              </w:tc>
              <w:tc>
                <w:tcPr>
                  <w:tcW w:w="887" w:type="dxa"/>
                  <w:tcBorders>
                    <w:tl2br w:val="nil"/>
                    <w:tr2bl w:val="nil"/>
                  </w:tcBorders>
                  <w:vAlign w:val="center"/>
                </w:tcPr>
                <w:p w14:paraId="4E3255AC">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w:t>
                  </w:r>
                </w:p>
              </w:tc>
              <w:tc>
                <w:tcPr>
                  <w:tcW w:w="2357" w:type="dxa"/>
                  <w:tcBorders>
                    <w:tl2br w:val="nil"/>
                    <w:tr2bl w:val="nil"/>
                  </w:tcBorders>
                  <w:vAlign w:val="center"/>
                </w:tcPr>
                <w:p w14:paraId="0997B670">
                  <w:pPr>
                    <w:adjustRightInd w:val="0"/>
                    <w:snapToGrid w:val="0"/>
                    <w:spacing w:before="24" w:beforeLines="10" w:after="24" w:afterLines="10" w:line="240" w:lineRule="auto"/>
                    <w:jc w:val="center"/>
                    <w:rPr>
                      <w:rFonts w:hint="default" w:ascii="Times New Roman" w:hAnsi="Times New Roman" w:eastAsia="宋体" w:cs="Times New Roman"/>
                      <w:color w:val="5B9BD5" w:themeColor="accent1"/>
                      <w:kern w:val="0"/>
                      <w:sz w:val="21"/>
                      <w:szCs w:val="21"/>
                      <w:u w:val="none"/>
                      <w:lang w:val="en-US" w:eastAsia="zh-CN"/>
                      <w14:textFill>
                        <w14:solidFill>
                          <w14:schemeClr w14:val="accent1"/>
                        </w14:solidFill>
                      </w14:textFill>
                    </w:rPr>
                  </w:pPr>
                  <w:r>
                    <w:rPr>
                      <w:rFonts w:hint="eastAsia" w:cs="Times New Roman"/>
                      <w:color w:val="000000" w:themeColor="text1"/>
                      <w:kern w:val="0"/>
                      <w:sz w:val="21"/>
                      <w:szCs w:val="21"/>
                      <w:u w:val="none"/>
                      <w:lang w:val="en-US" w:eastAsia="zh-CN"/>
                      <w14:textFill>
                        <w14:solidFill>
                          <w14:schemeClr w14:val="tx1"/>
                        </w14:solidFill>
                      </w14:textFill>
                    </w:rPr>
                    <w:t>S</w:t>
                  </w:r>
                </w:p>
              </w:tc>
              <w:tc>
                <w:tcPr>
                  <w:tcW w:w="869" w:type="dxa"/>
                  <w:tcBorders>
                    <w:tl2br w:val="nil"/>
                    <w:tr2bl w:val="nil"/>
                  </w:tcBorders>
                  <w:vAlign w:val="center"/>
                </w:tcPr>
                <w:p w14:paraId="0116E184">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p>
              </w:tc>
            </w:tr>
            <w:tr w14:paraId="16281AD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76" w:hRule="atLeast"/>
                <w:jc w:val="center"/>
              </w:trPr>
              <w:tc>
                <w:tcPr>
                  <w:tcW w:w="576" w:type="dxa"/>
                  <w:vMerge w:val="restart"/>
                  <w:tcBorders>
                    <w:tl2br w:val="nil"/>
                    <w:tr2bl w:val="nil"/>
                  </w:tcBorders>
                  <w:vAlign w:val="center"/>
                </w:tcPr>
                <w:p w14:paraId="3654BD35">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主要设备</w:t>
                  </w:r>
                </w:p>
              </w:tc>
              <w:tc>
                <w:tcPr>
                  <w:tcW w:w="685" w:type="dxa"/>
                  <w:vMerge w:val="restart"/>
                  <w:tcBorders>
                    <w:tl2br w:val="nil"/>
                    <w:tr2bl w:val="nil"/>
                  </w:tcBorders>
                  <w:vAlign w:val="center"/>
                </w:tcPr>
                <w:p w14:paraId="25AE2165">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风电场主要机电设备</w:t>
                  </w:r>
                </w:p>
              </w:tc>
              <w:tc>
                <w:tcPr>
                  <w:tcW w:w="880" w:type="dxa"/>
                  <w:vMerge w:val="restart"/>
                  <w:tcBorders>
                    <w:tl2br w:val="nil"/>
                    <w:tr2bl w:val="nil"/>
                  </w:tcBorders>
                  <w:vAlign w:val="center"/>
                </w:tcPr>
                <w:p w14:paraId="56A61621">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风电机组</w:t>
                  </w:r>
                </w:p>
              </w:tc>
              <w:tc>
                <w:tcPr>
                  <w:tcW w:w="1557" w:type="dxa"/>
                  <w:tcBorders>
                    <w:tl2br w:val="nil"/>
                    <w:tr2bl w:val="nil"/>
                  </w:tcBorders>
                  <w:vAlign w:val="center"/>
                </w:tcPr>
                <w:p w14:paraId="3B8A1FF4">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风机台数</w:t>
                  </w:r>
                </w:p>
              </w:tc>
              <w:tc>
                <w:tcPr>
                  <w:tcW w:w="887" w:type="dxa"/>
                  <w:tcBorders>
                    <w:tl2br w:val="nil"/>
                    <w:tr2bl w:val="nil"/>
                  </w:tcBorders>
                  <w:vAlign w:val="center"/>
                </w:tcPr>
                <w:p w14:paraId="0DF098CE">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台</w:t>
                  </w:r>
                </w:p>
              </w:tc>
              <w:tc>
                <w:tcPr>
                  <w:tcW w:w="2357" w:type="dxa"/>
                  <w:tcBorders>
                    <w:tl2br w:val="nil"/>
                    <w:tr2bl w:val="nil"/>
                  </w:tcBorders>
                  <w:vAlign w:val="center"/>
                </w:tcPr>
                <w:p w14:paraId="30986608">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lang w:val="en-US" w:eastAsia="zh-CN"/>
                    </w:rPr>
                  </w:pPr>
                  <w:r>
                    <w:rPr>
                      <w:rFonts w:hint="eastAsia"/>
                      <w:color w:val="auto"/>
                      <w:kern w:val="0"/>
                      <w:sz w:val="21"/>
                      <w:szCs w:val="21"/>
                      <w:u w:val="none"/>
                      <w:lang w:val="en-US" w:eastAsia="zh-CN"/>
                    </w:rPr>
                    <w:t>15</w:t>
                  </w:r>
                </w:p>
              </w:tc>
              <w:tc>
                <w:tcPr>
                  <w:tcW w:w="869" w:type="dxa"/>
                  <w:tcBorders>
                    <w:tl2br w:val="nil"/>
                    <w:tr2bl w:val="nil"/>
                  </w:tcBorders>
                  <w:vAlign w:val="center"/>
                </w:tcPr>
                <w:p w14:paraId="729B95CC">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r>
            <w:tr w14:paraId="6E26673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76" w:type="dxa"/>
                  <w:vMerge w:val="continue"/>
                  <w:tcBorders>
                    <w:tl2br w:val="nil"/>
                    <w:tr2bl w:val="nil"/>
                  </w:tcBorders>
                  <w:vAlign w:val="center"/>
                </w:tcPr>
                <w:p w14:paraId="006DAE8E">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p>
              </w:tc>
              <w:tc>
                <w:tcPr>
                  <w:tcW w:w="685" w:type="dxa"/>
                  <w:vMerge w:val="continue"/>
                  <w:tcBorders>
                    <w:tl2br w:val="nil"/>
                    <w:tr2bl w:val="nil"/>
                  </w:tcBorders>
                  <w:vAlign w:val="center"/>
                </w:tcPr>
                <w:p w14:paraId="64DBF134">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p>
              </w:tc>
              <w:tc>
                <w:tcPr>
                  <w:tcW w:w="880" w:type="dxa"/>
                  <w:vMerge w:val="continue"/>
                  <w:tcBorders>
                    <w:tl2br w:val="nil"/>
                    <w:tr2bl w:val="nil"/>
                  </w:tcBorders>
                  <w:vAlign w:val="center"/>
                </w:tcPr>
                <w:p w14:paraId="13F31A2C">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p>
              </w:tc>
              <w:tc>
                <w:tcPr>
                  <w:tcW w:w="1557" w:type="dxa"/>
                  <w:tcBorders>
                    <w:tl2br w:val="nil"/>
                    <w:tr2bl w:val="nil"/>
                  </w:tcBorders>
                  <w:vAlign w:val="center"/>
                </w:tcPr>
                <w:p w14:paraId="136D48AC">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r>
                    <w:rPr>
                      <w:rFonts w:hint="eastAsia" w:cs="Times New Roman"/>
                      <w:color w:val="auto"/>
                      <w:kern w:val="0"/>
                      <w:sz w:val="21"/>
                      <w:szCs w:val="21"/>
                      <w:u w:val="none"/>
                      <w:lang w:val="en-US" w:eastAsia="zh-CN"/>
                    </w:rPr>
                    <w:t>额定</w:t>
                  </w:r>
                  <w:r>
                    <w:rPr>
                      <w:rFonts w:hint="default" w:ascii="Times New Roman" w:hAnsi="Times New Roman" w:eastAsia="宋体" w:cs="Times New Roman"/>
                      <w:color w:val="auto"/>
                      <w:kern w:val="0"/>
                      <w:sz w:val="21"/>
                      <w:szCs w:val="21"/>
                      <w:u w:val="none"/>
                    </w:rPr>
                    <w:t>功率</w:t>
                  </w:r>
                </w:p>
              </w:tc>
              <w:tc>
                <w:tcPr>
                  <w:tcW w:w="887" w:type="dxa"/>
                  <w:tcBorders>
                    <w:tl2br w:val="nil"/>
                    <w:tr2bl w:val="nil"/>
                  </w:tcBorders>
                  <w:vAlign w:val="center"/>
                </w:tcPr>
                <w:p w14:paraId="3EC6EC6D">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kW</w:t>
                  </w:r>
                </w:p>
              </w:tc>
              <w:tc>
                <w:tcPr>
                  <w:tcW w:w="2357" w:type="dxa"/>
                  <w:tcBorders>
                    <w:tl2br w:val="nil"/>
                    <w:tr2bl w:val="nil"/>
                  </w:tcBorders>
                  <w:vAlign w:val="center"/>
                </w:tcPr>
                <w:p w14:paraId="4DB5EC4D">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lang w:val="en-US" w:eastAsia="zh-CN"/>
                    </w:rPr>
                  </w:pPr>
                  <w:r>
                    <w:rPr>
                      <w:rFonts w:hint="eastAsia" w:cs="Times New Roman"/>
                      <w:color w:val="auto"/>
                      <w:kern w:val="0"/>
                      <w:sz w:val="21"/>
                      <w:szCs w:val="21"/>
                      <w:u w:val="none"/>
                      <w:lang w:val="en-US" w:eastAsia="zh-CN"/>
                    </w:rPr>
                    <w:t>5000</w:t>
                  </w:r>
                </w:p>
              </w:tc>
              <w:tc>
                <w:tcPr>
                  <w:tcW w:w="869" w:type="dxa"/>
                  <w:tcBorders>
                    <w:tl2br w:val="nil"/>
                    <w:tr2bl w:val="nil"/>
                  </w:tcBorders>
                  <w:vAlign w:val="center"/>
                </w:tcPr>
                <w:p w14:paraId="166E86C0">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r>
            <w:tr w14:paraId="31B48D0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76" w:type="dxa"/>
                  <w:vMerge w:val="continue"/>
                  <w:tcBorders>
                    <w:tl2br w:val="nil"/>
                    <w:tr2bl w:val="nil"/>
                  </w:tcBorders>
                  <w:vAlign w:val="center"/>
                </w:tcPr>
                <w:p w14:paraId="2F90D815">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p>
              </w:tc>
              <w:tc>
                <w:tcPr>
                  <w:tcW w:w="685" w:type="dxa"/>
                  <w:vMerge w:val="continue"/>
                  <w:tcBorders>
                    <w:tl2br w:val="nil"/>
                    <w:tr2bl w:val="nil"/>
                  </w:tcBorders>
                  <w:vAlign w:val="center"/>
                </w:tcPr>
                <w:p w14:paraId="628E3280">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p>
              </w:tc>
              <w:tc>
                <w:tcPr>
                  <w:tcW w:w="880" w:type="dxa"/>
                  <w:vMerge w:val="continue"/>
                  <w:tcBorders>
                    <w:tl2br w:val="nil"/>
                    <w:tr2bl w:val="nil"/>
                  </w:tcBorders>
                  <w:vAlign w:val="center"/>
                </w:tcPr>
                <w:p w14:paraId="715A404C">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p>
              </w:tc>
              <w:tc>
                <w:tcPr>
                  <w:tcW w:w="1557" w:type="dxa"/>
                  <w:tcBorders>
                    <w:tl2br w:val="nil"/>
                    <w:tr2bl w:val="nil"/>
                  </w:tcBorders>
                  <w:vAlign w:val="center"/>
                </w:tcPr>
                <w:p w14:paraId="04E633C9">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叶片数</w:t>
                  </w:r>
                </w:p>
              </w:tc>
              <w:tc>
                <w:tcPr>
                  <w:tcW w:w="887" w:type="dxa"/>
                  <w:tcBorders>
                    <w:tl2br w:val="nil"/>
                    <w:tr2bl w:val="nil"/>
                  </w:tcBorders>
                  <w:vAlign w:val="center"/>
                </w:tcPr>
                <w:p w14:paraId="6FB64EDE">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片</w:t>
                  </w:r>
                </w:p>
              </w:tc>
              <w:tc>
                <w:tcPr>
                  <w:tcW w:w="2357" w:type="dxa"/>
                  <w:tcBorders>
                    <w:tl2br w:val="nil"/>
                    <w:tr2bl w:val="nil"/>
                  </w:tcBorders>
                  <w:vAlign w:val="center"/>
                </w:tcPr>
                <w:p w14:paraId="7C2F91DD">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3</w:t>
                  </w:r>
                </w:p>
              </w:tc>
              <w:tc>
                <w:tcPr>
                  <w:tcW w:w="869" w:type="dxa"/>
                  <w:tcBorders>
                    <w:tl2br w:val="nil"/>
                    <w:tr2bl w:val="nil"/>
                  </w:tcBorders>
                  <w:vAlign w:val="center"/>
                </w:tcPr>
                <w:p w14:paraId="6B083F92">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r>
            <w:tr w14:paraId="0FA4FBD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76" w:type="dxa"/>
                  <w:vMerge w:val="continue"/>
                  <w:tcBorders>
                    <w:tl2br w:val="nil"/>
                    <w:tr2bl w:val="nil"/>
                  </w:tcBorders>
                  <w:vAlign w:val="center"/>
                </w:tcPr>
                <w:p w14:paraId="273EF280">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c>
                <w:tcPr>
                  <w:tcW w:w="685" w:type="dxa"/>
                  <w:vMerge w:val="continue"/>
                  <w:tcBorders>
                    <w:tl2br w:val="nil"/>
                    <w:tr2bl w:val="nil"/>
                  </w:tcBorders>
                  <w:vAlign w:val="center"/>
                </w:tcPr>
                <w:p w14:paraId="55548FB6">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c>
                <w:tcPr>
                  <w:tcW w:w="880" w:type="dxa"/>
                  <w:vMerge w:val="continue"/>
                  <w:tcBorders>
                    <w:tl2br w:val="nil"/>
                    <w:tr2bl w:val="nil"/>
                  </w:tcBorders>
                  <w:vAlign w:val="center"/>
                </w:tcPr>
                <w:p w14:paraId="18613643">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c>
                <w:tcPr>
                  <w:tcW w:w="1557" w:type="dxa"/>
                  <w:tcBorders>
                    <w:tl2br w:val="nil"/>
                    <w:tr2bl w:val="nil"/>
                  </w:tcBorders>
                  <w:vAlign w:val="center"/>
                </w:tcPr>
                <w:p w14:paraId="1E7FCAF4">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风轮直径</w:t>
                  </w:r>
                </w:p>
              </w:tc>
              <w:tc>
                <w:tcPr>
                  <w:tcW w:w="887" w:type="dxa"/>
                  <w:tcBorders>
                    <w:tl2br w:val="nil"/>
                    <w:tr2bl w:val="nil"/>
                  </w:tcBorders>
                  <w:vAlign w:val="center"/>
                </w:tcPr>
                <w:p w14:paraId="5B4101DA">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m</w:t>
                  </w:r>
                </w:p>
              </w:tc>
              <w:tc>
                <w:tcPr>
                  <w:tcW w:w="2357" w:type="dxa"/>
                  <w:tcBorders>
                    <w:tl2br w:val="nil"/>
                    <w:tr2bl w:val="nil"/>
                  </w:tcBorders>
                  <w:vAlign w:val="center"/>
                </w:tcPr>
                <w:p w14:paraId="79E5AD09">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lang w:val="en-US" w:eastAsia="zh-CN"/>
                    </w:rPr>
                  </w:pPr>
                  <w:r>
                    <w:rPr>
                      <w:rFonts w:hint="eastAsia" w:cs="Times New Roman"/>
                      <w:color w:val="auto"/>
                      <w:kern w:val="0"/>
                      <w:sz w:val="21"/>
                      <w:szCs w:val="21"/>
                      <w:u w:val="none"/>
                      <w:lang w:val="en-US" w:eastAsia="zh-CN"/>
                    </w:rPr>
                    <w:t>200</w:t>
                  </w:r>
                </w:p>
              </w:tc>
              <w:tc>
                <w:tcPr>
                  <w:tcW w:w="869" w:type="dxa"/>
                  <w:tcBorders>
                    <w:tl2br w:val="nil"/>
                    <w:tr2bl w:val="nil"/>
                  </w:tcBorders>
                  <w:vAlign w:val="center"/>
                </w:tcPr>
                <w:p w14:paraId="69C79CBA">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r>
            <w:tr w14:paraId="0C45043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76" w:type="dxa"/>
                  <w:vMerge w:val="continue"/>
                  <w:tcBorders>
                    <w:tl2br w:val="nil"/>
                    <w:tr2bl w:val="nil"/>
                  </w:tcBorders>
                  <w:vAlign w:val="center"/>
                </w:tcPr>
                <w:p w14:paraId="4308C17D">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c>
                <w:tcPr>
                  <w:tcW w:w="685" w:type="dxa"/>
                  <w:vMerge w:val="continue"/>
                  <w:tcBorders>
                    <w:tl2br w:val="nil"/>
                    <w:tr2bl w:val="nil"/>
                  </w:tcBorders>
                  <w:vAlign w:val="center"/>
                </w:tcPr>
                <w:p w14:paraId="6B4152E9">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c>
                <w:tcPr>
                  <w:tcW w:w="880" w:type="dxa"/>
                  <w:vMerge w:val="continue"/>
                  <w:tcBorders>
                    <w:tl2br w:val="nil"/>
                    <w:tr2bl w:val="nil"/>
                  </w:tcBorders>
                  <w:vAlign w:val="center"/>
                </w:tcPr>
                <w:p w14:paraId="0FD24E7B">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c>
                <w:tcPr>
                  <w:tcW w:w="1557" w:type="dxa"/>
                  <w:tcBorders>
                    <w:tl2br w:val="nil"/>
                    <w:tr2bl w:val="nil"/>
                  </w:tcBorders>
                  <w:vAlign w:val="center"/>
                </w:tcPr>
                <w:p w14:paraId="17C7A719">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扫掠面积</w:t>
                  </w:r>
                </w:p>
              </w:tc>
              <w:tc>
                <w:tcPr>
                  <w:tcW w:w="887" w:type="dxa"/>
                  <w:tcBorders>
                    <w:tl2br w:val="nil"/>
                    <w:tr2bl w:val="nil"/>
                  </w:tcBorders>
                  <w:vAlign w:val="center"/>
                </w:tcPr>
                <w:p w14:paraId="6A51068C">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lang w:eastAsia="zh-CN"/>
                    </w:rPr>
                  </w:pPr>
                  <w:r>
                    <w:rPr>
                      <w:rFonts w:hint="default" w:ascii="Times New Roman" w:hAnsi="Times New Roman" w:eastAsia="宋体" w:cs="Times New Roman"/>
                      <w:color w:val="auto"/>
                      <w:kern w:val="0"/>
                      <w:sz w:val="21"/>
                      <w:szCs w:val="21"/>
                      <w:u w:val="none"/>
                      <w:lang w:eastAsia="zh-CN"/>
                    </w:rPr>
                    <w:t>m</w:t>
                  </w:r>
                  <w:r>
                    <w:rPr>
                      <w:rFonts w:hint="default" w:ascii="Times New Roman" w:hAnsi="Times New Roman" w:eastAsia="宋体" w:cs="Times New Roman"/>
                      <w:color w:val="auto"/>
                      <w:kern w:val="0"/>
                      <w:sz w:val="21"/>
                      <w:szCs w:val="21"/>
                      <w:u w:val="none"/>
                      <w:vertAlign w:val="superscript"/>
                      <w:lang w:eastAsia="zh-CN"/>
                    </w:rPr>
                    <w:t>2</w:t>
                  </w:r>
                </w:p>
              </w:tc>
              <w:tc>
                <w:tcPr>
                  <w:tcW w:w="2357" w:type="dxa"/>
                  <w:tcBorders>
                    <w:tl2br w:val="nil"/>
                    <w:tr2bl w:val="nil"/>
                  </w:tcBorders>
                  <w:vAlign w:val="center"/>
                </w:tcPr>
                <w:p w14:paraId="1CD0AD5A">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lang w:val="en-US" w:eastAsia="zh-CN"/>
                    </w:rPr>
                  </w:pPr>
                  <w:r>
                    <w:rPr>
                      <w:rFonts w:hint="eastAsia" w:cs="Times New Roman"/>
                      <w:color w:val="auto"/>
                      <w:kern w:val="0"/>
                      <w:sz w:val="21"/>
                      <w:szCs w:val="21"/>
                      <w:u w:val="none"/>
                      <w:lang w:val="en-US" w:eastAsia="zh-CN"/>
                    </w:rPr>
                    <w:t>31400</w:t>
                  </w:r>
                </w:p>
              </w:tc>
              <w:tc>
                <w:tcPr>
                  <w:tcW w:w="869" w:type="dxa"/>
                  <w:tcBorders>
                    <w:tl2br w:val="nil"/>
                    <w:tr2bl w:val="nil"/>
                  </w:tcBorders>
                  <w:vAlign w:val="center"/>
                </w:tcPr>
                <w:p w14:paraId="74961D60">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r>
            <w:tr w14:paraId="65D9F17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76" w:type="dxa"/>
                  <w:vMerge w:val="continue"/>
                  <w:tcBorders>
                    <w:tl2br w:val="nil"/>
                    <w:tr2bl w:val="nil"/>
                  </w:tcBorders>
                  <w:vAlign w:val="center"/>
                </w:tcPr>
                <w:p w14:paraId="065164BA">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c>
                <w:tcPr>
                  <w:tcW w:w="685" w:type="dxa"/>
                  <w:vMerge w:val="continue"/>
                  <w:tcBorders>
                    <w:tl2br w:val="nil"/>
                    <w:tr2bl w:val="nil"/>
                  </w:tcBorders>
                  <w:vAlign w:val="center"/>
                </w:tcPr>
                <w:p w14:paraId="69176861">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c>
                <w:tcPr>
                  <w:tcW w:w="880" w:type="dxa"/>
                  <w:vMerge w:val="continue"/>
                  <w:tcBorders>
                    <w:tl2br w:val="nil"/>
                    <w:tr2bl w:val="nil"/>
                  </w:tcBorders>
                  <w:vAlign w:val="center"/>
                </w:tcPr>
                <w:p w14:paraId="41CC9479">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c>
                <w:tcPr>
                  <w:tcW w:w="1557" w:type="dxa"/>
                  <w:tcBorders>
                    <w:tl2br w:val="nil"/>
                    <w:tr2bl w:val="nil"/>
                  </w:tcBorders>
                  <w:vAlign w:val="center"/>
                </w:tcPr>
                <w:p w14:paraId="03AAEE46">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切入风速</w:t>
                  </w:r>
                </w:p>
              </w:tc>
              <w:tc>
                <w:tcPr>
                  <w:tcW w:w="887" w:type="dxa"/>
                  <w:tcBorders>
                    <w:tl2br w:val="nil"/>
                    <w:tr2bl w:val="nil"/>
                  </w:tcBorders>
                  <w:vAlign w:val="center"/>
                </w:tcPr>
                <w:p w14:paraId="3BC5E18B">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m/s</w:t>
                  </w:r>
                </w:p>
              </w:tc>
              <w:tc>
                <w:tcPr>
                  <w:tcW w:w="2357" w:type="dxa"/>
                  <w:tcBorders>
                    <w:tl2br w:val="nil"/>
                    <w:tr2bl w:val="nil"/>
                  </w:tcBorders>
                  <w:vAlign w:val="center"/>
                </w:tcPr>
                <w:p w14:paraId="58A77046">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lang w:val="en-US" w:eastAsia="zh-CN"/>
                    </w:rPr>
                  </w:pPr>
                  <w:r>
                    <w:rPr>
                      <w:rFonts w:hint="eastAsia" w:cs="Times New Roman"/>
                      <w:color w:val="auto"/>
                      <w:kern w:val="0"/>
                      <w:sz w:val="21"/>
                      <w:szCs w:val="21"/>
                      <w:u w:val="none"/>
                      <w:lang w:val="en-US" w:eastAsia="zh-CN"/>
                    </w:rPr>
                    <w:t>2.5</w:t>
                  </w:r>
                </w:p>
              </w:tc>
              <w:tc>
                <w:tcPr>
                  <w:tcW w:w="869" w:type="dxa"/>
                  <w:tcBorders>
                    <w:tl2br w:val="nil"/>
                    <w:tr2bl w:val="nil"/>
                  </w:tcBorders>
                  <w:vAlign w:val="center"/>
                </w:tcPr>
                <w:p w14:paraId="2550E4D5">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r>
            <w:tr w14:paraId="3862DB3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76" w:type="dxa"/>
                  <w:vMerge w:val="continue"/>
                  <w:tcBorders>
                    <w:tl2br w:val="nil"/>
                    <w:tr2bl w:val="nil"/>
                  </w:tcBorders>
                  <w:vAlign w:val="center"/>
                </w:tcPr>
                <w:p w14:paraId="44C5EC5F">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c>
                <w:tcPr>
                  <w:tcW w:w="685" w:type="dxa"/>
                  <w:vMerge w:val="continue"/>
                  <w:tcBorders>
                    <w:tl2br w:val="nil"/>
                    <w:tr2bl w:val="nil"/>
                  </w:tcBorders>
                  <w:vAlign w:val="center"/>
                </w:tcPr>
                <w:p w14:paraId="785F4FA3">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c>
                <w:tcPr>
                  <w:tcW w:w="880" w:type="dxa"/>
                  <w:vMerge w:val="continue"/>
                  <w:tcBorders>
                    <w:tl2br w:val="nil"/>
                    <w:tr2bl w:val="nil"/>
                  </w:tcBorders>
                  <w:vAlign w:val="center"/>
                </w:tcPr>
                <w:p w14:paraId="2B7921FE">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c>
                <w:tcPr>
                  <w:tcW w:w="1557" w:type="dxa"/>
                  <w:tcBorders>
                    <w:tl2br w:val="nil"/>
                    <w:tr2bl w:val="nil"/>
                  </w:tcBorders>
                  <w:vAlign w:val="center"/>
                </w:tcPr>
                <w:p w14:paraId="27747DEF">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额定风速</w:t>
                  </w:r>
                </w:p>
              </w:tc>
              <w:tc>
                <w:tcPr>
                  <w:tcW w:w="887" w:type="dxa"/>
                  <w:tcBorders>
                    <w:tl2br w:val="nil"/>
                    <w:tr2bl w:val="nil"/>
                  </w:tcBorders>
                  <w:vAlign w:val="center"/>
                </w:tcPr>
                <w:p w14:paraId="7942ECB4">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m/s</w:t>
                  </w:r>
                </w:p>
              </w:tc>
              <w:tc>
                <w:tcPr>
                  <w:tcW w:w="2357" w:type="dxa"/>
                  <w:tcBorders>
                    <w:tl2br w:val="nil"/>
                    <w:tr2bl w:val="nil"/>
                  </w:tcBorders>
                  <w:vAlign w:val="center"/>
                </w:tcPr>
                <w:p w14:paraId="6A41F089">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lang w:val="en-US" w:eastAsia="zh-CN"/>
                    </w:rPr>
                  </w:pPr>
                  <w:r>
                    <w:rPr>
                      <w:rFonts w:hint="eastAsia" w:cs="Times New Roman"/>
                      <w:color w:val="auto"/>
                      <w:kern w:val="0"/>
                      <w:sz w:val="21"/>
                      <w:szCs w:val="21"/>
                      <w:u w:val="none"/>
                      <w:lang w:val="en-US" w:eastAsia="zh-CN"/>
                    </w:rPr>
                    <w:t>/</w:t>
                  </w:r>
                </w:p>
              </w:tc>
              <w:tc>
                <w:tcPr>
                  <w:tcW w:w="869" w:type="dxa"/>
                  <w:tcBorders>
                    <w:tl2br w:val="nil"/>
                    <w:tr2bl w:val="nil"/>
                  </w:tcBorders>
                  <w:vAlign w:val="center"/>
                </w:tcPr>
                <w:p w14:paraId="027C2E47">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r>
            <w:tr w14:paraId="3F7679D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76" w:type="dxa"/>
                  <w:vMerge w:val="continue"/>
                  <w:tcBorders>
                    <w:tl2br w:val="nil"/>
                    <w:tr2bl w:val="nil"/>
                  </w:tcBorders>
                  <w:vAlign w:val="center"/>
                </w:tcPr>
                <w:p w14:paraId="40B2D0AE">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c>
                <w:tcPr>
                  <w:tcW w:w="685" w:type="dxa"/>
                  <w:vMerge w:val="continue"/>
                  <w:tcBorders>
                    <w:tl2br w:val="nil"/>
                    <w:tr2bl w:val="nil"/>
                  </w:tcBorders>
                  <w:vAlign w:val="center"/>
                </w:tcPr>
                <w:p w14:paraId="519A88F1">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c>
                <w:tcPr>
                  <w:tcW w:w="880" w:type="dxa"/>
                  <w:vMerge w:val="continue"/>
                  <w:tcBorders>
                    <w:tl2br w:val="nil"/>
                    <w:tr2bl w:val="nil"/>
                  </w:tcBorders>
                  <w:vAlign w:val="center"/>
                </w:tcPr>
                <w:p w14:paraId="75109A8B">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c>
                <w:tcPr>
                  <w:tcW w:w="1557" w:type="dxa"/>
                  <w:tcBorders>
                    <w:tl2br w:val="nil"/>
                    <w:tr2bl w:val="nil"/>
                  </w:tcBorders>
                  <w:vAlign w:val="center"/>
                </w:tcPr>
                <w:p w14:paraId="052240FE">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切出风速</w:t>
                  </w:r>
                </w:p>
              </w:tc>
              <w:tc>
                <w:tcPr>
                  <w:tcW w:w="887" w:type="dxa"/>
                  <w:tcBorders>
                    <w:tl2br w:val="nil"/>
                    <w:tr2bl w:val="nil"/>
                  </w:tcBorders>
                  <w:vAlign w:val="center"/>
                </w:tcPr>
                <w:p w14:paraId="69F53126">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m/s</w:t>
                  </w:r>
                </w:p>
              </w:tc>
              <w:tc>
                <w:tcPr>
                  <w:tcW w:w="2357" w:type="dxa"/>
                  <w:tcBorders>
                    <w:tl2br w:val="nil"/>
                    <w:tr2bl w:val="nil"/>
                  </w:tcBorders>
                  <w:vAlign w:val="center"/>
                </w:tcPr>
                <w:p w14:paraId="77CB1B96">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lang w:val="en-US" w:eastAsia="zh-CN"/>
                    </w:rPr>
                  </w:pPr>
                  <w:r>
                    <w:rPr>
                      <w:rFonts w:hint="eastAsia" w:cs="Times New Roman"/>
                      <w:color w:val="auto"/>
                      <w:kern w:val="0"/>
                      <w:sz w:val="21"/>
                      <w:szCs w:val="21"/>
                      <w:u w:val="none"/>
                      <w:lang w:val="en-US" w:eastAsia="zh-CN"/>
                    </w:rPr>
                    <w:t>25</w:t>
                  </w:r>
                </w:p>
              </w:tc>
              <w:tc>
                <w:tcPr>
                  <w:tcW w:w="869" w:type="dxa"/>
                  <w:tcBorders>
                    <w:tl2br w:val="nil"/>
                    <w:tr2bl w:val="nil"/>
                  </w:tcBorders>
                  <w:vAlign w:val="center"/>
                </w:tcPr>
                <w:p w14:paraId="23262AFE">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r>
            <w:tr w14:paraId="586EEE4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76" w:type="dxa"/>
                  <w:vMerge w:val="continue"/>
                  <w:tcBorders>
                    <w:tl2br w:val="nil"/>
                    <w:tr2bl w:val="nil"/>
                  </w:tcBorders>
                  <w:vAlign w:val="center"/>
                </w:tcPr>
                <w:p w14:paraId="127F53BA">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c>
                <w:tcPr>
                  <w:tcW w:w="685" w:type="dxa"/>
                  <w:vMerge w:val="continue"/>
                  <w:tcBorders>
                    <w:tl2br w:val="nil"/>
                    <w:tr2bl w:val="nil"/>
                  </w:tcBorders>
                  <w:vAlign w:val="center"/>
                </w:tcPr>
                <w:p w14:paraId="719FEAAB">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c>
                <w:tcPr>
                  <w:tcW w:w="880" w:type="dxa"/>
                  <w:vMerge w:val="continue"/>
                  <w:tcBorders>
                    <w:tl2br w:val="nil"/>
                    <w:tr2bl w:val="nil"/>
                  </w:tcBorders>
                  <w:vAlign w:val="center"/>
                </w:tcPr>
                <w:p w14:paraId="13695354">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c>
                <w:tcPr>
                  <w:tcW w:w="1557" w:type="dxa"/>
                  <w:tcBorders>
                    <w:tl2br w:val="nil"/>
                    <w:tr2bl w:val="nil"/>
                  </w:tcBorders>
                  <w:vAlign w:val="center"/>
                </w:tcPr>
                <w:p w14:paraId="0F3359D3">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lang w:val="en-US" w:eastAsia="zh-CN"/>
                    </w:rPr>
                  </w:pPr>
                  <w:r>
                    <w:rPr>
                      <w:rFonts w:hint="eastAsia" w:cs="Times New Roman"/>
                      <w:color w:val="auto"/>
                      <w:kern w:val="0"/>
                      <w:sz w:val="21"/>
                      <w:szCs w:val="21"/>
                      <w:u w:val="none"/>
                      <w:lang w:val="en-US" w:eastAsia="zh-CN"/>
                    </w:rPr>
                    <w:t>安全风速</w:t>
                  </w:r>
                </w:p>
              </w:tc>
              <w:tc>
                <w:tcPr>
                  <w:tcW w:w="887" w:type="dxa"/>
                  <w:tcBorders>
                    <w:tl2br w:val="nil"/>
                    <w:tr2bl w:val="nil"/>
                  </w:tcBorders>
                  <w:vAlign w:val="center"/>
                </w:tcPr>
                <w:p w14:paraId="05CDE453">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m/s</w:t>
                  </w:r>
                </w:p>
              </w:tc>
              <w:tc>
                <w:tcPr>
                  <w:tcW w:w="2357" w:type="dxa"/>
                  <w:tcBorders>
                    <w:tl2br w:val="nil"/>
                    <w:tr2bl w:val="nil"/>
                  </w:tcBorders>
                  <w:vAlign w:val="center"/>
                </w:tcPr>
                <w:p w14:paraId="4222A641">
                  <w:pPr>
                    <w:adjustRightInd w:val="0"/>
                    <w:snapToGrid w:val="0"/>
                    <w:spacing w:before="24" w:beforeLines="10" w:after="24" w:afterLines="10" w:line="240" w:lineRule="auto"/>
                    <w:jc w:val="center"/>
                    <w:rPr>
                      <w:rFonts w:hint="default" w:cs="Times New Roman"/>
                      <w:color w:val="auto"/>
                      <w:kern w:val="0"/>
                      <w:sz w:val="21"/>
                      <w:szCs w:val="21"/>
                      <w:u w:val="none"/>
                      <w:lang w:val="en-US" w:eastAsia="zh-CN"/>
                    </w:rPr>
                  </w:pPr>
                  <w:r>
                    <w:rPr>
                      <w:rFonts w:hint="eastAsia" w:cs="Times New Roman"/>
                      <w:color w:val="auto"/>
                      <w:kern w:val="0"/>
                      <w:sz w:val="21"/>
                      <w:szCs w:val="21"/>
                      <w:u w:val="none"/>
                      <w:lang w:val="en-US" w:eastAsia="zh-CN"/>
                    </w:rPr>
                    <w:t>52.5</w:t>
                  </w:r>
                </w:p>
              </w:tc>
              <w:tc>
                <w:tcPr>
                  <w:tcW w:w="869" w:type="dxa"/>
                  <w:tcBorders>
                    <w:tl2br w:val="nil"/>
                    <w:tr2bl w:val="nil"/>
                  </w:tcBorders>
                  <w:vAlign w:val="center"/>
                </w:tcPr>
                <w:p w14:paraId="115A9D20">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lang w:val="en-US" w:eastAsia="zh-CN"/>
                    </w:rPr>
                  </w:pPr>
                  <w:r>
                    <w:rPr>
                      <w:rFonts w:hint="eastAsia" w:cs="Times New Roman"/>
                      <w:color w:val="auto"/>
                      <w:kern w:val="0"/>
                      <w:sz w:val="21"/>
                      <w:szCs w:val="21"/>
                      <w:u w:val="none"/>
                      <w:lang w:val="en-US" w:eastAsia="zh-CN"/>
                    </w:rPr>
                    <w:t>3s极大</w:t>
                  </w:r>
                </w:p>
              </w:tc>
            </w:tr>
            <w:tr w14:paraId="36FDF29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76" w:type="dxa"/>
                  <w:vMerge w:val="continue"/>
                  <w:tcBorders>
                    <w:tl2br w:val="nil"/>
                    <w:tr2bl w:val="nil"/>
                  </w:tcBorders>
                  <w:vAlign w:val="center"/>
                </w:tcPr>
                <w:p w14:paraId="5DAE1974">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c>
                <w:tcPr>
                  <w:tcW w:w="685" w:type="dxa"/>
                  <w:vMerge w:val="continue"/>
                  <w:tcBorders>
                    <w:tl2br w:val="nil"/>
                    <w:tr2bl w:val="nil"/>
                  </w:tcBorders>
                  <w:vAlign w:val="center"/>
                </w:tcPr>
                <w:p w14:paraId="3367B4CD">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c>
                <w:tcPr>
                  <w:tcW w:w="880" w:type="dxa"/>
                  <w:vMerge w:val="continue"/>
                  <w:tcBorders>
                    <w:tl2br w:val="nil"/>
                    <w:tr2bl w:val="nil"/>
                  </w:tcBorders>
                  <w:vAlign w:val="center"/>
                </w:tcPr>
                <w:p w14:paraId="04CFC6E1">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c>
                <w:tcPr>
                  <w:tcW w:w="1557" w:type="dxa"/>
                  <w:tcBorders>
                    <w:tl2br w:val="nil"/>
                    <w:tr2bl w:val="nil"/>
                  </w:tcBorders>
                  <w:vAlign w:val="center"/>
                </w:tcPr>
                <w:p w14:paraId="0EA87991">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轮毂高度</w:t>
                  </w:r>
                </w:p>
              </w:tc>
              <w:tc>
                <w:tcPr>
                  <w:tcW w:w="887" w:type="dxa"/>
                  <w:tcBorders>
                    <w:tl2br w:val="nil"/>
                    <w:tr2bl w:val="nil"/>
                  </w:tcBorders>
                  <w:shd w:val="clear" w:color="auto" w:fill="FFFFFF" w:themeFill="background1"/>
                  <w:vAlign w:val="center"/>
                </w:tcPr>
                <w:p w14:paraId="3FB9A52D">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m</w:t>
                  </w:r>
                </w:p>
              </w:tc>
              <w:tc>
                <w:tcPr>
                  <w:tcW w:w="2357" w:type="dxa"/>
                  <w:tcBorders>
                    <w:tl2br w:val="nil"/>
                    <w:tr2bl w:val="nil"/>
                  </w:tcBorders>
                  <w:shd w:val="clear" w:color="auto" w:fill="FFFFFF" w:themeFill="background1"/>
                  <w:vAlign w:val="center"/>
                </w:tcPr>
                <w:p w14:paraId="190CAAC1">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lang w:val="en-US" w:eastAsia="zh-CN"/>
                    </w:rPr>
                  </w:pPr>
                  <w:r>
                    <w:rPr>
                      <w:rFonts w:hint="default" w:ascii="Times New Roman" w:hAnsi="Times New Roman" w:eastAsia="宋体" w:cs="Times New Roman"/>
                      <w:color w:val="auto"/>
                      <w:kern w:val="0"/>
                      <w:sz w:val="21"/>
                      <w:szCs w:val="21"/>
                      <w:u w:val="none"/>
                    </w:rPr>
                    <w:t>11</w:t>
                  </w:r>
                  <w:r>
                    <w:rPr>
                      <w:rFonts w:hint="default" w:ascii="Times New Roman" w:hAnsi="Times New Roman" w:eastAsia="宋体" w:cs="Times New Roman"/>
                      <w:color w:val="auto"/>
                      <w:kern w:val="0"/>
                      <w:sz w:val="21"/>
                      <w:szCs w:val="21"/>
                      <w:u w:val="none"/>
                      <w:lang w:val="en-US" w:eastAsia="zh-CN"/>
                    </w:rPr>
                    <w:t>5</w:t>
                  </w:r>
                </w:p>
              </w:tc>
              <w:tc>
                <w:tcPr>
                  <w:tcW w:w="869" w:type="dxa"/>
                  <w:tcBorders>
                    <w:tl2br w:val="nil"/>
                    <w:tr2bl w:val="nil"/>
                  </w:tcBorders>
                  <w:shd w:val="clear" w:color="auto" w:fill="FFFFFF" w:themeFill="background1"/>
                  <w:vAlign w:val="center"/>
                </w:tcPr>
                <w:p w14:paraId="3020E704">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p>
              </w:tc>
            </w:tr>
            <w:tr w14:paraId="65C66E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76" w:type="dxa"/>
                  <w:vMerge w:val="continue"/>
                  <w:tcBorders>
                    <w:tl2br w:val="nil"/>
                    <w:tr2bl w:val="nil"/>
                  </w:tcBorders>
                  <w:vAlign w:val="center"/>
                </w:tcPr>
                <w:p w14:paraId="3BC2B661">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c>
                <w:tcPr>
                  <w:tcW w:w="685" w:type="dxa"/>
                  <w:vMerge w:val="continue"/>
                  <w:tcBorders>
                    <w:tl2br w:val="nil"/>
                    <w:tr2bl w:val="nil"/>
                  </w:tcBorders>
                  <w:vAlign w:val="center"/>
                </w:tcPr>
                <w:p w14:paraId="4CC65BC9">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c>
                <w:tcPr>
                  <w:tcW w:w="880" w:type="dxa"/>
                  <w:vMerge w:val="continue"/>
                  <w:tcBorders>
                    <w:tl2br w:val="nil"/>
                    <w:tr2bl w:val="nil"/>
                  </w:tcBorders>
                  <w:vAlign w:val="center"/>
                </w:tcPr>
                <w:p w14:paraId="5EC13C6D">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c>
                <w:tcPr>
                  <w:tcW w:w="1557" w:type="dxa"/>
                  <w:tcBorders>
                    <w:tl2br w:val="nil"/>
                    <w:tr2bl w:val="nil"/>
                  </w:tcBorders>
                  <w:vAlign w:val="center"/>
                </w:tcPr>
                <w:p w14:paraId="5983D734">
                  <w:pPr>
                    <w:adjustRightInd w:val="0"/>
                    <w:snapToGrid w:val="0"/>
                    <w:spacing w:before="24" w:beforeLines="10" w:after="24" w:afterLines="10" w:line="240" w:lineRule="auto"/>
                    <w:jc w:val="center"/>
                    <w:rPr>
                      <w:rFonts w:hint="default" w:cs="Times New Roman"/>
                      <w:color w:val="auto"/>
                      <w:kern w:val="0"/>
                      <w:sz w:val="21"/>
                      <w:szCs w:val="21"/>
                      <w:u w:val="none"/>
                      <w:lang w:val="en-US" w:eastAsia="zh-CN"/>
                    </w:rPr>
                  </w:pPr>
                  <w:r>
                    <w:rPr>
                      <w:rFonts w:hint="eastAsia" w:cs="Times New Roman"/>
                      <w:color w:val="auto"/>
                      <w:kern w:val="0"/>
                      <w:sz w:val="21"/>
                      <w:szCs w:val="21"/>
                      <w:u w:val="none"/>
                      <w:lang w:val="en-US" w:eastAsia="zh-CN"/>
                    </w:rPr>
                    <w:t>发电机容量</w:t>
                  </w:r>
                </w:p>
              </w:tc>
              <w:tc>
                <w:tcPr>
                  <w:tcW w:w="887" w:type="dxa"/>
                  <w:tcBorders>
                    <w:tl2br w:val="nil"/>
                    <w:tr2bl w:val="nil"/>
                  </w:tcBorders>
                  <w:shd w:val="clear" w:color="auto" w:fill="FFFFFF" w:themeFill="background1"/>
                  <w:vAlign w:val="center"/>
                </w:tcPr>
                <w:p w14:paraId="0F3A66B6">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lang w:val="en-US" w:eastAsia="zh-CN"/>
                    </w:rPr>
                  </w:pPr>
                  <w:r>
                    <w:rPr>
                      <w:rFonts w:hint="eastAsia" w:ascii="Times New Roman" w:hAnsi="Times New Roman" w:eastAsia="宋体" w:cs="Times New Roman"/>
                      <w:color w:val="auto"/>
                      <w:kern w:val="0"/>
                      <w:sz w:val="21"/>
                      <w:szCs w:val="21"/>
                      <w:u w:val="none"/>
                      <w:lang w:val="en-US" w:eastAsia="zh-CN"/>
                    </w:rPr>
                    <w:t>KW</w:t>
                  </w:r>
                </w:p>
              </w:tc>
              <w:tc>
                <w:tcPr>
                  <w:tcW w:w="2357" w:type="dxa"/>
                  <w:tcBorders>
                    <w:tl2br w:val="nil"/>
                    <w:tr2bl w:val="nil"/>
                  </w:tcBorders>
                  <w:shd w:val="clear" w:color="auto" w:fill="FFFFFF" w:themeFill="background1"/>
                  <w:vAlign w:val="center"/>
                </w:tcPr>
                <w:p w14:paraId="1C0BFD9A">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lang w:val="en-US" w:eastAsia="zh-CN"/>
                    </w:rPr>
                  </w:pPr>
                  <w:r>
                    <w:rPr>
                      <w:rFonts w:hint="eastAsia" w:ascii="Times New Roman" w:hAnsi="Times New Roman" w:eastAsia="宋体" w:cs="Times New Roman"/>
                      <w:color w:val="auto"/>
                      <w:kern w:val="0"/>
                      <w:sz w:val="21"/>
                      <w:szCs w:val="21"/>
                      <w:u w:val="none"/>
                      <w:lang w:val="en-US" w:eastAsia="zh-CN"/>
                    </w:rPr>
                    <w:t>5000</w:t>
                  </w:r>
                </w:p>
              </w:tc>
              <w:tc>
                <w:tcPr>
                  <w:tcW w:w="869" w:type="dxa"/>
                  <w:tcBorders>
                    <w:tl2br w:val="nil"/>
                    <w:tr2bl w:val="nil"/>
                  </w:tcBorders>
                  <w:shd w:val="clear" w:color="auto" w:fill="FFFFFF" w:themeFill="background1"/>
                  <w:vAlign w:val="center"/>
                </w:tcPr>
                <w:p w14:paraId="6B067083">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p>
              </w:tc>
            </w:tr>
            <w:tr w14:paraId="762CDD7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76" w:type="dxa"/>
                  <w:vMerge w:val="continue"/>
                  <w:tcBorders>
                    <w:tl2br w:val="nil"/>
                    <w:tr2bl w:val="nil"/>
                  </w:tcBorders>
                  <w:vAlign w:val="center"/>
                </w:tcPr>
                <w:p w14:paraId="22FA56AB">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c>
                <w:tcPr>
                  <w:tcW w:w="685" w:type="dxa"/>
                  <w:vMerge w:val="continue"/>
                  <w:tcBorders>
                    <w:tl2br w:val="nil"/>
                    <w:tr2bl w:val="nil"/>
                  </w:tcBorders>
                  <w:vAlign w:val="center"/>
                </w:tcPr>
                <w:p w14:paraId="697EEEAF">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c>
                <w:tcPr>
                  <w:tcW w:w="880" w:type="dxa"/>
                  <w:vMerge w:val="continue"/>
                  <w:tcBorders>
                    <w:tl2br w:val="nil"/>
                    <w:tr2bl w:val="nil"/>
                  </w:tcBorders>
                  <w:vAlign w:val="center"/>
                </w:tcPr>
                <w:p w14:paraId="36B61EA7">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c>
                <w:tcPr>
                  <w:tcW w:w="1557" w:type="dxa"/>
                  <w:tcBorders>
                    <w:tl2br w:val="nil"/>
                    <w:tr2bl w:val="nil"/>
                  </w:tcBorders>
                  <w:vAlign w:val="center"/>
                </w:tcPr>
                <w:p w14:paraId="49885631">
                  <w:pPr>
                    <w:adjustRightInd w:val="0"/>
                    <w:snapToGrid w:val="0"/>
                    <w:spacing w:before="24" w:beforeLines="10" w:after="24" w:afterLines="10" w:line="240" w:lineRule="auto"/>
                    <w:jc w:val="center"/>
                    <w:rPr>
                      <w:rFonts w:hint="default" w:cs="Times New Roman"/>
                      <w:color w:val="auto"/>
                      <w:kern w:val="0"/>
                      <w:sz w:val="21"/>
                      <w:szCs w:val="21"/>
                      <w:u w:val="none"/>
                      <w:lang w:val="en-US" w:eastAsia="zh-CN"/>
                    </w:rPr>
                  </w:pPr>
                  <w:r>
                    <w:rPr>
                      <w:rFonts w:hint="eastAsia" w:cs="Times New Roman"/>
                      <w:color w:val="auto"/>
                      <w:kern w:val="0"/>
                      <w:sz w:val="21"/>
                      <w:szCs w:val="21"/>
                      <w:u w:val="none"/>
                      <w:lang w:val="en-US" w:eastAsia="zh-CN"/>
                    </w:rPr>
                    <w:t>发电机功率因数</w:t>
                  </w:r>
                </w:p>
              </w:tc>
              <w:tc>
                <w:tcPr>
                  <w:tcW w:w="887" w:type="dxa"/>
                  <w:tcBorders>
                    <w:tl2br w:val="nil"/>
                    <w:tr2bl w:val="nil"/>
                  </w:tcBorders>
                  <w:shd w:val="clear" w:color="auto" w:fill="FFFFFF" w:themeFill="background1"/>
                  <w:vAlign w:val="center"/>
                </w:tcPr>
                <w:p w14:paraId="483DA3B1">
                  <w:pPr>
                    <w:adjustRightInd w:val="0"/>
                    <w:snapToGrid w:val="0"/>
                    <w:spacing w:before="24" w:beforeLines="10" w:after="24" w:afterLines="10" w:line="240" w:lineRule="auto"/>
                    <w:jc w:val="center"/>
                    <w:rPr>
                      <w:rFonts w:hint="eastAsia" w:ascii="Times New Roman" w:hAnsi="Times New Roman" w:eastAsia="宋体" w:cs="Times New Roman"/>
                      <w:color w:val="auto"/>
                      <w:kern w:val="0"/>
                      <w:sz w:val="21"/>
                      <w:szCs w:val="21"/>
                      <w:u w:val="none"/>
                      <w:lang w:val="en-US" w:eastAsia="zh-CN"/>
                    </w:rPr>
                  </w:pPr>
                </w:p>
              </w:tc>
              <w:tc>
                <w:tcPr>
                  <w:tcW w:w="2357" w:type="dxa"/>
                  <w:tcBorders>
                    <w:tl2br w:val="nil"/>
                    <w:tr2bl w:val="nil"/>
                  </w:tcBorders>
                  <w:shd w:val="clear" w:color="auto" w:fill="FFFFFF" w:themeFill="background1"/>
                  <w:vAlign w:val="center"/>
                </w:tcPr>
                <w:p w14:paraId="39FC880F">
                  <w:pPr>
                    <w:adjustRightInd w:val="0"/>
                    <w:snapToGrid w:val="0"/>
                    <w:spacing w:before="24" w:beforeLines="10" w:after="24" w:afterLines="10" w:line="240" w:lineRule="auto"/>
                    <w:jc w:val="center"/>
                    <w:rPr>
                      <w:rFonts w:hint="eastAsia" w:ascii="Times New Roman" w:hAnsi="Times New Roman" w:eastAsia="宋体" w:cs="Times New Roman"/>
                      <w:color w:val="auto"/>
                      <w:kern w:val="0"/>
                      <w:sz w:val="21"/>
                      <w:szCs w:val="21"/>
                      <w:u w:val="none"/>
                      <w:lang w:val="en-US" w:eastAsia="zh-CN"/>
                    </w:rPr>
                  </w:pPr>
                  <w:r>
                    <w:rPr>
                      <w:rFonts w:hint="default" w:ascii="Times New Roman" w:hAnsi="Times New Roman" w:eastAsia="宋体" w:cs="Times New Roman"/>
                      <w:color w:val="auto"/>
                      <w:kern w:val="0"/>
                      <w:sz w:val="21"/>
                      <w:szCs w:val="21"/>
                      <w:u w:val="none"/>
                    </w:rPr>
                    <w:t>-0.95 ~ +0.95</w:t>
                  </w:r>
                </w:p>
              </w:tc>
              <w:tc>
                <w:tcPr>
                  <w:tcW w:w="869" w:type="dxa"/>
                  <w:tcBorders>
                    <w:tl2br w:val="nil"/>
                    <w:tr2bl w:val="nil"/>
                  </w:tcBorders>
                  <w:shd w:val="clear" w:color="auto" w:fill="FFFFFF" w:themeFill="background1"/>
                  <w:vAlign w:val="center"/>
                </w:tcPr>
                <w:p w14:paraId="1CFB0AB1">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p>
              </w:tc>
            </w:tr>
            <w:tr w14:paraId="6F4D09B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76" w:type="dxa"/>
                  <w:vMerge w:val="continue"/>
                  <w:tcBorders>
                    <w:tl2br w:val="nil"/>
                    <w:tr2bl w:val="nil"/>
                  </w:tcBorders>
                  <w:vAlign w:val="center"/>
                </w:tcPr>
                <w:p w14:paraId="441353B1">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c>
                <w:tcPr>
                  <w:tcW w:w="685" w:type="dxa"/>
                  <w:vMerge w:val="continue"/>
                  <w:tcBorders>
                    <w:tl2br w:val="nil"/>
                    <w:tr2bl w:val="nil"/>
                  </w:tcBorders>
                  <w:vAlign w:val="center"/>
                </w:tcPr>
                <w:p w14:paraId="134DA4FC">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c>
                <w:tcPr>
                  <w:tcW w:w="880" w:type="dxa"/>
                  <w:vMerge w:val="continue"/>
                  <w:tcBorders>
                    <w:tl2br w:val="nil"/>
                    <w:tr2bl w:val="nil"/>
                  </w:tcBorders>
                  <w:vAlign w:val="center"/>
                </w:tcPr>
                <w:p w14:paraId="11956C7E">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c>
                <w:tcPr>
                  <w:tcW w:w="1557" w:type="dxa"/>
                  <w:tcBorders>
                    <w:tl2br w:val="nil"/>
                    <w:tr2bl w:val="nil"/>
                  </w:tcBorders>
                  <w:vAlign w:val="center"/>
                </w:tcPr>
                <w:p w14:paraId="2049DBDC">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lang w:val="en-US" w:eastAsia="zh-CN"/>
                    </w:rPr>
                  </w:pPr>
                  <w:r>
                    <w:rPr>
                      <w:rFonts w:hint="eastAsia" w:cs="Times New Roman"/>
                      <w:color w:val="auto"/>
                      <w:kern w:val="0"/>
                      <w:sz w:val="21"/>
                      <w:szCs w:val="21"/>
                      <w:u w:val="none"/>
                      <w:lang w:val="en-US" w:eastAsia="zh-CN"/>
                    </w:rPr>
                    <w:t>输出电压</w:t>
                  </w:r>
                </w:p>
              </w:tc>
              <w:tc>
                <w:tcPr>
                  <w:tcW w:w="887" w:type="dxa"/>
                  <w:tcBorders>
                    <w:tl2br w:val="nil"/>
                    <w:tr2bl w:val="nil"/>
                  </w:tcBorders>
                  <w:shd w:val="clear" w:color="auto" w:fill="FFFFFF" w:themeFill="background1"/>
                  <w:vAlign w:val="center"/>
                </w:tcPr>
                <w:p w14:paraId="7B50C796">
                  <w:pPr>
                    <w:adjustRightInd w:val="0"/>
                    <w:snapToGrid w:val="0"/>
                    <w:spacing w:before="24" w:beforeLines="10" w:after="24" w:afterLines="10" w:line="240" w:lineRule="auto"/>
                    <w:jc w:val="center"/>
                    <w:rPr>
                      <w:rFonts w:hint="eastAsia" w:ascii="Times New Roman" w:hAnsi="Times New Roman" w:eastAsia="宋体" w:cs="Times New Roman"/>
                      <w:color w:val="auto"/>
                      <w:kern w:val="0"/>
                      <w:sz w:val="21"/>
                      <w:szCs w:val="21"/>
                      <w:u w:val="none"/>
                      <w:lang w:eastAsia="zh-CN"/>
                    </w:rPr>
                  </w:pPr>
                  <w:r>
                    <w:rPr>
                      <w:rFonts w:hint="eastAsia" w:ascii="Times New Roman" w:hAnsi="Times New Roman" w:eastAsia="宋体" w:cs="Times New Roman"/>
                      <w:color w:val="auto"/>
                      <w:kern w:val="0"/>
                      <w:sz w:val="21"/>
                      <w:szCs w:val="21"/>
                      <w:u w:val="none"/>
                      <w:lang w:val="en-US" w:eastAsia="zh-CN"/>
                    </w:rPr>
                    <w:t>V</w:t>
                  </w:r>
                </w:p>
              </w:tc>
              <w:tc>
                <w:tcPr>
                  <w:tcW w:w="2357" w:type="dxa"/>
                  <w:tcBorders>
                    <w:tl2br w:val="nil"/>
                    <w:tr2bl w:val="nil"/>
                  </w:tcBorders>
                  <w:shd w:val="clear" w:color="auto" w:fill="FFFFFF" w:themeFill="background1"/>
                  <w:vAlign w:val="center"/>
                </w:tcPr>
                <w:p w14:paraId="7C033208">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lang w:val="en-US" w:eastAsia="zh-CN"/>
                    </w:rPr>
                  </w:pPr>
                  <w: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t>1140</w:t>
                  </w:r>
                </w:p>
              </w:tc>
              <w:tc>
                <w:tcPr>
                  <w:tcW w:w="869" w:type="dxa"/>
                  <w:tcBorders>
                    <w:tl2br w:val="nil"/>
                    <w:tr2bl w:val="nil"/>
                  </w:tcBorders>
                  <w:shd w:val="clear" w:color="auto" w:fill="FFFFFF" w:themeFill="background1"/>
                  <w:vAlign w:val="center"/>
                </w:tcPr>
                <w:p w14:paraId="24BD7045">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p>
              </w:tc>
            </w:tr>
            <w:tr w14:paraId="06A7F3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76" w:type="dxa"/>
                  <w:vMerge w:val="continue"/>
                  <w:tcBorders>
                    <w:tl2br w:val="nil"/>
                    <w:tr2bl w:val="nil"/>
                  </w:tcBorders>
                  <w:vAlign w:val="center"/>
                </w:tcPr>
                <w:p w14:paraId="0BE39A5A">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c>
                <w:tcPr>
                  <w:tcW w:w="685" w:type="dxa"/>
                  <w:vMerge w:val="continue"/>
                  <w:tcBorders>
                    <w:tl2br w:val="nil"/>
                    <w:tr2bl w:val="nil"/>
                  </w:tcBorders>
                  <w:vAlign w:val="center"/>
                </w:tcPr>
                <w:p w14:paraId="209C6110">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c>
                <w:tcPr>
                  <w:tcW w:w="880" w:type="dxa"/>
                  <w:vMerge w:val="restart"/>
                  <w:tcBorders>
                    <w:tl2br w:val="nil"/>
                    <w:tr2bl w:val="nil"/>
                  </w:tcBorders>
                  <w:vAlign w:val="center"/>
                </w:tcPr>
                <w:p w14:paraId="4780D262">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机组升压变压器</w:t>
                  </w:r>
                </w:p>
              </w:tc>
              <w:tc>
                <w:tcPr>
                  <w:tcW w:w="1557" w:type="dxa"/>
                  <w:tcBorders>
                    <w:tl2br w:val="nil"/>
                    <w:tr2bl w:val="nil"/>
                  </w:tcBorders>
                  <w:vAlign w:val="center"/>
                </w:tcPr>
                <w:p w14:paraId="564384E4">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套数</w:t>
                  </w:r>
                </w:p>
              </w:tc>
              <w:tc>
                <w:tcPr>
                  <w:tcW w:w="887" w:type="dxa"/>
                  <w:tcBorders>
                    <w:tl2br w:val="nil"/>
                    <w:tr2bl w:val="nil"/>
                  </w:tcBorders>
                  <w:shd w:val="clear" w:color="auto" w:fill="FFFFFF" w:themeFill="background1"/>
                  <w:vAlign w:val="center"/>
                </w:tcPr>
                <w:p w14:paraId="3FDF1726">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套</w:t>
                  </w:r>
                </w:p>
              </w:tc>
              <w:tc>
                <w:tcPr>
                  <w:tcW w:w="2357" w:type="dxa"/>
                  <w:tcBorders>
                    <w:tl2br w:val="nil"/>
                    <w:tr2bl w:val="nil"/>
                  </w:tcBorders>
                  <w:shd w:val="clear" w:color="auto" w:fill="FFFFFF" w:themeFill="background1"/>
                  <w:vAlign w:val="center"/>
                </w:tcPr>
                <w:p w14:paraId="6BB0F69E">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lang w:val="en-US" w:eastAsia="zh-CN"/>
                    </w:rPr>
                  </w:pPr>
                  <w:r>
                    <w:rPr>
                      <w:rFonts w:hint="eastAsia" w:ascii="Times New Roman" w:hAnsi="Times New Roman" w:eastAsia="宋体" w:cs="Times New Roman"/>
                      <w:color w:val="auto"/>
                      <w:kern w:val="0"/>
                      <w:sz w:val="21"/>
                      <w:szCs w:val="21"/>
                      <w:u w:val="none"/>
                      <w:lang w:val="en-US" w:eastAsia="zh-CN"/>
                    </w:rPr>
                    <w:t>15</w:t>
                  </w:r>
                </w:p>
              </w:tc>
              <w:tc>
                <w:tcPr>
                  <w:tcW w:w="869" w:type="dxa"/>
                  <w:tcBorders>
                    <w:tl2br w:val="nil"/>
                    <w:tr2bl w:val="nil"/>
                  </w:tcBorders>
                  <w:shd w:val="clear" w:color="auto" w:fill="FFFFFF" w:themeFill="background1"/>
                  <w:vAlign w:val="center"/>
                </w:tcPr>
                <w:p w14:paraId="0718D056">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p>
              </w:tc>
            </w:tr>
            <w:tr w14:paraId="3777CFC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76" w:type="dxa"/>
                  <w:vMerge w:val="continue"/>
                  <w:tcBorders>
                    <w:tl2br w:val="nil"/>
                    <w:tr2bl w:val="nil"/>
                  </w:tcBorders>
                  <w:vAlign w:val="center"/>
                </w:tcPr>
                <w:p w14:paraId="794BC987">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c>
                <w:tcPr>
                  <w:tcW w:w="685" w:type="dxa"/>
                  <w:vMerge w:val="continue"/>
                  <w:tcBorders>
                    <w:tl2br w:val="nil"/>
                    <w:tr2bl w:val="nil"/>
                  </w:tcBorders>
                  <w:vAlign w:val="center"/>
                </w:tcPr>
                <w:p w14:paraId="75CC44C5">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c>
                <w:tcPr>
                  <w:tcW w:w="880" w:type="dxa"/>
                  <w:vMerge w:val="continue"/>
                  <w:tcBorders>
                    <w:tl2br w:val="nil"/>
                    <w:tr2bl w:val="nil"/>
                  </w:tcBorders>
                  <w:vAlign w:val="center"/>
                </w:tcPr>
                <w:p w14:paraId="4226D1C5">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p>
              </w:tc>
              <w:tc>
                <w:tcPr>
                  <w:tcW w:w="1557" w:type="dxa"/>
                  <w:tcBorders>
                    <w:tl2br w:val="nil"/>
                    <w:tr2bl w:val="nil"/>
                  </w:tcBorders>
                  <w:vAlign w:val="center"/>
                </w:tcPr>
                <w:p w14:paraId="5B5438A3">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型号</w:t>
                  </w:r>
                </w:p>
              </w:tc>
              <w:tc>
                <w:tcPr>
                  <w:tcW w:w="4113" w:type="dxa"/>
                  <w:gridSpan w:val="3"/>
                  <w:tcBorders>
                    <w:tl2br w:val="nil"/>
                    <w:tr2bl w:val="nil"/>
                  </w:tcBorders>
                  <w:shd w:val="clear" w:color="auto" w:fill="FFFFFF" w:themeFill="background1"/>
                  <w:vAlign w:val="center"/>
                </w:tcPr>
                <w:p w14:paraId="63C2F36F">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lang w:val="en-US"/>
                    </w:rPr>
                  </w:pPr>
                  <w:r>
                    <w:rPr>
                      <w:rFonts w:hint="eastAsia" w:ascii="Times New Roman" w:hAnsi="Times New Roman" w:eastAsia="宋体" w:cs="Times New Roman"/>
                      <w:color w:val="auto"/>
                      <w:kern w:val="0"/>
                      <w:sz w:val="21"/>
                      <w:szCs w:val="21"/>
                      <w:u w:val="none"/>
                      <w:lang w:val="en-US" w:eastAsia="zh-CN"/>
                    </w:rPr>
                    <w:t>S-5500/35</w:t>
                  </w:r>
                </w:p>
              </w:tc>
            </w:tr>
            <w:tr w14:paraId="1E67FE2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76" w:type="dxa"/>
                  <w:vMerge w:val="continue"/>
                  <w:tcBorders>
                    <w:tl2br w:val="nil"/>
                    <w:tr2bl w:val="nil"/>
                  </w:tcBorders>
                  <w:vAlign w:val="center"/>
                </w:tcPr>
                <w:p w14:paraId="09233655">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c>
                <w:tcPr>
                  <w:tcW w:w="685" w:type="dxa"/>
                  <w:vMerge w:val="continue"/>
                  <w:tcBorders>
                    <w:tl2br w:val="nil"/>
                    <w:tr2bl w:val="nil"/>
                  </w:tcBorders>
                  <w:vAlign w:val="center"/>
                </w:tcPr>
                <w:p w14:paraId="0A277742">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c>
                <w:tcPr>
                  <w:tcW w:w="880" w:type="dxa"/>
                  <w:vMerge w:val="restart"/>
                  <w:tcBorders>
                    <w:tl2br w:val="nil"/>
                    <w:tr2bl w:val="nil"/>
                  </w:tcBorders>
                  <w:vAlign w:val="center"/>
                </w:tcPr>
                <w:p w14:paraId="788D6017">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r>
                    <w:rPr>
                      <w:rFonts w:hint="default" w:ascii="Times New Roman" w:hAnsi="Times New Roman" w:eastAsia="宋体" w:cs="Times New Roman"/>
                      <w:color w:val="auto"/>
                      <w:kern w:val="0"/>
                      <w:sz w:val="21"/>
                      <w:szCs w:val="21"/>
                      <w:u w:val="none"/>
                    </w:rPr>
                    <w:t>集电线路</w:t>
                  </w:r>
                </w:p>
              </w:tc>
              <w:tc>
                <w:tcPr>
                  <w:tcW w:w="1557" w:type="dxa"/>
                  <w:tcBorders>
                    <w:tl2br w:val="nil"/>
                    <w:tr2bl w:val="nil"/>
                  </w:tcBorders>
                  <w:vAlign w:val="center"/>
                </w:tcPr>
                <w:p w14:paraId="63C6E286">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电压等级</w:t>
                  </w:r>
                </w:p>
              </w:tc>
              <w:tc>
                <w:tcPr>
                  <w:tcW w:w="887" w:type="dxa"/>
                  <w:tcBorders>
                    <w:tl2br w:val="nil"/>
                    <w:tr2bl w:val="nil"/>
                  </w:tcBorders>
                  <w:vAlign w:val="center"/>
                </w:tcPr>
                <w:p w14:paraId="002C7539">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kV</w:t>
                  </w:r>
                </w:p>
              </w:tc>
              <w:tc>
                <w:tcPr>
                  <w:tcW w:w="2357" w:type="dxa"/>
                  <w:tcBorders>
                    <w:tl2br w:val="nil"/>
                    <w:tr2bl w:val="nil"/>
                  </w:tcBorders>
                  <w:vAlign w:val="center"/>
                </w:tcPr>
                <w:p w14:paraId="161180A4">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lang w:val="en-US" w:eastAsia="zh-CN"/>
                    </w:rPr>
                  </w:pPr>
                  <w:r>
                    <w:rPr>
                      <w:rFonts w:hint="default" w:ascii="Times New Roman" w:hAnsi="Times New Roman" w:eastAsia="宋体" w:cs="Times New Roman"/>
                      <w:color w:val="auto"/>
                      <w:kern w:val="0"/>
                      <w:sz w:val="21"/>
                      <w:szCs w:val="21"/>
                      <w:u w:val="none"/>
                      <w:lang w:val="en-US" w:eastAsia="zh-CN"/>
                    </w:rPr>
                    <w:t>35</w:t>
                  </w:r>
                </w:p>
              </w:tc>
              <w:tc>
                <w:tcPr>
                  <w:tcW w:w="869" w:type="dxa"/>
                  <w:tcBorders>
                    <w:tl2br w:val="nil"/>
                    <w:tr2bl w:val="nil"/>
                  </w:tcBorders>
                  <w:vAlign w:val="center"/>
                </w:tcPr>
                <w:p w14:paraId="3343794B">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r>
            <w:tr w14:paraId="271CD31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76" w:type="dxa"/>
                  <w:vMerge w:val="continue"/>
                  <w:tcBorders>
                    <w:tl2br w:val="nil"/>
                    <w:tr2bl w:val="nil"/>
                  </w:tcBorders>
                  <w:vAlign w:val="center"/>
                </w:tcPr>
                <w:p w14:paraId="6FE2A221">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c>
                <w:tcPr>
                  <w:tcW w:w="685" w:type="dxa"/>
                  <w:vMerge w:val="continue"/>
                  <w:tcBorders>
                    <w:tl2br w:val="nil"/>
                    <w:tr2bl w:val="nil"/>
                  </w:tcBorders>
                  <w:vAlign w:val="center"/>
                </w:tcPr>
                <w:p w14:paraId="7A697278">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c>
                <w:tcPr>
                  <w:tcW w:w="880" w:type="dxa"/>
                  <w:vMerge w:val="continue"/>
                  <w:tcBorders>
                    <w:tl2br w:val="nil"/>
                    <w:tr2bl w:val="nil"/>
                  </w:tcBorders>
                  <w:vAlign w:val="center"/>
                </w:tcPr>
                <w:p w14:paraId="114B8C84">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c>
                <w:tcPr>
                  <w:tcW w:w="1557" w:type="dxa"/>
                  <w:tcBorders>
                    <w:tl2br w:val="nil"/>
                    <w:tr2bl w:val="nil"/>
                  </w:tcBorders>
                  <w:vAlign w:val="center"/>
                </w:tcPr>
                <w:p w14:paraId="15DFD542">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回路数</w:t>
                  </w:r>
                </w:p>
              </w:tc>
              <w:tc>
                <w:tcPr>
                  <w:tcW w:w="887" w:type="dxa"/>
                  <w:tcBorders>
                    <w:tl2br w:val="nil"/>
                    <w:tr2bl w:val="nil"/>
                  </w:tcBorders>
                  <w:vAlign w:val="center"/>
                </w:tcPr>
                <w:p w14:paraId="6085E30C">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回</w:t>
                  </w:r>
                </w:p>
              </w:tc>
              <w:tc>
                <w:tcPr>
                  <w:tcW w:w="2357" w:type="dxa"/>
                  <w:tcBorders>
                    <w:tl2br w:val="nil"/>
                    <w:tr2bl w:val="nil"/>
                  </w:tcBorders>
                  <w:vAlign w:val="center"/>
                </w:tcPr>
                <w:p w14:paraId="4D490BF9">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lang w:eastAsia="zh-CN"/>
                    </w:rPr>
                  </w:pPr>
                  <w:r>
                    <w:rPr>
                      <w:rFonts w:hint="eastAsia" w:cs="Times New Roman"/>
                      <w:color w:val="auto"/>
                      <w:kern w:val="0"/>
                      <w:sz w:val="21"/>
                      <w:szCs w:val="21"/>
                      <w:u w:val="none"/>
                      <w:lang w:val="en-US" w:eastAsia="zh-CN"/>
                    </w:rPr>
                    <w:t>4</w:t>
                  </w:r>
                </w:p>
              </w:tc>
              <w:tc>
                <w:tcPr>
                  <w:tcW w:w="869" w:type="dxa"/>
                  <w:tcBorders>
                    <w:tl2br w:val="nil"/>
                    <w:tr2bl w:val="nil"/>
                  </w:tcBorders>
                  <w:vAlign w:val="center"/>
                </w:tcPr>
                <w:p w14:paraId="76566E6C">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r>
            <w:tr w14:paraId="55E0C39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76" w:type="dxa"/>
                  <w:vMerge w:val="continue"/>
                  <w:tcBorders>
                    <w:tl2br w:val="nil"/>
                    <w:tr2bl w:val="nil"/>
                  </w:tcBorders>
                  <w:vAlign w:val="center"/>
                </w:tcPr>
                <w:p w14:paraId="1E520575">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c>
                <w:tcPr>
                  <w:tcW w:w="685" w:type="dxa"/>
                  <w:vMerge w:val="restart"/>
                  <w:tcBorders>
                    <w:tl2br w:val="nil"/>
                    <w:tr2bl w:val="nil"/>
                  </w:tcBorders>
                  <w:vAlign w:val="center"/>
                </w:tcPr>
                <w:p w14:paraId="7A9CCD27">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lang w:val="en-US" w:eastAsia="zh-CN"/>
                    </w:rPr>
                  </w:pPr>
                  <w:r>
                    <w:rPr>
                      <w:rFonts w:hint="default" w:ascii="Times New Roman" w:hAnsi="Times New Roman" w:eastAsia="宋体" w:cs="Times New Roman"/>
                      <w:color w:val="auto"/>
                      <w:kern w:val="0"/>
                      <w:sz w:val="21"/>
                      <w:szCs w:val="21"/>
                      <w:u w:val="none"/>
                    </w:rPr>
                    <w:t>升压变电站</w:t>
                  </w:r>
                </w:p>
                <w:p w14:paraId="37E2EBFB">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p>
              </w:tc>
              <w:tc>
                <w:tcPr>
                  <w:tcW w:w="880" w:type="dxa"/>
                  <w:vMerge w:val="restart"/>
                  <w:tcBorders>
                    <w:tl2br w:val="nil"/>
                    <w:tr2bl w:val="nil"/>
                  </w:tcBorders>
                  <w:vAlign w:val="center"/>
                </w:tcPr>
                <w:p w14:paraId="5976C071">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p>
                <w:p w14:paraId="628207F8">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主变</w:t>
                  </w:r>
                </w:p>
                <w:p w14:paraId="6A806E95">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lang w:val="en-US" w:eastAsia="zh-CN"/>
                    </w:rPr>
                  </w:pPr>
                  <w:r>
                    <w:rPr>
                      <w:rFonts w:hint="default" w:ascii="Times New Roman" w:hAnsi="Times New Roman" w:eastAsia="宋体" w:cs="Times New Roman"/>
                      <w:color w:val="auto"/>
                      <w:kern w:val="0"/>
                      <w:sz w:val="21"/>
                      <w:szCs w:val="21"/>
                      <w:u w:val="none"/>
                    </w:rPr>
                    <w:t>压器</w:t>
                  </w:r>
                </w:p>
                <w:p w14:paraId="76384169">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p>
              </w:tc>
              <w:tc>
                <w:tcPr>
                  <w:tcW w:w="1557" w:type="dxa"/>
                  <w:tcBorders>
                    <w:tl2br w:val="nil"/>
                    <w:tr2bl w:val="nil"/>
                  </w:tcBorders>
                  <w:vAlign w:val="center"/>
                </w:tcPr>
                <w:p w14:paraId="27D146A3">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lang w:val="en-US" w:eastAsia="zh-CN"/>
                    </w:rPr>
                  </w:pPr>
                  <w:r>
                    <w:rPr>
                      <w:rFonts w:hint="default" w:ascii="Times New Roman" w:hAnsi="Times New Roman" w:eastAsia="宋体" w:cs="Times New Roman"/>
                      <w:color w:val="auto"/>
                      <w:kern w:val="0"/>
                      <w:sz w:val="21"/>
                      <w:szCs w:val="21"/>
                      <w:u w:val="none"/>
                    </w:rPr>
                    <w:t>型号</w:t>
                  </w:r>
                </w:p>
              </w:tc>
              <w:tc>
                <w:tcPr>
                  <w:tcW w:w="4113" w:type="dxa"/>
                  <w:gridSpan w:val="3"/>
                  <w:tcBorders>
                    <w:tl2br w:val="nil"/>
                    <w:tr2bl w:val="nil"/>
                  </w:tcBorders>
                  <w:vAlign w:val="center"/>
                </w:tcPr>
                <w:p w14:paraId="75EF7D6C">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lang w:val="en-US" w:eastAsia="zh-CN"/>
                    </w:rPr>
                  </w:pPr>
                  <w:r>
                    <w:rPr>
                      <w:rFonts w:hint="default" w:ascii="Times New Roman" w:hAnsi="Times New Roman" w:eastAsia="宋体" w:cs="Times New Roman"/>
                      <w:color w:val="auto"/>
                      <w:kern w:val="0"/>
                      <w:sz w:val="21"/>
                      <w:szCs w:val="21"/>
                      <w:u w:val="none"/>
                    </w:rPr>
                    <w:t>SZ</w:t>
                  </w:r>
                  <w:r>
                    <w:rPr>
                      <w:rFonts w:hint="eastAsia" w:cs="Times New Roman"/>
                      <w:color w:val="auto"/>
                      <w:kern w:val="0"/>
                      <w:sz w:val="21"/>
                      <w:szCs w:val="21"/>
                      <w:u w:val="none"/>
                      <w:lang w:val="en-US" w:eastAsia="zh-CN"/>
                    </w:rPr>
                    <w:t>11</w:t>
                  </w:r>
                  <w:r>
                    <w:rPr>
                      <w:rFonts w:hint="default" w:ascii="Times New Roman" w:hAnsi="Times New Roman" w:eastAsia="宋体" w:cs="Times New Roman"/>
                      <w:color w:val="auto"/>
                      <w:kern w:val="0"/>
                      <w:sz w:val="21"/>
                      <w:szCs w:val="21"/>
                      <w:u w:val="none"/>
                    </w:rPr>
                    <w:t>-</w:t>
                  </w:r>
                  <w:r>
                    <w:rPr>
                      <w:rFonts w:hint="eastAsia" w:cs="Times New Roman"/>
                      <w:color w:val="auto"/>
                      <w:kern w:val="0"/>
                      <w:sz w:val="21"/>
                      <w:szCs w:val="21"/>
                      <w:u w:val="none"/>
                      <w:lang w:val="en-US" w:eastAsia="zh-CN"/>
                    </w:rPr>
                    <w:t>15000</w:t>
                  </w:r>
                  <w:r>
                    <w:rPr>
                      <w:rFonts w:hint="default" w:ascii="Times New Roman" w:hAnsi="Times New Roman" w:eastAsia="宋体" w:cs="Times New Roman"/>
                      <w:color w:val="auto"/>
                      <w:kern w:val="0"/>
                      <w:sz w:val="21"/>
                      <w:szCs w:val="21"/>
                      <w:u w:val="none"/>
                    </w:rPr>
                    <w:t>/</w:t>
                  </w:r>
                  <w:r>
                    <w:rPr>
                      <w:rFonts w:hint="eastAsia" w:cs="Times New Roman"/>
                      <w:color w:val="auto"/>
                      <w:kern w:val="0"/>
                      <w:sz w:val="21"/>
                      <w:szCs w:val="21"/>
                      <w:u w:val="none"/>
                      <w:lang w:val="en-US" w:eastAsia="zh-CN"/>
                    </w:rPr>
                    <w:t>22</w:t>
                  </w:r>
                  <w:r>
                    <w:rPr>
                      <w:rFonts w:hint="default" w:ascii="Times New Roman" w:hAnsi="Times New Roman" w:eastAsia="宋体" w:cs="Times New Roman"/>
                      <w:color w:val="auto"/>
                      <w:kern w:val="0"/>
                      <w:sz w:val="21"/>
                      <w:szCs w:val="21"/>
                      <w:u w:val="none"/>
                    </w:rPr>
                    <w:t>0</w:t>
                  </w:r>
                </w:p>
              </w:tc>
            </w:tr>
            <w:tr w14:paraId="5136011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76" w:type="dxa"/>
                  <w:vMerge w:val="continue"/>
                  <w:tcBorders>
                    <w:tl2br w:val="nil"/>
                    <w:tr2bl w:val="nil"/>
                  </w:tcBorders>
                  <w:vAlign w:val="center"/>
                </w:tcPr>
                <w:p w14:paraId="47559795">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c>
                <w:tcPr>
                  <w:tcW w:w="685" w:type="dxa"/>
                  <w:vMerge w:val="continue"/>
                  <w:tcBorders>
                    <w:tl2br w:val="nil"/>
                    <w:tr2bl w:val="nil"/>
                  </w:tcBorders>
                  <w:vAlign w:val="center"/>
                </w:tcPr>
                <w:p w14:paraId="0BB23757">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c>
                <w:tcPr>
                  <w:tcW w:w="880" w:type="dxa"/>
                  <w:vMerge w:val="continue"/>
                  <w:tcBorders>
                    <w:tl2br w:val="nil"/>
                    <w:tr2bl w:val="nil"/>
                  </w:tcBorders>
                  <w:vAlign w:val="center"/>
                </w:tcPr>
                <w:p w14:paraId="2039F123">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c>
                <w:tcPr>
                  <w:tcW w:w="1557" w:type="dxa"/>
                  <w:tcBorders>
                    <w:tl2br w:val="nil"/>
                    <w:tr2bl w:val="nil"/>
                  </w:tcBorders>
                  <w:vAlign w:val="center"/>
                </w:tcPr>
                <w:p w14:paraId="506E0D9D">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lang w:val="en-US" w:eastAsia="zh-CN"/>
                    </w:rPr>
                  </w:pPr>
                  <w:r>
                    <w:rPr>
                      <w:rFonts w:hint="default" w:ascii="Times New Roman" w:hAnsi="Times New Roman" w:eastAsia="宋体" w:cs="Times New Roman"/>
                      <w:color w:val="auto"/>
                      <w:kern w:val="0"/>
                      <w:sz w:val="21"/>
                      <w:szCs w:val="21"/>
                      <w:u w:val="none"/>
                    </w:rPr>
                    <w:t>台数</w:t>
                  </w:r>
                </w:p>
              </w:tc>
              <w:tc>
                <w:tcPr>
                  <w:tcW w:w="887" w:type="dxa"/>
                  <w:tcBorders>
                    <w:tl2br w:val="nil"/>
                    <w:tr2bl w:val="nil"/>
                  </w:tcBorders>
                  <w:vAlign w:val="center"/>
                </w:tcPr>
                <w:p w14:paraId="3DC3AA61">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lang w:val="en-US" w:eastAsia="zh-CN"/>
                    </w:rPr>
                  </w:pPr>
                  <w:r>
                    <w:rPr>
                      <w:rFonts w:hint="default" w:ascii="Times New Roman" w:hAnsi="Times New Roman" w:eastAsia="宋体" w:cs="Times New Roman"/>
                      <w:color w:val="auto"/>
                      <w:kern w:val="0"/>
                      <w:sz w:val="21"/>
                      <w:szCs w:val="21"/>
                      <w:u w:val="none"/>
                    </w:rPr>
                    <w:t>台</w:t>
                  </w:r>
                </w:p>
              </w:tc>
              <w:tc>
                <w:tcPr>
                  <w:tcW w:w="2357" w:type="dxa"/>
                  <w:tcBorders>
                    <w:tl2br w:val="nil"/>
                    <w:tr2bl w:val="nil"/>
                  </w:tcBorders>
                  <w:vAlign w:val="center"/>
                </w:tcPr>
                <w:p w14:paraId="54A97132">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lang w:val="en-US" w:eastAsia="zh-CN"/>
                    </w:rPr>
                  </w:pPr>
                  <w:r>
                    <w:rPr>
                      <w:rFonts w:hint="default" w:ascii="Times New Roman" w:hAnsi="Times New Roman" w:eastAsia="宋体" w:cs="Times New Roman"/>
                      <w:color w:val="auto"/>
                      <w:kern w:val="0"/>
                      <w:sz w:val="21"/>
                      <w:szCs w:val="21"/>
                      <w:u w:val="none"/>
                    </w:rPr>
                    <w:t>1</w:t>
                  </w:r>
                </w:p>
              </w:tc>
              <w:tc>
                <w:tcPr>
                  <w:tcW w:w="869" w:type="dxa"/>
                  <w:tcBorders>
                    <w:tl2br w:val="nil"/>
                    <w:tr2bl w:val="nil"/>
                  </w:tcBorders>
                  <w:vAlign w:val="center"/>
                </w:tcPr>
                <w:p w14:paraId="6A4A8639">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lang w:val="en-US" w:eastAsia="zh-CN"/>
                    </w:rPr>
                  </w:pPr>
                </w:p>
              </w:tc>
            </w:tr>
            <w:tr w14:paraId="4DB6F3C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70" w:hRule="atLeast"/>
                <w:jc w:val="center"/>
              </w:trPr>
              <w:tc>
                <w:tcPr>
                  <w:tcW w:w="576" w:type="dxa"/>
                  <w:vMerge w:val="continue"/>
                  <w:tcBorders>
                    <w:tl2br w:val="nil"/>
                    <w:tr2bl w:val="nil"/>
                  </w:tcBorders>
                  <w:vAlign w:val="center"/>
                </w:tcPr>
                <w:p w14:paraId="479EFC84">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c>
                <w:tcPr>
                  <w:tcW w:w="685" w:type="dxa"/>
                  <w:vMerge w:val="continue"/>
                  <w:tcBorders>
                    <w:tl2br w:val="nil"/>
                    <w:tr2bl w:val="nil"/>
                  </w:tcBorders>
                  <w:vAlign w:val="center"/>
                </w:tcPr>
                <w:p w14:paraId="364E0C2E">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c>
                <w:tcPr>
                  <w:tcW w:w="880" w:type="dxa"/>
                  <w:vMerge w:val="continue"/>
                  <w:tcBorders>
                    <w:tl2br w:val="nil"/>
                    <w:tr2bl w:val="nil"/>
                  </w:tcBorders>
                  <w:vAlign w:val="center"/>
                </w:tcPr>
                <w:p w14:paraId="07DD6F44">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c>
                <w:tcPr>
                  <w:tcW w:w="1557" w:type="dxa"/>
                  <w:tcBorders>
                    <w:tl2br w:val="nil"/>
                    <w:tr2bl w:val="nil"/>
                  </w:tcBorders>
                  <w:vAlign w:val="center"/>
                </w:tcPr>
                <w:p w14:paraId="6CB6BA2D">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lang w:val="en-US" w:eastAsia="zh-CN"/>
                    </w:rPr>
                  </w:pPr>
                  <w:r>
                    <w:rPr>
                      <w:rFonts w:hint="default" w:ascii="Times New Roman" w:hAnsi="Times New Roman" w:eastAsia="宋体" w:cs="Times New Roman"/>
                      <w:color w:val="auto"/>
                      <w:kern w:val="0"/>
                      <w:sz w:val="21"/>
                      <w:szCs w:val="21"/>
                      <w:u w:val="none"/>
                    </w:rPr>
                    <w:t>容量</w:t>
                  </w:r>
                </w:p>
              </w:tc>
              <w:tc>
                <w:tcPr>
                  <w:tcW w:w="887" w:type="dxa"/>
                  <w:tcBorders>
                    <w:tl2br w:val="nil"/>
                    <w:tr2bl w:val="nil"/>
                  </w:tcBorders>
                  <w:vAlign w:val="center"/>
                </w:tcPr>
                <w:p w14:paraId="2B7EDB71">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lang w:val="en-US" w:eastAsia="zh-CN"/>
                    </w:rPr>
                  </w:pPr>
                  <w:r>
                    <w:rPr>
                      <w:rFonts w:hint="default" w:ascii="Times New Roman" w:hAnsi="Times New Roman" w:eastAsia="宋体" w:cs="Times New Roman"/>
                      <w:color w:val="auto"/>
                      <w:kern w:val="0"/>
                      <w:sz w:val="21"/>
                      <w:szCs w:val="21"/>
                      <w:u w:val="none"/>
                    </w:rPr>
                    <w:t>MVA</w:t>
                  </w:r>
                </w:p>
              </w:tc>
              <w:tc>
                <w:tcPr>
                  <w:tcW w:w="2357" w:type="dxa"/>
                  <w:tcBorders>
                    <w:tl2br w:val="nil"/>
                    <w:tr2bl w:val="nil"/>
                  </w:tcBorders>
                  <w:vAlign w:val="center"/>
                </w:tcPr>
                <w:p w14:paraId="0034FB44">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lang w:val="en-US" w:eastAsia="zh-CN"/>
                    </w:rPr>
                  </w:pPr>
                  <w:r>
                    <w:rPr>
                      <w:rFonts w:hint="eastAsia" w:cs="Times New Roman"/>
                      <w:color w:val="auto"/>
                      <w:kern w:val="0"/>
                      <w:sz w:val="21"/>
                      <w:szCs w:val="21"/>
                      <w:u w:val="none"/>
                      <w:lang w:val="en-US" w:eastAsia="zh-CN"/>
                    </w:rPr>
                    <w:t>150</w:t>
                  </w:r>
                </w:p>
              </w:tc>
              <w:tc>
                <w:tcPr>
                  <w:tcW w:w="869" w:type="dxa"/>
                  <w:tcBorders>
                    <w:tl2br w:val="nil"/>
                    <w:tr2bl w:val="nil"/>
                  </w:tcBorders>
                  <w:vAlign w:val="center"/>
                </w:tcPr>
                <w:p w14:paraId="3DAB76F4">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lang w:val="en-US" w:eastAsia="zh-CN"/>
                    </w:rPr>
                  </w:pPr>
                </w:p>
              </w:tc>
            </w:tr>
            <w:tr w14:paraId="4A25C6A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76" w:type="dxa"/>
                  <w:vMerge w:val="continue"/>
                  <w:tcBorders>
                    <w:tl2br w:val="nil"/>
                    <w:tr2bl w:val="nil"/>
                  </w:tcBorders>
                  <w:vAlign w:val="center"/>
                </w:tcPr>
                <w:p w14:paraId="765F8218">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c>
                <w:tcPr>
                  <w:tcW w:w="685" w:type="dxa"/>
                  <w:vMerge w:val="continue"/>
                  <w:tcBorders>
                    <w:tl2br w:val="nil"/>
                    <w:tr2bl w:val="nil"/>
                  </w:tcBorders>
                  <w:vAlign w:val="center"/>
                </w:tcPr>
                <w:p w14:paraId="2F66CF16">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c>
                <w:tcPr>
                  <w:tcW w:w="880" w:type="dxa"/>
                  <w:vMerge w:val="restart"/>
                  <w:tcBorders>
                    <w:tl2br w:val="nil"/>
                    <w:tr2bl w:val="nil"/>
                  </w:tcBorders>
                  <w:vAlign w:val="center"/>
                </w:tcPr>
                <w:p w14:paraId="63CE1206">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出线</w:t>
                  </w:r>
                  <w:r>
                    <w:rPr>
                      <w:rFonts w:hint="eastAsia" w:cs="Times New Roman"/>
                      <w:color w:val="auto"/>
                      <w:kern w:val="0"/>
                      <w:sz w:val="21"/>
                      <w:szCs w:val="21"/>
                      <w:u w:val="none"/>
                      <w:lang w:val="en-US" w:eastAsia="zh-CN"/>
                    </w:rPr>
                    <w:t>回</w:t>
                  </w:r>
                  <w:r>
                    <w:rPr>
                      <w:rFonts w:hint="default" w:ascii="Times New Roman" w:hAnsi="Times New Roman" w:eastAsia="宋体" w:cs="Times New Roman"/>
                      <w:color w:val="auto"/>
                      <w:kern w:val="0"/>
                      <w:sz w:val="21"/>
                      <w:szCs w:val="21"/>
                      <w:u w:val="none"/>
                    </w:rPr>
                    <w:t>路</w:t>
                  </w:r>
                  <w:r>
                    <w:rPr>
                      <w:rFonts w:hint="eastAsia" w:cs="Times New Roman"/>
                      <w:color w:val="auto"/>
                      <w:kern w:val="0"/>
                      <w:sz w:val="21"/>
                      <w:szCs w:val="21"/>
                      <w:u w:val="none"/>
                      <w:lang w:val="en-US" w:eastAsia="zh-CN"/>
                    </w:rPr>
                    <w:t>数及</w:t>
                  </w:r>
                  <w:r>
                    <w:rPr>
                      <w:rFonts w:hint="default" w:ascii="Times New Roman" w:hAnsi="Times New Roman" w:eastAsia="宋体" w:cs="Times New Roman"/>
                      <w:color w:val="auto"/>
                      <w:kern w:val="0"/>
                      <w:sz w:val="21"/>
                      <w:szCs w:val="21"/>
                      <w:u w:val="none"/>
                    </w:rPr>
                    <w:t>电压等级</w:t>
                  </w:r>
                </w:p>
              </w:tc>
              <w:tc>
                <w:tcPr>
                  <w:tcW w:w="1557" w:type="dxa"/>
                  <w:tcBorders>
                    <w:tl2br w:val="nil"/>
                    <w:tr2bl w:val="nil"/>
                  </w:tcBorders>
                  <w:vAlign w:val="center"/>
                </w:tcPr>
                <w:p w14:paraId="459AFB94">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lang w:val="en-US" w:eastAsia="zh-CN"/>
                    </w:rPr>
                  </w:pPr>
                  <w:r>
                    <w:rPr>
                      <w:rFonts w:hint="default" w:ascii="Times New Roman" w:hAnsi="Times New Roman" w:eastAsia="宋体" w:cs="Times New Roman"/>
                      <w:color w:val="auto"/>
                      <w:kern w:val="0"/>
                      <w:sz w:val="21"/>
                      <w:szCs w:val="21"/>
                      <w:u w:val="none"/>
                    </w:rPr>
                    <w:t>出线回路数</w:t>
                  </w:r>
                </w:p>
              </w:tc>
              <w:tc>
                <w:tcPr>
                  <w:tcW w:w="887" w:type="dxa"/>
                  <w:tcBorders>
                    <w:tl2br w:val="nil"/>
                    <w:tr2bl w:val="nil"/>
                  </w:tcBorders>
                  <w:vAlign w:val="center"/>
                </w:tcPr>
                <w:p w14:paraId="2AAF6BB2">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lang w:val="en-US" w:eastAsia="zh-CN"/>
                    </w:rPr>
                  </w:pPr>
                  <w:r>
                    <w:rPr>
                      <w:rFonts w:hint="default" w:ascii="Times New Roman" w:hAnsi="Times New Roman" w:eastAsia="宋体" w:cs="Times New Roman"/>
                      <w:color w:val="auto"/>
                      <w:kern w:val="0"/>
                      <w:sz w:val="21"/>
                      <w:szCs w:val="21"/>
                      <w:u w:val="none"/>
                    </w:rPr>
                    <w:t>回</w:t>
                  </w:r>
                </w:p>
              </w:tc>
              <w:tc>
                <w:tcPr>
                  <w:tcW w:w="2357" w:type="dxa"/>
                  <w:tcBorders>
                    <w:tl2br w:val="nil"/>
                    <w:tr2bl w:val="nil"/>
                  </w:tcBorders>
                  <w:vAlign w:val="center"/>
                </w:tcPr>
                <w:p w14:paraId="6E3652B5">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lang w:val="en-US" w:eastAsia="zh-CN"/>
                    </w:rPr>
                  </w:pPr>
                  <w:r>
                    <w:rPr>
                      <w:rFonts w:hint="default" w:ascii="Times New Roman" w:hAnsi="Times New Roman" w:eastAsia="宋体" w:cs="Times New Roman"/>
                      <w:color w:val="auto"/>
                      <w:kern w:val="0"/>
                      <w:sz w:val="21"/>
                      <w:szCs w:val="21"/>
                      <w:u w:val="none"/>
                    </w:rPr>
                    <w:t>1</w:t>
                  </w:r>
                </w:p>
              </w:tc>
              <w:tc>
                <w:tcPr>
                  <w:tcW w:w="869" w:type="dxa"/>
                  <w:tcBorders>
                    <w:tl2br w:val="nil"/>
                    <w:tr2bl w:val="nil"/>
                  </w:tcBorders>
                  <w:vAlign w:val="center"/>
                </w:tcPr>
                <w:p w14:paraId="3D8601D8">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lang w:val="en-US" w:eastAsia="zh-CN"/>
                    </w:rPr>
                  </w:pPr>
                </w:p>
              </w:tc>
            </w:tr>
            <w:tr w14:paraId="3143AA9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69" w:hRule="atLeast"/>
                <w:jc w:val="center"/>
              </w:trPr>
              <w:tc>
                <w:tcPr>
                  <w:tcW w:w="576" w:type="dxa"/>
                  <w:vMerge w:val="continue"/>
                  <w:tcBorders>
                    <w:tl2br w:val="nil"/>
                    <w:tr2bl w:val="nil"/>
                  </w:tcBorders>
                  <w:vAlign w:val="center"/>
                </w:tcPr>
                <w:p w14:paraId="07E41436">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c>
                <w:tcPr>
                  <w:tcW w:w="685" w:type="dxa"/>
                  <w:vMerge w:val="continue"/>
                  <w:tcBorders>
                    <w:tl2br w:val="nil"/>
                    <w:tr2bl w:val="nil"/>
                  </w:tcBorders>
                  <w:vAlign w:val="center"/>
                </w:tcPr>
                <w:p w14:paraId="675B317A">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c>
                <w:tcPr>
                  <w:tcW w:w="880" w:type="dxa"/>
                  <w:vMerge w:val="continue"/>
                  <w:tcBorders>
                    <w:tl2br w:val="nil"/>
                    <w:tr2bl w:val="nil"/>
                  </w:tcBorders>
                  <w:vAlign w:val="center"/>
                </w:tcPr>
                <w:p w14:paraId="5C4FAD21">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p>
              </w:tc>
              <w:tc>
                <w:tcPr>
                  <w:tcW w:w="1557" w:type="dxa"/>
                  <w:tcBorders>
                    <w:tl2br w:val="nil"/>
                    <w:tr2bl w:val="nil"/>
                  </w:tcBorders>
                  <w:vAlign w:val="center"/>
                </w:tcPr>
                <w:p w14:paraId="6FC754D3">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lang w:val="en-US" w:eastAsia="zh-CN"/>
                    </w:rPr>
                  </w:pPr>
                  <w:r>
                    <w:rPr>
                      <w:rFonts w:hint="default" w:ascii="Times New Roman" w:hAnsi="Times New Roman" w:eastAsia="宋体" w:cs="Times New Roman"/>
                      <w:color w:val="auto"/>
                      <w:kern w:val="0"/>
                      <w:sz w:val="21"/>
                      <w:szCs w:val="21"/>
                      <w:u w:val="none"/>
                    </w:rPr>
                    <w:t>电压等级</w:t>
                  </w:r>
                </w:p>
              </w:tc>
              <w:tc>
                <w:tcPr>
                  <w:tcW w:w="887" w:type="dxa"/>
                  <w:tcBorders>
                    <w:tl2br w:val="nil"/>
                    <w:tr2bl w:val="nil"/>
                  </w:tcBorders>
                  <w:vAlign w:val="center"/>
                </w:tcPr>
                <w:p w14:paraId="6F047456">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lang w:val="en-US" w:eastAsia="zh-CN"/>
                    </w:rPr>
                  </w:pPr>
                  <w:r>
                    <w:rPr>
                      <w:rFonts w:hint="default" w:ascii="Times New Roman" w:hAnsi="Times New Roman" w:eastAsia="宋体" w:cs="Times New Roman"/>
                      <w:color w:val="auto"/>
                      <w:kern w:val="0"/>
                      <w:sz w:val="21"/>
                      <w:szCs w:val="21"/>
                      <w:u w:val="none"/>
                    </w:rPr>
                    <w:t>kV</w:t>
                  </w:r>
                </w:p>
              </w:tc>
              <w:tc>
                <w:tcPr>
                  <w:tcW w:w="2357" w:type="dxa"/>
                  <w:tcBorders>
                    <w:tl2br w:val="nil"/>
                    <w:tr2bl w:val="nil"/>
                  </w:tcBorders>
                  <w:vAlign w:val="center"/>
                </w:tcPr>
                <w:p w14:paraId="4DCE2DDA">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lang w:val="en-US" w:eastAsia="zh-CN"/>
                    </w:rPr>
                  </w:pPr>
                  <w:r>
                    <w:rPr>
                      <w:rFonts w:hint="eastAsia" w:cs="Times New Roman"/>
                      <w:color w:val="auto"/>
                      <w:kern w:val="0"/>
                      <w:sz w:val="21"/>
                      <w:szCs w:val="21"/>
                      <w:u w:val="none"/>
                      <w:lang w:val="en-US" w:eastAsia="zh-CN"/>
                    </w:rPr>
                    <w:t>22</w:t>
                  </w:r>
                  <w:r>
                    <w:rPr>
                      <w:rFonts w:hint="default" w:ascii="Times New Roman" w:hAnsi="Times New Roman" w:eastAsia="宋体" w:cs="Times New Roman"/>
                      <w:color w:val="auto"/>
                      <w:kern w:val="0"/>
                      <w:sz w:val="21"/>
                      <w:szCs w:val="21"/>
                      <w:u w:val="none"/>
                    </w:rPr>
                    <w:t>0</w:t>
                  </w:r>
                </w:p>
              </w:tc>
              <w:tc>
                <w:tcPr>
                  <w:tcW w:w="869" w:type="dxa"/>
                  <w:tcBorders>
                    <w:tl2br w:val="nil"/>
                    <w:tr2bl w:val="nil"/>
                  </w:tcBorders>
                  <w:vAlign w:val="center"/>
                </w:tcPr>
                <w:p w14:paraId="34022FF6">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lang w:val="en-US" w:eastAsia="zh-CN"/>
                    </w:rPr>
                  </w:pPr>
                </w:p>
              </w:tc>
            </w:tr>
            <w:tr w14:paraId="6A217A1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76" w:type="dxa"/>
                  <w:vMerge w:val="restart"/>
                  <w:tcBorders>
                    <w:tl2br w:val="nil"/>
                    <w:tr2bl w:val="nil"/>
                  </w:tcBorders>
                  <w:vAlign w:val="center"/>
                </w:tcPr>
                <w:p w14:paraId="0EAC2A24">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土</w:t>
                  </w:r>
                </w:p>
                <w:p w14:paraId="69685FFE">
                  <w:pPr>
                    <w:adjustRightInd w:val="0"/>
                    <w:snapToGrid w:val="0"/>
                    <w:spacing w:before="24" w:beforeLines="10" w:after="24" w:afterLines="10" w:line="240" w:lineRule="auto"/>
                    <w:jc w:val="center"/>
                    <w:rPr>
                      <w:rFonts w:hint="eastAsia" w:ascii="Times New Roman" w:hAnsi="Times New Roman" w:eastAsia="宋体" w:cs="Times New Roman"/>
                      <w:color w:val="auto"/>
                      <w:kern w:val="0"/>
                      <w:sz w:val="21"/>
                      <w:szCs w:val="21"/>
                      <w:u w:val="none"/>
                      <w:lang w:val="en-US" w:eastAsia="zh-CN"/>
                    </w:rPr>
                  </w:pPr>
                  <w:r>
                    <w:rPr>
                      <w:rFonts w:hint="default" w:ascii="Times New Roman" w:hAnsi="Times New Roman" w:eastAsia="宋体" w:cs="Times New Roman"/>
                      <w:color w:val="auto"/>
                      <w:kern w:val="0"/>
                      <w:sz w:val="21"/>
                      <w:szCs w:val="21"/>
                      <w:u w:val="none"/>
                    </w:rPr>
                    <w:t>建</w:t>
                  </w:r>
                  <w:r>
                    <w:rPr>
                      <w:rFonts w:hint="eastAsia" w:cs="Times New Roman"/>
                      <w:color w:val="auto"/>
                      <w:kern w:val="0"/>
                      <w:sz w:val="21"/>
                      <w:szCs w:val="21"/>
                      <w:u w:val="none"/>
                      <w:lang w:val="en-US" w:eastAsia="zh-CN"/>
                    </w:rPr>
                    <w:t>施工</w:t>
                  </w:r>
                </w:p>
              </w:tc>
              <w:tc>
                <w:tcPr>
                  <w:tcW w:w="1565" w:type="dxa"/>
                  <w:gridSpan w:val="2"/>
                  <w:vMerge w:val="restart"/>
                  <w:tcBorders>
                    <w:tl2br w:val="nil"/>
                    <w:tr2bl w:val="nil"/>
                  </w:tcBorders>
                  <w:vAlign w:val="center"/>
                </w:tcPr>
                <w:p w14:paraId="2CA526AF">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风机基础</w:t>
                  </w:r>
                </w:p>
              </w:tc>
              <w:tc>
                <w:tcPr>
                  <w:tcW w:w="1557" w:type="dxa"/>
                  <w:tcBorders>
                    <w:tl2br w:val="nil"/>
                    <w:tr2bl w:val="nil"/>
                  </w:tcBorders>
                  <w:vAlign w:val="center"/>
                </w:tcPr>
                <w:p w14:paraId="2F777604">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数量</w:t>
                  </w:r>
                </w:p>
              </w:tc>
              <w:tc>
                <w:tcPr>
                  <w:tcW w:w="887" w:type="dxa"/>
                  <w:tcBorders>
                    <w:tl2br w:val="nil"/>
                    <w:tr2bl w:val="nil"/>
                  </w:tcBorders>
                  <w:vAlign w:val="center"/>
                </w:tcPr>
                <w:p w14:paraId="196A1445">
                  <w:pPr>
                    <w:adjustRightInd w:val="0"/>
                    <w:snapToGrid w:val="0"/>
                    <w:spacing w:before="24" w:beforeLines="10" w:after="24" w:afterLines="10" w:line="240" w:lineRule="auto"/>
                    <w:jc w:val="center"/>
                    <w:rPr>
                      <w:rFonts w:hint="eastAsia" w:ascii="Times New Roman" w:hAnsi="Times New Roman" w:eastAsia="宋体" w:cs="Times New Roman"/>
                      <w:color w:val="auto"/>
                      <w:kern w:val="0"/>
                      <w:sz w:val="21"/>
                      <w:szCs w:val="21"/>
                      <w:u w:val="none"/>
                      <w:lang w:eastAsia="zh-CN"/>
                    </w:rPr>
                  </w:pPr>
                  <w:r>
                    <w:rPr>
                      <w:rFonts w:hint="eastAsia" w:cs="Times New Roman"/>
                      <w:color w:val="auto"/>
                      <w:kern w:val="0"/>
                      <w:sz w:val="21"/>
                      <w:szCs w:val="21"/>
                      <w:u w:val="none"/>
                      <w:lang w:val="en-US" w:eastAsia="zh-CN"/>
                    </w:rPr>
                    <w:t>座</w:t>
                  </w:r>
                </w:p>
              </w:tc>
              <w:tc>
                <w:tcPr>
                  <w:tcW w:w="2357" w:type="dxa"/>
                  <w:tcBorders>
                    <w:tl2br w:val="nil"/>
                    <w:tr2bl w:val="nil"/>
                  </w:tcBorders>
                  <w:vAlign w:val="center"/>
                </w:tcPr>
                <w:p w14:paraId="2F024502">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lang w:val="en-US" w:eastAsia="zh-CN"/>
                    </w:rPr>
                  </w:pPr>
                  <w:r>
                    <w:rPr>
                      <w:rFonts w:hint="eastAsia" w:cs="Times New Roman"/>
                      <w:color w:val="auto"/>
                      <w:kern w:val="0"/>
                      <w:sz w:val="21"/>
                      <w:szCs w:val="21"/>
                      <w:u w:val="none"/>
                      <w:lang w:val="en-US" w:eastAsia="zh-CN"/>
                    </w:rPr>
                    <w:t>15</w:t>
                  </w:r>
                </w:p>
              </w:tc>
              <w:tc>
                <w:tcPr>
                  <w:tcW w:w="869" w:type="dxa"/>
                  <w:tcBorders>
                    <w:tl2br w:val="nil"/>
                    <w:tr2bl w:val="nil"/>
                  </w:tcBorders>
                  <w:vAlign w:val="center"/>
                </w:tcPr>
                <w:p w14:paraId="4CE94D32">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p>
              </w:tc>
            </w:tr>
            <w:tr w14:paraId="1D77FAF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76" w:type="dxa"/>
                  <w:vMerge w:val="continue"/>
                  <w:tcBorders>
                    <w:tl2br w:val="nil"/>
                    <w:tr2bl w:val="nil"/>
                  </w:tcBorders>
                  <w:vAlign w:val="center"/>
                </w:tcPr>
                <w:p w14:paraId="20DB4631">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p>
              </w:tc>
              <w:tc>
                <w:tcPr>
                  <w:tcW w:w="1565" w:type="dxa"/>
                  <w:gridSpan w:val="2"/>
                  <w:vMerge w:val="continue"/>
                  <w:tcBorders>
                    <w:tl2br w:val="nil"/>
                    <w:tr2bl w:val="nil"/>
                  </w:tcBorders>
                  <w:vAlign w:val="center"/>
                </w:tcPr>
                <w:p w14:paraId="756816B5">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p>
              </w:tc>
              <w:tc>
                <w:tcPr>
                  <w:tcW w:w="1557" w:type="dxa"/>
                  <w:tcBorders>
                    <w:tl2br w:val="nil"/>
                    <w:tr2bl w:val="nil"/>
                  </w:tcBorders>
                  <w:vAlign w:val="center"/>
                </w:tcPr>
                <w:p w14:paraId="5676C283">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型式</w:t>
                  </w:r>
                </w:p>
              </w:tc>
              <w:tc>
                <w:tcPr>
                  <w:tcW w:w="4113" w:type="dxa"/>
                  <w:gridSpan w:val="3"/>
                  <w:tcBorders>
                    <w:tl2br w:val="nil"/>
                    <w:tr2bl w:val="nil"/>
                  </w:tcBorders>
                  <w:vAlign w:val="center"/>
                </w:tcPr>
                <w:p w14:paraId="24EFE209">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现浇C40圆形柱扩展式基础</w:t>
                  </w:r>
                </w:p>
              </w:tc>
            </w:tr>
            <w:tr w14:paraId="1E14D4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76" w:type="dxa"/>
                  <w:vMerge w:val="continue"/>
                  <w:tcBorders>
                    <w:tl2br w:val="nil"/>
                    <w:tr2bl w:val="nil"/>
                  </w:tcBorders>
                  <w:vAlign w:val="center"/>
                </w:tcPr>
                <w:p w14:paraId="207AD239">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p>
              </w:tc>
              <w:tc>
                <w:tcPr>
                  <w:tcW w:w="1565" w:type="dxa"/>
                  <w:gridSpan w:val="2"/>
                  <w:vMerge w:val="continue"/>
                  <w:tcBorders>
                    <w:tl2br w:val="nil"/>
                    <w:tr2bl w:val="nil"/>
                  </w:tcBorders>
                  <w:vAlign w:val="center"/>
                </w:tcPr>
                <w:p w14:paraId="1CF83235">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p>
              </w:tc>
              <w:tc>
                <w:tcPr>
                  <w:tcW w:w="1557" w:type="dxa"/>
                  <w:tcBorders>
                    <w:tl2br w:val="nil"/>
                    <w:tr2bl w:val="nil"/>
                  </w:tcBorders>
                  <w:vAlign w:val="center"/>
                </w:tcPr>
                <w:p w14:paraId="0B0EE8D3">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lang w:val="en-US" w:eastAsia="zh-CN"/>
                    </w:rPr>
                  </w:pPr>
                  <w:r>
                    <w:rPr>
                      <w:rFonts w:hint="eastAsia" w:cs="Times New Roman"/>
                      <w:color w:val="auto"/>
                      <w:kern w:val="0"/>
                      <w:sz w:val="21"/>
                      <w:szCs w:val="21"/>
                      <w:u w:val="none"/>
                      <w:lang w:val="en-US" w:eastAsia="zh-CN"/>
                    </w:rPr>
                    <w:t>地基特性</w:t>
                  </w:r>
                </w:p>
              </w:tc>
              <w:tc>
                <w:tcPr>
                  <w:tcW w:w="4113" w:type="dxa"/>
                  <w:gridSpan w:val="3"/>
                  <w:tcBorders>
                    <w:tl2br w:val="nil"/>
                    <w:tr2bl w:val="nil"/>
                  </w:tcBorders>
                  <w:vAlign w:val="center"/>
                </w:tcPr>
                <w:p w14:paraId="0B08C88D">
                  <w:pPr>
                    <w:adjustRightInd w:val="0"/>
                    <w:snapToGrid w:val="0"/>
                    <w:spacing w:before="24" w:beforeLines="10" w:after="24" w:afterLines="10" w:line="240" w:lineRule="auto"/>
                    <w:jc w:val="center"/>
                    <w:rPr>
                      <w:rFonts w:hint="eastAsia" w:ascii="Times New Roman" w:hAnsi="Times New Roman" w:eastAsia="宋体" w:cs="Times New Roman"/>
                      <w:color w:val="auto"/>
                      <w:kern w:val="0"/>
                      <w:sz w:val="21"/>
                      <w:szCs w:val="21"/>
                      <w:u w:val="none"/>
                      <w:lang w:val="en-US" w:eastAsia="zh-CN"/>
                    </w:rPr>
                  </w:pPr>
                  <w:r>
                    <w:rPr>
                      <w:rFonts w:hint="eastAsia" w:cs="Times New Roman"/>
                      <w:color w:val="auto"/>
                      <w:kern w:val="0"/>
                      <w:sz w:val="21"/>
                      <w:szCs w:val="21"/>
                      <w:u w:val="none"/>
                      <w:lang w:val="en-US" w:eastAsia="zh-CN"/>
                    </w:rPr>
                    <w:t>中硬土</w:t>
                  </w:r>
                </w:p>
              </w:tc>
            </w:tr>
            <w:tr w14:paraId="26B7A5E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76" w:type="dxa"/>
                  <w:vMerge w:val="continue"/>
                  <w:tcBorders>
                    <w:tl2br w:val="nil"/>
                    <w:tr2bl w:val="nil"/>
                  </w:tcBorders>
                  <w:vAlign w:val="center"/>
                </w:tcPr>
                <w:p w14:paraId="3AD8A1BF">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p>
              </w:tc>
              <w:tc>
                <w:tcPr>
                  <w:tcW w:w="1565" w:type="dxa"/>
                  <w:gridSpan w:val="2"/>
                  <w:vMerge w:val="restart"/>
                  <w:tcBorders>
                    <w:tl2br w:val="nil"/>
                    <w:tr2bl w:val="nil"/>
                  </w:tcBorders>
                  <w:vAlign w:val="center"/>
                </w:tcPr>
                <w:p w14:paraId="443C349D">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机组升压变压器基础</w:t>
                  </w:r>
                </w:p>
              </w:tc>
              <w:tc>
                <w:tcPr>
                  <w:tcW w:w="1557" w:type="dxa"/>
                  <w:tcBorders>
                    <w:tl2br w:val="nil"/>
                    <w:tr2bl w:val="nil"/>
                  </w:tcBorders>
                  <w:vAlign w:val="center"/>
                </w:tcPr>
                <w:p w14:paraId="6FF676FA">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rPr>
                    <w:t>数量</w:t>
                  </w:r>
                </w:p>
              </w:tc>
              <w:tc>
                <w:tcPr>
                  <w:tcW w:w="887" w:type="dxa"/>
                  <w:tcBorders>
                    <w:tl2br w:val="nil"/>
                    <w:tr2bl w:val="nil"/>
                  </w:tcBorders>
                  <w:vAlign w:val="center"/>
                </w:tcPr>
                <w:p w14:paraId="24AAAB80">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lang w:val="en-US" w:eastAsia="zh-CN" w:bidi="ar-SA"/>
                    </w:rPr>
                  </w:pPr>
                  <w:r>
                    <w:rPr>
                      <w:rFonts w:hint="eastAsia" w:cs="Times New Roman"/>
                      <w:color w:val="auto"/>
                      <w:kern w:val="0"/>
                      <w:sz w:val="21"/>
                      <w:szCs w:val="21"/>
                      <w:u w:val="none"/>
                      <w:lang w:val="en-US" w:eastAsia="zh-CN"/>
                    </w:rPr>
                    <w:t>座</w:t>
                  </w:r>
                </w:p>
              </w:tc>
              <w:tc>
                <w:tcPr>
                  <w:tcW w:w="2357" w:type="dxa"/>
                  <w:tcBorders>
                    <w:tl2br w:val="nil"/>
                    <w:tr2bl w:val="nil"/>
                  </w:tcBorders>
                  <w:vAlign w:val="center"/>
                </w:tcPr>
                <w:p w14:paraId="2E9271A7">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lang w:val="en-US" w:eastAsia="zh-CN" w:bidi="ar-SA"/>
                    </w:rPr>
                  </w:pPr>
                  <w:r>
                    <w:rPr>
                      <w:rFonts w:hint="eastAsia" w:cs="Times New Roman"/>
                      <w:color w:val="auto"/>
                      <w:kern w:val="0"/>
                      <w:sz w:val="21"/>
                      <w:szCs w:val="21"/>
                      <w:u w:val="none"/>
                      <w:lang w:val="en-US" w:eastAsia="zh-CN"/>
                    </w:rPr>
                    <w:t>15</w:t>
                  </w:r>
                </w:p>
              </w:tc>
              <w:tc>
                <w:tcPr>
                  <w:tcW w:w="869" w:type="dxa"/>
                  <w:tcBorders>
                    <w:tl2br w:val="nil"/>
                    <w:tr2bl w:val="nil"/>
                  </w:tcBorders>
                  <w:vAlign w:val="center"/>
                </w:tcPr>
                <w:p w14:paraId="2F6D80A8">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p>
              </w:tc>
            </w:tr>
            <w:tr w14:paraId="2588E5C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76" w:type="dxa"/>
                  <w:vMerge w:val="continue"/>
                  <w:tcBorders>
                    <w:tl2br w:val="nil"/>
                    <w:tr2bl w:val="nil"/>
                  </w:tcBorders>
                  <w:vAlign w:val="center"/>
                </w:tcPr>
                <w:p w14:paraId="056B9F86">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p>
              </w:tc>
              <w:tc>
                <w:tcPr>
                  <w:tcW w:w="1565" w:type="dxa"/>
                  <w:gridSpan w:val="2"/>
                  <w:vMerge w:val="continue"/>
                  <w:tcBorders>
                    <w:tl2br w:val="nil"/>
                    <w:tr2bl w:val="nil"/>
                  </w:tcBorders>
                  <w:vAlign w:val="center"/>
                </w:tcPr>
                <w:p w14:paraId="6DF278D9">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p>
              </w:tc>
              <w:tc>
                <w:tcPr>
                  <w:tcW w:w="1557" w:type="dxa"/>
                  <w:tcBorders>
                    <w:tl2br w:val="nil"/>
                    <w:tr2bl w:val="nil"/>
                  </w:tcBorders>
                  <w:vAlign w:val="center"/>
                </w:tcPr>
                <w:p w14:paraId="2FEC8992">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rPr>
                    <w:t>型式</w:t>
                  </w:r>
                </w:p>
              </w:tc>
              <w:tc>
                <w:tcPr>
                  <w:tcW w:w="4113" w:type="dxa"/>
                  <w:gridSpan w:val="3"/>
                  <w:tcBorders>
                    <w:tl2br w:val="nil"/>
                    <w:tr2bl w:val="nil"/>
                  </w:tcBorders>
                  <w:vAlign w:val="center"/>
                </w:tcPr>
                <w:p w14:paraId="03B9AED8">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rPr>
                    <w:t>钢筋混凝土现浇箱式基础</w:t>
                  </w:r>
                </w:p>
              </w:tc>
            </w:tr>
            <w:tr w14:paraId="1AA3AE8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76" w:type="dxa"/>
                  <w:vMerge w:val="restart"/>
                  <w:tcBorders>
                    <w:tl2br w:val="nil"/>
                    <w:tr2bl w:val="nil"/>
                  </w:tcBorders>
                  <w:vAlign w:val="center"/>
                </w:tcPr>
                <w:p w14:paraId="21612B6A">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施工</w:t>
                  </w:r>
                </w:p>
                <w:p w14:paraId="609C9417">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p>
                <w:p w14:paraId="15E6D9E4">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p>
                <w:p w14:paraId="46F122CF">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p>
                <w:p w14:paraId="19CCE2CF">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p>
              </w:tc>
              <w:tc>
                <w:tcPr>
                  <w:tcW w:w="1565" w:type="dxa"/>
                  <w:gridSpan w:val="2"/>
                  <w:vMerge w:val="restart"/>
                  <w:tcBorders>
                    <w:tl2br w:val="nil"/>
                    <w:tr2bl w:val="nil"/>
                  </w:tcBorders>
                  <w:vAlign w:val="center"/>
                </w:tcPr>
                <w:p w14:paraId="0A00B6C5">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工程量</w:t>
                  </w:r>
                </w:p>
              </w:tc>
              <w:tc>
                <w:tcPr>
                  <w:tcW w:w="1557" w:type="dxa"/>
                  <w:tcBorders>
                    <w:tl2br w:val="nil"/>
                    <w:tr2bl w:val="nil"/>
                  </w:tcBorders>
                  <w:vAlign w:val="center"/>
                </w:tcPr>
                <w:p w14:paraId="77B8BC85">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土石方开挖</w:t>
                  </w:r>
                </w:p>
              </w:tc>
              <w:tc>
                <w:tcPr>
                  <w:tcW w:w="887" w:type="dxa"/>
                  <w:tcBorders>
                    <w:tl2br w:val="nil"/>
                    <w:tr2bl w:val="nil"/>
                  </w:tcBorders>
                  <w:vAlign w:val="center"/>
                </w:tcPr>
                <w:p w14:paraId="178F29F2">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lang w:eastAsia="zh-CN"/>
                    </w:rPr>
                  </w:pPr>
                  <w:r>
                    <w:rPr>
                      <w:rFonts w:hint="default" w:ascii="Times New Roman" w:hAnsi="Times New Roman" w:eastAsia="宋体" w:cs="Times New Roman"/>
                      <w:color w:val="auto"/>
                      <w:kern w:val="0"/>
                      <w:sz w:val="21"/>
                      <w:szCs w:val="21"/>
                      <w:u w:val="none"/>
                    </w:rPr>
                    <w:t>万</w:t>
                  </w:r>
                  <w:r>
                    <w:rPr>
                      <w:rFonts w:hint="default" w:ascii="Times New Roman" w:hAnsi="Times New Roman" w:eastAsia="宋体" w:cs="Times New Roman"/>
                      <w:color w:val="auto"/>
                      <w:kern w:val="0"/>
                      <w:sz w:val="21"/>
                      <w:szCs w:val="21"/>
                      <w:u w:val="none"/>
                      <w:lang w:eastAsia="zh-CN"/>
                    </w:rPr>
                    <w:t>m</w:t>
                  </w:r>
                  <w:r>
                    <w:rPr>
                      <w:rFonts w:hint="default" w:ascii="Times New Roman" w:hAnsi="Times New Roman" w:eastAsia="宋体" w:cs="Times New Roman"/>
                      <w:color w:val="auto"/>
                      <w:kern w:val="0"/>
                      <w:sz w:val="21"/>
                      <w:szCs w:val="21"/>
                      <w:u w:val="none"/>
                      <w:vertAlign w:val="superscript"/>
                      <w:lang w:eastAsia="zh-CN"/>
                    </w:rPr>
                    <w:t>3</w:t>
                  </w:r>
                </w:p>
              </w:tc>
              <w:tc>
                <w:tcPr>
                  <w:tcW w:w="2357" w:type="dxa"/>
                  <w:tcBorders>
                    <w:tl2br w:val="nil"/>
                    <w:tr2bl w:val="nil"/>
                  </w:tcBorders>
                  <w:vAlign w:val="center"/>
                </w:tcPr>
                <w:p w14:paraId="4D42282F">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lang w:val="en-US" w:eastAsia="zh-CN"/>
                    </w:rPr>
                  </w:pPr>
                  <w:r>
                    <w:rPr>
                      <w:rFonts w:hint="eastAsia"/>
                      <w:color w:val="auto"/>
                      <w:kern w:val="0"/>
                      <w:sz w:val="21"/>
                      <w:szCs w:val="21"/>
                      <w:u w:val="none"/>
                      <w:lang w:val="en-US" w:eastAsia="zh-CN"/>
                    </w:rPr>
                    <w:t>175.39</w:t>
                  </w:r>
                </w:p>
              </w:tc>
              <w:tc>
                <w:tcPr>
                  <w:tcW w:w="869" w:type="dxa"/>
                  <w:tcBorders>
                    <w:tl2br w:val="nil"/>
                    <w:tr2bl w:val="nil"/>
                  </w:tcBorders>
                  <w:vAlign w:val="center"/>
                </w:tcPr>
                <w:p w14:paraId="3FE3C3A9">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r>
            <w:tr w14:paraId="0FDB4D2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76" w:type="dxa"/>
                  <w:vMerge w:val="continue"/>
                  <w:tcBorders>
                    <w:tl2br w:val="nil"/>
                    <w:tr2bl w:val="nil"/>
                  </w:tcBorders>
                  <w:vAlign w:val="center"/>
                </w:tcPr>
                <w:p w14:paraId="77BB044F">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c>
                <w:tcPr>
                  <w:tcW w:w="1565" w:type="dxa"/>
                  <w:gridSpan w:val="2"/>
                  <w:vMerge w:val="continue"/>
                  <w:tcBorders>
                    <w:tl2br w:val="nil"/>
                    <w:tr2bl w:val="nil"/>
                  </w:tcBorders>
                  <w:vAlign w:val="center"/>
                </w:tcPr>
                <w:p w14:paraId="53AA0391">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c>
                <w:tcPr>
                  <w:tcW w:w="1557" w:type="dxa"/>
                  <w:tcBorders>
                    <w:tl2br w:val="nil"/>
                    <w:tr2bl w:val="nil"/>
                  </w:tcBorders>
                  <w:vAlign w:val="center"/>
                </w:tcPr>
                <w:p w14:paraId="1B2225CD">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土石方回填</w:t>
                  </w:r>
                </w:p>
              </w:tc>
              <w:tc>
                <w:tcPr>
                  <w:tcW w:w="887" w:type="dxa"/>
                  <w:tcBorders>
                    <w:tl2br w:val="nil"/>
                    <w:tr2bl w:val="nil"/>
                  </w:tcBorders>
                  <w:vAlign w:val="center"/>
                </w:tcPr>
                <w:p w14:paraId="0968BE2E">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lang w:eastAsia="zh-CN"/>
                    </w:rPr>
                  </w:pPr>
                  <w:r>
                    <w:rPr>
                      <w:rFonts w:hint="default" w:ascii="Times New Roman" w:hAnsi="Times New Roman" w:eastAsia="宋体" w:cs="Times New Roman"/>
                      <w:color w:val="auto"/>
                      <w:kern w:val="0"/>
                      <w:sz w:val="21"/>
                      <w:szCs w:val="21"/>
                      <w:u w:val="none"/>
                    </w:rPr>
                    <w:t>万</w:t>
                  </w:r>
                  <w:r>
                    <w:rPr>
                      <w:rFonts w:hint="default" w:ascii="Times New Roman" w:hAnsi="Times New Roman" w:eastAsia="宋体" w:cs="Times New Roman"/>
                      <w:color w:val="auto"/>
                      <w:kern w:val="0"/>
                      <w:sz w:val="21"/>
                      <w:szCs w:val="21"/>
                      <w:u w:val="none"/>
                      <w:lang w:eastAsia="zh-CN"/>
                    </w:rPr>
                    <w:t>m</w:t>
                  </w:r>
                  <w:r>
                    <w:rPr>
                      <w:rFonts w:hint="default" w:ascii="Times New Roman" w:hAnsi="Times New Roman" w:eastAsia="宋体" w:cs="Times New Roman"/>
                      <w:color w:val="auto"/>
                      <w:kern w:val="0"/>
                      <w:sz w:val="21"/>
                      <w:szCs w:val="21"/>
                      <w:u w:val="none"/>
                      <w:vertAlign w:val="superscript"/>
                      <w:lang w:eastAsia="zh-CN"/>
                    </w:rPr>
                    <w:t>3</w:t>
                  </w:r>
                </w:p>
              </w:tc>
              <w:tc>
                <w:tcPr>
                  <w:tcW w:w="2357" w:type="dxa"/>
                  <w:tcBorders>
                    <w:tl2br w:val="nil"/>
                    <w:tr2bl w:val="nil"/>
                  </w:tcBorders>
                  <w:vAlign w:val="center"/>
                </w:tcPr>
                <w:p w14:paraId="1454C287">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lang w:val="en-US" w:eastAsia="zh-CN"/>
                    </w:rPr>
                  </w:pPr>
                  <w:r>
                    <w:rPr>
                      <w:rFonts w:hint="eastAsia"/>
                      <w:color w:val="auto"/>
                      <w:kern w:val="0"/>
                      <w:sz w:val="21"/>
                      <w:szCs w:val="21"/>
                      <w:u w:val="none"/>
                      <w:lang w:val="en-US" w:eastAsia="zh-CN"/>
                    </w:rPr>
                    <w:t>116.18</w:t>
                  </w:r>
                </w:p>
              </w:tc>
              <w:tc>
                <w:tcPr>
                  <w:tcW w:w="869" w:type="dxa"/>
                  <w:tcBorders>
                    <w:tl2br w:val="nil"/>
                    <w:tr2bl w:val="nil"/>
                  </w:tcBorders>
                  <w:vAlign w:val="center"/>
                </w:tcPr>
                <w:p w14:paraId="3542E87C">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r>
            <w:tr w14:paraId="3742A51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76" w:type="dxa"/>
                  <w:vMerge w:val="continue"/>
                  <w:tcBorders>
                    <w:tl2br w:val="nil"/>
                    <w:tr2bl w:val="nil"/>
                  </w:tcBorders>
                  <w:vAlign w:val="center"/>
                </w:tcPr>
                <w:p w14:paraId="71BC9323">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c>
                <w:tcPr>
                  <w:tcW w:w="1565" w:type="dxa"/>
                  <w:gridSpan w:val="2"/>
                  <w:vMerge w:val="continue"/>
                  <w:tcBorders>
                    <w:tl2br w:val="nil"/>
                    <w:tr2bl w:val="nil"/>
                  </w:tcBorders>
                  <w:vAlign w:val="center"/>
                </w:tcPr>
                <w:p w14:paraId="17D9BE05">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c>
                <w:tcPr>
                  <w:tcW w:w="1557" w:type="dxa"/>
                  <w:tcBorders>
                    <w:tl2br w:val="nil"/>
                    <w:tr2bl w:val="nil"/>
                  </w:tcBorders>
                  <w:vAlign w:val="center"/>
                </w:tcPr>
                <w:p w14:paraId="5AEFF215">
                  <w:pPr>
                    <w:adjustRightInd w:val="0"/>
                    <w:snapToGrid w:val="0"/>
                    <w:spacing w:before="24" w:beforeLines="10" w:after="24" w:afterLines="10" w:line="240" w:lineRule="auto"/>
                    <w:jc w:val="center"/>
                    <w:rPr>
                      <w:rFonts w:hint="eastAsia" w:ascii="Times New Roman" w:hAnsi="Times New Roman" w:eastAsia="宋体" w:cs="Times New Roman"/>
                      <w:color w:val="auto"/>
                      <w:kern w:val="0"/>
                      <w:sz w:val="21"/>
                      <w:szCs w:val="21"/>
                      <w:u w:val="none"/>
                      <w:lang w:val="en-US" w:eastAsia="zh-CN"/>
                    </w:rPr>
                  </w:pPr>
                  <w:r>
                    <w:rPr>
                      <w:rFonts w:hint="eastAsia" w:cs="Times New Roman"/>
                      <w:color w:val="auto"/>
                      <w:kern w:val="0"/>
                      <w:sz w:val="21"/>
                      <w:szCs w:val="21"/>
                      <w:u w:val="none"/>
                      <w:lang w:val="en-US" w:eastAsia="zh-CN"/>
                    </w:rPr>
                    <w:t>弃方</w:t>
                  </w:r>
                </w:p>
              </w:tc>
              <w:tc>
                <w:tcPr>
                  <w:tcW w:w="887" w:type="dxa"/>
                  <w:tcBorders>
                    <w:tl2br w:val="nil"/>
                    <w:tr2bl w:val="nil"/>
                  </w:tcBorders>
                  <w:vAlign w:val="center"/>
                </w:tcPr>
                <w:p w14:paraId="4C3481CF">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万</w:t>
                  </w:r>
                  <w:r>
                    <w:rPr>
                      <w:rFonts w:hint="default" w:ascii="Times New Roman" w:hAnsi="Times New Roman" w:eastAsia="宋体" w:cs="Times New Roman"/>
                      <w:color w:val="auto"/>
                      <w:kern w:val="0"/>
                      <w:sz w:val="21"/>
                      <w:szCs w:val="21"/>
                      <w:u w:val="none"/>
                      <w:lang w:eastAsia="zh-CN"/>
                    </w:rPr>
                    <w:t>m</w:t>
                  </w:r>
                  <w:r>
                    <w:rPr>
                      <w:rFonts w:hint="default" w:ascii="Times New Roman" w:hAnsi="Times New Roman" w:eastAsia="宋体" w:cs="Times New Roman"/>
                      <w:color w:val="auto"/>
                      <w:kern w:val="0"/>
                      <w:sz w:val="21"/>
                      <w:szCs w:val="21"/>
                      <w:u w:val="none"/>
                      <w:vertAlign w:val="superscript"/>
                      <w:lang w:eastAsia="zh-CN"/>
                    </w:rPr>
                    <w:t>3</w:t>
                  </w:r>
                </w:p>
              </w:tc>
              <w:tc>
                <w:tcPr>
                  <w:tcW w:w="2357" w:type="dxa"/>
                  <w:tcBorders>
                    <w:tl2br w:val="nil"/>
                    <w:tr2bl w:val="nil"/>
                  </w:tcBorders>
                  <w:vAlign w:val="center"/>
                </w:tcPr>
                <w:p w14:paraId="1EADC574">
                  <w:pPr>
                    <w:adjustRightInd w:val="0"/>
                    <w:snapToGrid w:val="0"/>
                    <w:spacing w:before="24" w:beforeLines="10" w:after="24" w:afterLines="10" w:line="240" w:lineRule="auto"/>
                    <w:jc w:val="center"/>
                    <w:rPr>
                      <w:rFonts w:hint="default" w:cs="Times New Roman"/>
                      <w:color w:val="auto"/>
                      <w:kern w:val="0"/>
                      <w:sz w:val="21"/>
                      <w:szCs w:val="21"/>
                      <w:u w:val="none"/>
                      <w:lang w:val="en-US" w:eastAsia="zh-CN"/>
                    </w:rPr>
                  </w:pPr>
                  <w:r>
                    <w:rPr>
                      <w:rFonts w:hint="eastAsia" w:cs="Times New Roman"/>
                      <w:color w:val="auto"/>
                      <w:kern w:val="0"/>
                      <w:sz w:val="21"/>
                      <w:szCs w:val="21"/>
                      <w:u w:val="none"/>
                      <w:lang w:val="en-US" w:eastAsia="zh-CN"/>
                    </w:rPr>
                    <w:t>59.21</w:t>
                  </w:r>
                </w:p>
              </w:tc>
              <w:tc>
                <w:tcPr>
                  <w:tcW w:w="869" w:type="dxa"/>
                  <w:tcBorders>
                    <w:tl2br w:val="nil"/>
                    <w:tr2bl w:val="nil"/>
                  </w:tcBorders>
                  <w:vAlign w:val="center"/>
                </w:tcPr>
                <w:p w14:paraId="7CF06CA7">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r>
            <w:tr w14:paraId="27AC2E6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76" w:type="dxa"/>
                  <w:vMerge w:val="continue"/>
                  <w:tcBorders>
                    <w:tl2br w:val="nil"/>
                    <w:tr2bl w:val="nil"/>
                  </w:tcBorders>
                  <w:vAlign w:val="center"/>
                </w:tcPr>
                <w:p w14:paraId="13858CD0">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c>
                <w:tcPr>
                  <w:tcW w:w="1565" w:type="dxa"/>
                  <w:gridSpan w:val="2"/>
                  <w:vMerge w:val="continue"/>
                  <w:tcBorders>
                    <w:tl2br w:val="nil"/>
                    <w:tr2bl w:val="nil"/>
                  </w:tcBorders>
                  <w:vAlign w:val="center"/>
                </w:tcPr>
                <w:p w14:paraId="03D39191">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c>
                <w:tcPr>
                  <w:tcW w:w="1557" w:type="dxa"/>
                  <w:tcBorders>
                    <w:tl2br w:val="nil"/>
                    <w:tr2bl w:val="nil"/>
                  </w:tcBorders>
                  <w:vAlign w:val="center"/>
                </w:tcPr>
                <w:p w14:paraId="4D4C22D4">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混凝土</w:t>
                  </w:r>
                </w:p>
              </w:tc>
              <w:tc>
                <w:tcPr>
                  <w:tcW w:w="887" w:type="dxa"/>
                  <w:tcBorders>
                    <w:tl2br w:val="nil"/>
                    <w:tr2bl w:val="nil"/>
                  </w:tcBorders>
                  <w:vAlign w:val="center"/>
                </w:tcPr>
                <w:p w14:paraId="3F8F3F3D">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lang w:eastAsia="zh-CN"/>
                    </w:rPr>
                  </w:pPr>
                  <w:r>
                    <w:rPr>
                      <w:rFonts w:hint="default" w:ascii="Times New Roman" w:hAnsi="Times New Roman" w:eastAsia="宋体" w:cs="Times New Roman"/>
                      <w:color w:val="auto"/>
                      <w:kern w:val="0"/>
                      <w:sz w:val="21"/>
                      <w:szCs w:val="21"/>
                      <w:u w:val="none"/>
                    </w:rPr>
                    <w:t>万</w:t>
                  </w:r>
                  <w:r>
                    <w:rPr>
                      <w:rFonts w:hint="default" w:ascii="Times New Roman" w:hAnsi="Times New Roman" w:eastAsia="宋体" w:cs="Times New Roman"/>
                      <w:color w:val="auto"/>
                      <w:kern w:val="0"/>
                      <w:sz w:val="21"/>
                      <w:szCs w:val="21"/>
                      <w:u w:val="none"/>
                      <w:lang w:eastAsia="zh-CN"/>
                    </w:rPr>
                    <w:t>m</w:t>
                  </w:r>
                  <w:r>
                    <w:rPr>
                      <w:rFonts w:hint="default" w:ascii="Times New Roman" w:hAnsi="Times New Roman" w:eastAsia="宋体" w:cs="Times New Roman"/>
                      <w:color w:val="auto"/>
                      <w:kern w:val="0"/>
                      <w:sz w:val="21"/>
                      <w:szCs w:val="21"/>
                      <w:u w:val="none"/>
                      <w:vertAlign w:val="superscript"/>
                      <w:lang w:eastAsia="zh-CN"/>
                    </w:rPr>
                    <w:t>3</w:t>
                  </w:r>
                </w:p>
              </w:tc>
              <w:tc>
                <w:tcPr>
                  <w:tcW w:w="2357" w:type="dxa"/>
                  <w:tcBorders>
                    <w:tl2br w:val="nil"/>
                    <w:tr2bl w:val="nil"/>
                  </w:tcBorders>
                  <w:vAlign w:val="center"/>
                </w:tcPr>
                <w:p w14:paraId="7D4E8025">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lang w:val="en-US" w:eastAsia="zh-CN"/>
                    </w:rPr>
                  </w:pPr>
                  <w:r>
                    <w:rPr>
                      <w:rFonts w:hint="eastAsia" w:cs="Times New Roman"/>
                      <w:color w:val="auto"/>
                      <w:kern w:val="0"/>
                      <w:sz w:val="21"/>
                      <w:szCs w:val="21"/>
                      <w:u w:val="none"/>
                      <w:lang w:val="en-US" w:eastAsia="zh-CN"/>
                    </w:rPr>
                    <w:t>1.17</w:t>
                  </w:r>
                </w:p>
              </w:tc>
              <w:tc>
                <w:tcPr>
                  <w:tcW w:w="869" w:type="dxa"/>
                  <w:tcBorders>
                    <w:tl2br w:val="nil"/>
                    <w:tr2bl w:val="nil"/>
                  </w:tcBorders>
                  <w:vAlign w:val="center"/>
                </w:tcPr>
                <w:p w14:paraId="2AB6D77E">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r>
            <w:tr w14:paraId="39602C3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76" w:type="dxa"/>
                  <w:vMerge w:val="continue"/>
                  <w:tcBorders>
                    <w:tl2br w:val="nil"/>
                    <w:tr2bl w:val="nil"/>
                  </w:tcBorders>
                  <w:vAlign w:val="center"/>
                </w:tcPr>
                <w:p w14:paraId="4C413FE9">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c>
                <w:tcPr>
                  <w:tcW w:w="1565" w:type="dxa"/>
                  <w:gridSpan w:val="2"/>
                  <w:vMerge w:val="continue"/>
                  <w:tcBorders>
                    <w:tl2br w:val="nil"/>
                    <w:tr2bl w:val="nil"/>
                  </w:tcBorders>
                  <w:vAlign w:val="center"/>
                </w:tcPr>
                <w:p w14:paraId="41745F64">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c>
                <w:tcPr>
                  <w:tcW w:w="1557" w:type="dxa"/>
                  <w:tcBorders>
                    <w:tl2br w:val="nil"/>
                    <w:tr2bl w:val="nil"/>
                  </w:tcBorders>
                  <w:vAlign w:val="center"/>
                </w:tcPr>
                <w:p w14:paraId="2B8E502B">
                  <w:pPr>
                    <w:adjustRightInd w:val="0"/>
                    <w:snapToGrid w:val="0"/>
                    <w:spacing w:before="24" w:beforeLines="10" w:after="24" w:afterLines="10" w:line="240" w:lineRule="auto"/>
                    <w:jc w:val="center"/>
                    <w:rPr>
                      <w:rFonts w:hint="eastAsia" w:ascii="Times New Roman" w:hAnsi="Times New Roman" w:eastAsia="宋体" w:cs="Times New Roman"/>
                      <w:color w:val="auto"/>
                      <w:kern w:val="0"/>
                      <w:sz w:val="21"/>
                      <w:szCs w:val="21"/>
                      <w:u w:val="none"/>
                      <w:lang w:eastAsia="zh-CN"/>
                    </w:rPr>
                  </w:pPr>
                  <w:r>
                    <w:rPr>
                      <w:rFonts w:hint="default" w:ascii="Times New Roman" w:hAnsi="Times New Roman" w:eastAsia="宋体" w:cs="Times New Roman"/>
                      <w:color w:val="auto"/>
                      <w:kern w:val="0"/>
                      <w:sz w:val="21"/>
                      <w:szCs w:val="21"/>
                      <w:u w:val="none"/>
                    </w:rPr>
                    <w:t>新建公路</w:t>
                  </w:r>
                  <w:r>
                    <w:rPr>
                      <w:rFonts w:hint="eastAsia" w:cs="Times New Roman"/>
                      <w:color w:val="auto"/>
                      <w:kern w:val="0"/>
                      <w:sz w:val="21"/>
                      <w:szCs w:val="21"/>
                      <w:u w:val="none"/>
                      <w:lang w:eastAsia="zh-CN"/>
                    </w:rPr>
                    <w:t>（</w:t>
                  </w:r>
                  <w:r>
                    <w:rPr>
                      <w:rFonts w:hint="eastAsia" w:cs="Times New Roman"/>
                      <w:color w:val="auto"/>
                      <w:kern w:val="0"/>
                      <w:sz w:val="21"/>
                      <w:szCs w:val="21"/>
                      <w:u w:val="none"/>
                      <w:lang w:val="en-US" w:eastAsia="zh-CN"/>
                    </w:rPr>
                    <w:t>含进站道路</w:t>
                  </w:r>
                  <w:r>
                    <w:rPr>
                      <w:rFonts w:hint="eastAsia" w:cs="Times New Roman"/>
                      <w:color w:val="auto"/>
                      <w:kern w:val="0"/>
                      <w:sz w:val="21"/>
                      <w:szCs w:val="21"/>
                      <w:u w:val="none"/>
                      <w:lang w:eastAsia="zh-CN"/>
                    </w:rPr>
                    <w:t>）</w:t>
                  </w:r>
                </w:p>
              </w:tc>
              <w:tc>
                <w:tcPr>
                  <w:tcW w:w="887" w:type="dxa"/>
                  <w:tcBorders>
                    <w:tl2br w:val="nil"/>
                    <w:tr2bl w:val="nil"/>
                  </w:tcBorders>
                  <w:vAlign w:val="center"/>
                </w:tcPr>
                <w:p w14:paraId="75180590">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km</w:t>
                  </w:r>
                </w:p>
              </w:tc>
              <w:tc>
                <w:tcPr>
                  <w:tcW w:w="2357" w:type="dxa"/>
                  <w:tcBorders>
                    <w:tl2br w:val="nil"/>
                    <w:tr2bl w:val="nil"/>
                  </w:tcBorders>
                  <w:vAlign w:val="center"/>
                </w:tcPr>
                <w:p w14:paraId="1E353626">
                  <w:pPr>
                    <w:adjustRightInd w:val="0"/>
                    <w:snapToGrid w:val="0"/>
                    <w:spacing w:before="24" w:beforeLines="10" w:after="24" w:afterLines="10" w:line="240" w:lineRule="auto"/>
                    <w:jc w:val="center"/>
                    <w:rPr>
                      <w:rFonts w:hint="default"/>
                      <w:color w:val="auto"/>
                      <w:kern w:val="0"/>
                      <w:sz w:val="21"/>
                      <w:szCs w:val="21"/>
                      <w:u w:val="none"/>
                      <w:lang w:val="en-US" w:eastAsia="zh-CN"/>
                    </w:rPr>
                  </w:pPr>
                  <w:r>
                    <w:rPr>
                      <w:rFonts w:hint="eastAsia"/>
                      <w:color w:val="auto"/>
                      <w:kern w:val="0"/>
                      <w:sz w:val="21"/>
                      <w:szCs w:val="21"/>
                      <w:u w:val="none"/>
                      <w:lang w:val="en-US" w:eastAsia="zh-CN"/>
                    </w:rPr>
                    <w:t>39.5</w:t>
                  </w:r>
                </w:p>
              </w:tc>
              <w:tc>
                <w:tcPr>
                  <w:tcW w:w="869" w:type="dxa"/>
                  <w:tcBorders>
                    <w:tl2br w:val="nil"/>
                    <w:tr2bl w:val="nil"/>
                  </w:tcBorders>
                  <w:vAlign w:val="center"/>
                </w:tcPr>
                <w:p w14:paraId="6488E216">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r>
            <w:tr w14:paraId="39A58B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76" w:type="dxa"/>
                  <w:vMerge w:val="continue"/>
                  <w:tcBorders>
                    <w:tl2br w:val="nil"/>
                    <w:tr2bl w:val="nil"/>
                  </w:tcBorders>
                  <w:vAlign w:val="center"/>
                </w:tcPr>
                <w:p w14:paraId="04EF0B24">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c>
                <w:tcPr>
                  <w:tcW w:w="1565" w:type="dxa"/>
                  <w:gridSpan w:val="2"/>
                  <w:vMerge w:val="continue"/>
                  <w:tcBorders>
                    <w:tl2br w:val="nil"/>
                    <w:tr2bl w:val="nil"/>
                  </w:tcBorders>
                  <w:vAlign w:val="center"/>
                </w:tcPr>
                <w:p w14:paraId="10F5D2B3">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c>
                <w:tcPr>
                  <w:tcW w:w="1557" w:type="dxa"/>
                  <w:tcBorders>
                    <w:tl2br w:val="nil"/>
                    <w:tr2bl w:val="nil"/>
                  </w:tcBorders>
                  <w:vAlign w:val="center"/>
                </w:tcPr>
                <w:p w14:paraId="2B2C7AD0">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改建公路</w:t>
                  </w:r>
                </w:p>
              </w:tc>
              <w:tc>
                <w:tcPr>
                  <w:tcW w:w="887" w:type="dxa"/>
                  <w:tcBorders>
                    <w:tl2br w:val="nil"/>
                    <w:tr2bl w:val="nil"/>
                  </w:tcBorders>
                  <w:vAlign w:val="center"/>
                </w:tcPr>
                <w:p w14:paraId="4498AD1A">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km</w:t>
                  </w:r>
                </w:p>
              </w:tc>
              <w:tc>
                <w:tcPr>
                  <w:tcW w:w="2357" w:type="dxa"/>
                  <w:tcBorders>
                    <w:tl2br w:val="nil"/>
                    <w:tr2bl w:val="nil"/>
                  </w:tcBorders>
                  <w:vAlign w:val="center"/>
                </w:tcPr>
                <w:p w14:paraId="78359EEE">
                  <w:pPr>
                    <w:adjustRightInd w:val="0"/>
                    <w:snapToGrid w:val="0"/>
                    <w:spacing w:before="24" w:beforeLines="10" w:after="24" w:afterLines="10" w:line="240" w:lineRule="auto"/>
                    <w:jc w:val="center"/>
                    <w:rPr>
                      <w:rFonts w:hint="default"/>
                      <w:color w:val="auto"/>
                      <w:kern w:val="0"/>
                      <w:sz w:val="21"/>
                      <w:szCs w:val="21"/>
                      <w:u w:val="none"/>
                      <w:lang w:val="en-US" w:eastAsia="zh-CN"/>
                    </w:rPr>
                  </w:pPr>
                  <w:r>
                    <w:rPr>
                      <w:rFonts w:hint="eastAsia"/>
                      <w:color w:val="auto"/>
                      <w:kern w:val="0"/>
                      <w:sz w:val="21"/>
                      <w:szCs w:val="21"/>
                      <w:u w:val="none"/>
                      <w:lang w:val="en-US" w:eastAsia="zh-CN"/>
                    </w:rPr>
                    <w:t>5.5</w:t>
                  </w:r>
                </w:p>
              </w:tc>
              <w:tc>
                <w:tcPr>
                  <w:tcW w:w="869" w:type="dxa"/>
                  <w:tcBorders>
                    <w:tl2br w:val="nil"/>
                    <w:tr2bl w:val="nil"/>
                  </w:tcBorders>
                  <w:vAlign w:val="center"/>
                </w:tcPr>
                <w:p w14:paraId="0EEE83DB">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r>
            <w:tr w14:paraId="20E8385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76" w:type="dxa"/>
                  <w:vMerge w:val="restart"/>
                  <w:tcBorders>
                    <w:tl2br w:val="nil"/>
                    <w:tr2bl w:val="nil"/>
                  </w:tcBorders>
                  <w:vAlign w:val="center"/>
                </w:tcPr>
                <w:p w14:paraId="6DBCB88A">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r>
                    <w:rPr>
                      <w:rFonts w:hint="eastAsia" w:cs="Times New Roman"/>
                      <w:color w:val="auto"/>
                      <w:kern w:val="0"/>
                      <w:sz w:val="21"/>
                      <w:szCs w:val="21"/>
                      <w:u w:val="none"/>
                      <w:lang w:val="en-US" w:eastAsia="zh-CN"/>
                    </w:rPr>
                    <w:t>投资</w:t>
                  </w:r>
                  <w:r>
                    <w:rPr>
                      <w:rFonts w:hint="default" w:ascii="Times New Roman" w:hAnsi="Times New Roman" w:eastAsia="宋体" w:cs="Times New Roman"/>
                      <w:color w:val="auto"/>
                      <w:kern w:val="0"/>
                      <w:sz w:val="21"/>
                      <w:szCs w:val="21"/>
                      <w:u w:val="none"/>
                    </w:rPr>
                    <w:t>指标</w:t>
                  </w:r>
                </w:p>
              </w:tc>
              <w:tc>
                <w:tcPr>
                  <w:tcW w:w="3122" w:type="dxa"/>
                  <w:gridSpan w:val="3"/>
                  <w:tcBorders>
                    <w:tl2br w:val="nil"/>
                    <w:tr2bl w:val="nil"/>
                  </w:tcBorders>
                  <w:vAlign w:val="center"/>
                </w:tcPr>
                <w:p w14:paraId="6491A2A3">
                  <w:pPr>
                    <w:adjustRightInd w:val="0"/>
                    <w:snapToGrid w:val="0"/>
                    <w:spacing w:before="24" w:beforeLines="10" w:after="24" w:afterLines="10" w:line="240" w:lineRule="auto"/>
                    <w:jc w:val="center"/>
                    <w:rPr>
                      <w:rFonts w:hint="eastAsia" w:ascii="Times New Roman" w:hAnsi="Times New Roman" w:eastAsia="宋体" w:cs="Times New Roman"/>
                      <w:color w:val="auto"/>
                      <w:kern w:val="0"/>
                      <w:sz w:val="21"/>
                      <w:szCs w:val="21"/>
                      <w:u w:val="none"/>
                      <w:lang w:eastAsia="zh-CN"/>
                    </w:rPr>
                  </w:pPr>
                  <w:r>
                    <w:rPr>
                      <w:rFonts w:hint="default" w:ascii="Times New Roman" w:hAnsi="Times New Roman" w:eastAsia="宋体" w:cs="Times New Roman"/>
                      <w:color w:val="auto"/>
                      <w:kern w:val="0"/>
                      <w:sz w:val="21"/>
                      <w:szCs w:val="21"/>
                      <w:u w:val="none"/>
                    </w:rPr>
                    <w:t>工程静态投资</w:t>
                  </w:r>
                </w:p>
              </w:tc>
              <w:tc>
                <w:tcPr>
                  <w:tcW w:w="887" w:type="dxa"/>
                  <w:tcBorders>
                    <w:tl2br w:val="nil"/>
                    <w:tr2bl w:val="nil"/>
                  </w:tcBorders>
                  <w:vAlign w:val="center"/>
                </w:tcPr>
                <w:p w14:paraId="7F1B5D11">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万元</w:t>
                  </w:r>
                </w:p>
              </w:tc>
              <w:tc>
                <w:tcPr>
                  <w:tcW w:w="2357" w:type="dxa"/>
                  <w:tcBorders>
                    <w:tl2br w:val="nil"/>
                    <w:tr2bl w:val="nil"/>
                  </w:tcBorders>
                  <w:vAlign w:val="center"/>
                </w:tcPr>
                <w:p w14:paraId="42388395">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lang w:val="en-US"/>
                    </w:rPr>
                  </w:pPr>
                  <w:r>
                    <w:rPr>
                      <w:rFonts w:hint="eastAsia" w:cs="Times New Roman"/>
                      <w:color w:val="auto"/>
                      <w:kern w:val="0"/>
                      <w:sz w:val="21"/>
                      <w:szCs w:val="21"/>
                      <w:u w:val="none"/>
                      <w:lang w:val="en-US" w:eastAsia="zh-CN"/>
                    </w:rPr>
                    <w:t>57077.19</w:t>
                  </w:r>
                </w:p>
              </w:tc>
              <w:tc>
                <w:tcPr>
                  <w:tcW w:w="869" w:type="dxa"/>
                  <w:tcBorders>
                    <w:tl2br w:val="nil"/>
                    <w:tr2bl w:val="nil"/>
                  </w:tcBorders>
                  <w:vAlign w:val="center"/>
                </w:tcPr>
                <w:p w14:paraId="1DE7EF31">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lang w:val="en-US" w:eastAsia="zh-CN"/>
                    </w:rPr>
                  </w:pPr>
                </w:p>
              </w:tc>
            </w:tr>
            <w:tr w14:paraId="10BA55C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76" w:type="dxa"/>
                  <w:vMerge w:val="continue"/>
                  <w:tcBorders>
                    <w:tl2br w:val="nil"/>
                    <w:tr2bl w:val="nil"/>
                  </w:tcBorders>
                  <w:vAlign w:val="center"/>
                </w:tcPr>
                <w:p w14:paraId="196DB3C9">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p>
              </w:tc>
              <w:tc>
                <w:tcPr>
                  <w:tcW w:w="3122" w:type="dxa"/>
                  <w:gridSpan w:val="3"/>
                  <w:tcBorders>
                    <w:tl2br w:val="nil"/>
                    <w:tr2bl w:val="nil"/>
                  </w:tcBorders>
                  <w:vAlign w:val="center"/>
                </w:tcPr>
                <w:p w14:paraId="6BDCA234">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工程</w:t>
                  </w:r>
                  <w:r>
                    <w:rPr>
                      <w:rFonts w:hint="default" w:ascii="Times New Roman" w:hAnsi="Times New Roman" w:eastAsia="宋体" w:cs="Times New Roman"/>
                      <w:color w:val="auto"/>
                      <w:kern w:val="0"/>
                      <w:sz w:val="21"/>
                      <w:szCs w:val="21"/>
                      <w:u w:val="none"/>
                      <w:lang w:val="en-US" w:eastAsia="zh-CN"/>
                    </w:rPr>
                    <w:t>动态</w:t>
                  </w:r>
                  <w:r>
                    <w:rPr>
                      <w:rFonts w:hint="default" w:ascii="Times New Roman" w:hAnsi="Times New Roman" w:eastAsia="宋体" w:cs="Times New Roman"/>
                      <w:color w:val="auto"/>
                      <w:kern w:val="0"/>
                      <w:sz w:val="21"/>
                      <w:szCs w:val="21"/>
                      <w:u w:val="none"/>
                    </w:rPr>
                    <w:t>投资</w:t>
                  </w:r>
                </w:p>
              </w:tc>
              <w:tc>
                <w:tcPr>
                  <w:tcW w:w="887" w:type="dxa"/>
                  <w:tcBorders>
                    <w:tl2br w:val="nil"/>
                    <w:tr2bl w:val="nil"/>
                  </w:tcBorders>
                  <w:vAlign w:val="center"/>
                </w:tcPr>
                <w:p w14:paraId="7CC79403">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万元</w:t>
                  </w:r>
                </w:p>
              </w:tc>
              <w:tc>
                <w:tcPr>
                  <w:tcW w:w="2357" w:type="dxa"/>
                  <w:tcBorders>
                    <w:tl2br w:val="nil"/>
                    <w:tr2bl w:val="nil"/>
                  </w:tcBorders>
                  <w:vAlign w:val="center"/>
                </w:tcPr>
                <w:p w14:paraId="17152BCD">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lang w:val="en-US"/>
                    </w:rPr>
                  </w:pPr>
                  <w:r>
                    <w:rPr>
                      <w:rFonts w:hint="eastAsia" w:cs="Times New Roman"/>
                      <w:color w:val="auto"/>
                      <w:kern w:val="0"/>
                      <w:sz w:val="21"/>
                      <w:szCs w:val="21"/>
                      <w:u w:val="none"/>
                      <w:lang w:val="en-US" w:eastAsia="zh-CN"/>
                    </w:rPr>
                    <w:t>5797546</w:t>
                  </w:r>
                </w:p>
              </w:tc>
              <w:tc>
                <w:tcPr>
                  <w:tcW w:w="869" w:type="dxa"/>
                  <w:tcBorders>
                    <w:tl2br w:val="nil"/>
                    <w:tr2bl w:val="nil"/>
                  </w:tcBorders>
                  <w:vAlign w:val="center"/>
                </w:tcPr>
                <w:p w14:paraId="0FE02818">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r>
            <w:tr w14:paraId="76284A0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76" w:type="dxa"/>
                  <w:vMerge w:val="continue"/>
                  <w:tcBorders>
                    <w:tl2br w:val="nil"/>
                    <w:tr2bl w:val="nil"/>
                  </w:tcBorders>
                  <w:vAlign w:val="center"/>
                </w:tcPr>
                <w:p w14:paraId="704B646D">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p>
              </w:tc>
              <w:tc>
                <w:tcPr>
                  <w:tcW w:w="3122" w:type="dxa"/>
                  <w:gridSpan w:val="3"/>
                  <w:tcBorders>
                    <w:tl2br w:val="nil"/>
                    <w:tr2bl w:val="nil"/>
                  </w:tcBorders>
                  <w:vAlign w:val="center"/>
                </w:tcPr>
                <w:p w14:paraId="6052D19D">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单位千瓦静态投资</w:t>
                  </w:r>
                </w:p>
              </w:tc>
              <w:tc>
                <w:tcPr>
                  <w:tcW w:w="887" w:type="dxa"/>
                  <w:tcBorders>
                    <w:tl2br w:val="nil"/>
                    <w:tr2bl w:val="nil"/>
                  </w:tcBorders>
                  <w:vAlign w:val="center"/>
                </w:tcPr>
                <w:p w14:paraId="2BBCFF42">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元/kW</w:t>
                  </w:r>
                </w:p>
              </w:tc>
              <w:tc>
                <w:tcPr>
                  <w:tcW w:w="2357" w:type="dxa"/>
                  <w:tcBorders>
                    <w:tl2br w:val="nil"/>
                    <w:tr2bl w:val="nil"/>
                  </w:tcBorders>
                  <w:vAlign w:val="center"/>
                </w:tcPr>
                <w:p w14:paraId="292B922B">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lang w:val="en-US"/>
                    </w:rPr>
                  </w:pPr>
                  <w:r>
                    <w:rPr>
                      <w:rFonts w:hint="eastAsia" w:cs="Times New Roman"/>
                      <w:color w:val="auto"/>
                      <w:kern w:val="0"/>
                      <w:sz w:val="21"/>
                      <w:szCs w:val="21"/>
                      <w:u w:val="none"/>
                      <w:lang w:val="en-US" w:eastAsia="zh-CN"/>
                    </w:rPr>
                    <w:t>7610.29</w:t>
                  </w:r>
                </w:p>
              </w:tc>
              <w:tc>
                <w:tcPr>
                  <w:tcW w:w="869" w:type="dxa"/>
                  <w:tcBorders>
                    <w:tl2br w:val="nil"/>
                    <w:tr2bl w:val="nil"/>
                  </w:tcBorders>
                  <w:vAlign w:val="center"/>
                </w:tcPr>
                <w:p w14:paraId="3A0BF764">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r>
            <w:tr w14:paraId="200038E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76" w:type="dxa"/>
                  <w:vMerge w:val="continue"/>
                  <w:tcBorders>
                    <w:tl2br w:val="nil"/>
                    <w:tr2bl w:val="nil"/>
                  </w:tcBorders>
                  <w:vAlign w:val="center"/>
                </w:tcPr>
                <w:p w14:paraId="23714799">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p>
              </w:tc>
              <w:tc>
                <w:tcPr>
                  <w:tcW w:w="3122" w:type="dxa"/>
                  <w:gridSpan w:val="3"/>
                  <w:tcBorders>
                    <w:tl2br w:val="nil"/>
                    <w:tr2bl w:val="nil"/>
                  </w:tcBorders>
                  <w:vAlign w:val="center"/>
                </w:tcPr>
                <w:p w14:paraId="3C57B70C">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单位千瓦动态投资</w:t>
                  </w:r>
                </w:p>
              </w:tc>
              <w:tc>
                <w:tcPr>
                  <w:tcW w:w="887" w:type="dxa"/>
                  <w:tcBorders>
                    <w:tl2br w:val="nil"/>
                    <w:tr2bl w:val="nil"/>
                  </w:tcBorders>
                  <w:vAlign w:val="center"/>
                </w:tcPr>
                <w:p w14:paraId="34EC36BD">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元/kW</w:t>
                  </w:r>
                </w:p>
              </w:tc>
              <w:tc>
                <w:tcPr>
                  <w:tcW w:w="2357" w:type="dxa"/>
                  <w:tcBorders>
                    <w:tl2br w:val="nil"/>
                    <w:tr2bl w:val="nil"/>
                  </w:tcBorders>
                  <w:vAlign w:val="center"/>
                </w:tcPr>
                <w:p w14:paraId="20B1B20F">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lang w:val="en-US"/>
                    </w:rPr>
                  </w:pPr>
                  <w:r>
                    <w:rPr>
                      <w:rFonts w:hint="eastAsia" w:cs="Times New Roman"/>
                      <w:color w:val="auto"/>
                      <w:kern w:val="0"/>
                      <w:sz w:val="21"/>
                      <w:szCs w:val="21"/>
                      <w:u w:val="none"/>
                      <w:lang w:val="en-US" w:eastAsia="zh-CN"/>
                    </w:rPr>
                    <w:t>7730.06</w:t>
                  </w:r>
                </w:p>
              </w:tc>
              <w:tc>
                <w:tcPr>
                  <w:tcW w:w="869" w:type="dxa"/>
                  <w:tcBorders>
                    <w:tl2br w:val="nil"/>
                    <w:tr2bl w:val="nil"/>
                  </w:tcBorders>
                  <w:vAlign w:val="center"/>
                </w:tcPr>
                <w:p w14:paraId="5A3B0ABC">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r>
            <w:tr w14:paraId="5130732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76" w:type="dxa"/>
                  <w:vMerge w:val="continue"/>
                  <w:tcBorders>
                    <w:tl2br w:val="nil"/>
                    <w:tr2bl w:val="nil"/>
                  </w:tcBorders>
                  <w:vAlign w:val="center"/>
                </w:tcPr>
                <w:p w14:paraId="7BA57864">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c>
                <w:tcPr>
                  <w:tcW w:w="3122" w:type="dxa"/>
                  <w:gridSpan w:val="3"/>
                  <w:tcBorders>
                    <w:tl2br w:val="nil"/>
                    <w:tr2bl w:val="nil"/>
                  </w:tcBorders>
                  <w:vAlign w:val="center"/>
                </w:tcPr>
                <w:p w14:paraId="1C152C2D">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施工辅助工程</w:t>
                  </w:r>
                </w:p>
              </w:tc>
              <w:tc>
                <w:tcPr>
                  <w:tcW w:w="887" w:type="dxa"/>
                  <w:tcBorders>
                    <w:tl2br w:val="nil"/>
                    <w:tr2bl w:val="nil"/>
                  </w:tcBorders>
                  <w:vAlign w:val="center"/>
                </w:tcPr>
                <w:p w14:paraId="3129FB4F">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万元</w:t>
                  </w:r>
                </w:p>
              </w:tc>
              <w:tc>
                <w:tcPr>
                  <w:tcW w:w="2357" w:type="dxa"/>
                  <w:tcBorders>
                    <w:tl2br w:val="nil"/>
                    <w:tr2bl w:val="nil"/>
                  </w:tcBorders>
                  <w:vAlign w:val="center"/>
                </w:tcPr>
                <w:p w14:paraId="03705964">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lang w:val="en-US"/>
                    </w:rPr>
                  </w:pPr>
                  <w:r>
                    <w:rPr>
                      <w:rFonts w:hint="eastAsia" w:cs="Times New Roman"/>
                      <w:color w:val="auto"/>
                      <w:kern w:val="0"/>
                      <w:sz w:val="21"/>
                      <w:szCs w:val="21"/>
                      <w:u w:val="none"/>
                      <w:lang w:val="en-US" w:eastAsia="zh-CN"/>
                    </w:rPr>
                    <w:t>1652.13</w:t>
                  </w:r>
                </w:p>
              </w:tc>
              <w:tc>
                <w:tcPr>
                  <w:tcW w:w="869" w:type="dxa"/>
                  <w:tcBorders>
                    <w:tl2br w:val="nil"/>
                    <w:tr2bl w:val="nil"/>
                  </w:tcBorders>
                  <w:vAlign w:val="center"/>
                </w:tcPr>
                <w:p w14:paraId="765F36AC">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r>
            <w:tr w14:paraId="2F88A7E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76" w:type="dxa"/>
                  <w:vMerge w:val="continue"/>
                  <w:tcBorders>
                    <w:tl2br w:val="nil"/>
                    <w:tr2bl w:val="nil"/>
                  </w:tcBorders>
                  <w:vAlign w:val="center"/>
                </w:tcPr>
                <w:p w14:paraId="39079166">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c>
                <w:tcPr>
                  <w:tcW w:w="3122" w:type="dxa"/>
                  <w:gridSpan w:val="3"/>
                  <w:tcBorders>
                    <w:tl2br w:val="nil"/>
                    <w:tr2bl w:val="nil"/>
                  </w:tcBorders>
                  <w:vAlign w:val="center"/>
                </w:tcPr>
                <w:p w14:paraId="73B8CFA3">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设备及安装工程</w:t>
                  </w:r>
                </w:p>
              </w:tc>
              <w:tc>
                <w:tcPr>
                  <w:tcW w:w="887" w:type="dxa"/>
                  <w:tcBorders>
                    <w:tl2br w:val="nil"/>
                    <w:tr2bl w:val="nil"/>
                  </w:tcBorders>
                  <w:vAlign w:val="center"/>
                </w:tcPr>
                <w:p w14:paraId="563CF86D">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万元</w:t>
                  </w:r>
                </w:p>
              </w:tc>
              <w:tc>
                <w:tcPr>
                  <w:tcW w:w="2357" w:type="dxa"/>
                  <w:tcBorders>
                    <w:tl2br w:val="nil"/>
                    <w:tr2bl w:val="nil"/>
                  </w:tcBorders>
                  <w:vAlign w:val="center"/>
                </w:tcPr>
                <w:p w14:paraId="4BCB48B9">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lang w:val="en-US"/>
                    </w:rPr>
                  </w:pPr>
                  <w:r>
                    <w:rPr>
                      <w:rFonts w:hint="eastAsia" w:cs="Times New Roman"/>
                      <w:color w:val="auto"/>
                      <w:kern w:val="0"/>
                      <w:sz w:val="21"/>
                      <w:szCs w:val="21"/>
                      <w:u w:val="none"/>
                      <w:lang w:val="en-US" w:eastAsia="zh-CN"/>
                    </w:rPr>
                    <w:t>26475.91</w:t>
                  </w:r>
                </w:p>
              </w:tc>
              <w:tc>
                <w:tcPr>
                  <w:tcW w:w="869" w:type="dxa"/>
                  <w:tcBorders>
                    <w:tl2br w:val="nil"/>
                    <w:tr2bl w:val="nil"/>
                  </w:tcBorders>
                  <w:vAlign w:val="center"/>
                </w:tcPr>
                <w:p w14:paraId="246A8DF1">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r>
            <w:tr w14:paraId="49EAF6B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76" w:type="dxa"/>
                  <w:vMerge w:val="continue"/>
                  <w:tcBorders>
                    <w:tl2br w:val="nil"/>
                    <w:tr2bl w:val="nil"/>
                  </w:tcBorders>
                  <w:vAlign w:val="center"/>
                </w:tcPr>
                <w:p w14:paraId="448D2DAC">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c>
                <w:tcPr>
                  <w:tcW w:w="3122" w:type="dxa"/>
                  <w:gridSpan w:val="3"/>
                  <w:tcBorders>
                    <w:tl2br w:val="nil"/>
                    <w:tr2bl w:val="nil"/>
                  </w:tcBorders>
                  <w:vAlign w:val="center"/>
                </w:tcPr>
                <w:p w14:paraId="2F7FBB04">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建筑工程</w:t>
                  </w:r>
                </w:p>
              </w:tc>
              <w:tc>
                <w:tcPr>
                  <w:tcW w:w="887" w:type="dxa"/>
                  <w:tcBorders>
                    <w:tl2br w:val="nil"/>
                    <w:tr2bl w:val="nil"/>
                  </w:tcBorders>
                  <w:vAlign w:val="center"/>
                </w:tcPr>
                <w:p w14:paraId="5D9EEDB7">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万元</w:t>
                  </w:r>
                </w:p>
              </w:tc>
              <w:tc>
                <w:tcPr>
                  <w:tcW w:w="2357" w:type="dxa"/>
                  <w:tcBorders>
                    <w:tl2br w:val="nil"/>
                    <w:tr2bl w:val="nil"/>
                  </w:tcBorders>
                  <w:vAlign w:val="center"/>
                </w:tcPr>
                <w:p w14:paraId="67873346">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lang w:val="en-US"/>
                    </w:rPr>
                  </w:pPr>
                  <w:r>
                    <w:rPr>
                      <w:rFonts w:hint="eastAsia" w:cs="Times New Roman"/>
                      <w:color w:val="auto"/>
                      <w:kern w:val="0"/>
                      <w:sz w:val="21"/>
                      <w:szCs w:val="21"/>
                      <w:u w:val="none"/>
                      <w:lang w:val="en-US" w:eastAsia="zh-CN"/>
                    </w:rPr>
                    <w:t>13962.15</w:t>
                  </w:r>
                </w:p>
              </w:tc>
              <w:tc>
                <w:tcPr>
                  <w:tcW w:w="869" w:type="dxa"/>
                  <w:tcBorders>
                    <w:tl2br w:val="nil"/>
                    <w:tr2bl w:val="nil"/>
                  </w:tcBorders>
                  <w:vAlign w:val="center"/>
                </w:tcPr>
                <w:p w14:paraId="2A99F2AC">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r>
            <w:tr w14:paraId="749ED32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76" w:type="dxa"/>
                  <w:vMerge w:val="restart"/>
                  <w:tcBorders>
                    <w:tl2br w:val="nil"/>
                    <w:tr2bl w:val="nil"/>
                  </w:tcBorders>
                  <w:vAlign w:val="center"/>
                </w:tcPr>
                <w:p w14:paraId="4B39A4B4">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r>
                    <w:rPr>
                      <w:rFonts w:hint="default" w:ascii="Times New Roman" w:hAnsi="Times New Roman" w:eastAsia="宋体" w:cs="Times New Roman"/>
                      <w:color w:val="auto"/>
                      <w:kern w:val="0"/>
                      <w:sz w:val="21"/>
                      <w:szCs w:val="21"/>
                      <w:u w:val="none"/>
                    </w:rPr>
                    <w:t>经济指标</w:t>
                  </w:r>
                </w:p>
              </w:tc>
              <w:tc>
                <w:tcPr>
                  <w:tcW w:w="3122" w:type="dxa"/>
                  <w:gridSpan w:val="3"/>
                  <w:tcBorders>
                    <w:tl2br w:val="nil"/>
                    <w:tr2bl w:val="nil"/>
                  </w:tcBorders>
                  <w:vAlign w:val="center"/>
                </w:tcPr>
                <w:p w14:paraId="0E1A5268">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其它费用</w:t>
                  </w:r>
                </w:p>
              </w:tc>
              <w:tc>
                <w:tcPr>
                  <w:tcW w:w="887" w:type="dxa"/>
                  <w:tcBorders>
                    <w:tl2br w:val="nil"/>
                    <w:tr2bl w:val="nil"/>
                  </w:tcBorders>
                  <w:vAlign w:val="center"/>
                </w:tcPr>
                <w:p w14:paraId="169C2316">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万元</w:t>
                  </w:r>
                </w:p>
              </w:tc>
              <w:tc>
                <w:tcPr>
                  <w:tcW w:w="2357" w:type="dxa"/>
                  <w:tcBorders>
                    <w:tl2br w:val="nil"/>
                    <w:tr2bl w:val="nil"/>
                  </w:tcBorders>
                  <w:vAlign w:val="center"/>
                </w:tcPr>
                <w:p w14:paraId="33497DA6">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lang w:val="en-US"/>
                    </w:rPr>
                  </w:pPr>
                  <w:r>
                    <w:rPr>
                      <w:rFonts w:hint="eastAsia" w:cs="Times New Roman"/>
                      <w:color w:val="auto"/>
                      <w:kern w:val="0"/>
                      <w:sz w:val="21"/>
                      <w:szCs w:val="21"/>
                      <w:u w:val="none"/>
                      <w:lang w:val="en-US" w:eastAsia="zh-CN"/>
                    </w:rPr>
                    <w:t>9456.08</w:t>
                  </w:r>
                </w:p>
              </w:tc>
              <w:tc>
                <w:tcPr>
                  <w:tcW w:w="869" w:type="dxa"/>
                  <w:tcBorders>
                    <w:tl2br w:val="nil"/>
                    <w:tr2bl w:val="nil"/>
                  </w:tcBorders>
                  <w:vAlign w:val="center"/>
                </w:tcPr>
                <w:p w14:paraId="67FDF57E">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r>
            <w:tr w14:paraId="7604D32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76" w:type="dxa"/>
                  <w:vMerge w:val="continue"/>
                  <w:tcBorders>
                    <w:tl2br w:val="nil"/>
                    <w:tr2bl w:val="nil"/>
                  </w:tcBorders>
                  <w:vAlign w:val="center"/>
                </w:tcPr>
                <w:p w14:paraId="30B38C6C">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c>
                <w:tcPr>
                  <w:tcW w:w="3122" w:type="dxa"/>
                  <w:gridSpan w:val="3"/>
                  <w:tcBorders>
                    <w:tl2br w:val="nil"/>
                    <w:tr2bl w:val="nil"/>
                  </w:tcBorders>
                  <w:vAlign w:val="center"/>
                </w:tcPr>
                <w:p w14:paraId="0852D50A">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基本预备费</w:t>
                  </w:r>
                </w:p>
              </w:tc>
              <w:tc>
                <w:tcPr>
                  <w:tcW w:w="887" w:type="dxa"/>
                  <w:tcBorders>
                    <w:tl2br w:val="nil"/>
                    <w:tr2bl w:val="nil"/>
                  </w:tcBorders>
                  <w:vAlign w:val="center"/>
                </w:tcPr>
                <w:p w14:paraId="772EA356">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万元</w:t>
                  </w:r>
                </w:p>
              </w:tc>
              <w:tc>
                <w:tcPr>
                  <w:tcW w:w="2357" w:type="dxa"/>
                  <w:tcBorders>
                    <w:tl2br w:val="nil"/>
                    <w:tr2bl w:val="nil"/>
                  </w:tcBorders>
                  <w:vAlign w:val="center"/>
                </w:tcPr>
                <w:p w14:paraId="1BD5D884">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lang w:val="en-US"/>
                    </w:rPr>
                  </w:pPr>
                  <w:r>
                    <w:rPr>
                      <w:rFonts w:hint="eastAsia" w:cs="Times New Roman"/>
                      <w:color w:val="auto"/>
                      <w:kern w:val="0"/>
                      <w:sz w:val="21"/>
                      <w:szCs w:val="21"/>
                      <w:u w:val="none"/>
                      <w:lang w:val="en-US" w:eastAsia="zh-CN"/>
                    </w:rPr>
                    <w:t>1030.93</w:t>
                  </w:r>
                </w:p>
              </w:tc>
              <w:tc>
                <w:tcPr>
                  <w:tcW w:w="869" w:type="dxa"/>
                  <w:tcBorders>
                    <w:tl2br w:val="nil"/>
                    <w:tr2bl w:val="nil"/>
                  </w:tcBorders>
                  <w:vAlign w:val="center"/>
                </w:tcPr>
                <w:p w14:paraId="5316350C">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r>
            <w:tr w14:paraId="6E63739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76" w:type="dxa"/>
                  <w:vMerge w:val="continue"/>
                  <w:tcBorders>
                    <w:tl2br w:val="nil"/>
                    <w:tr2bl w:val="nil"/>
                  </w:tcBorders>
                  <w:vAlign w:val="center"/>
                </w:tcPr>
                <w:p w14:paraId="020C0D20">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c>
                <w:tcPr>
                  <w:tcW w:w="3122" w:type="dxa"/>
                  <w:gridSpan w:val="3"/>
                  <w:tcBorders>
                    <w:tl2br w:val="nil"/>
                    <w:tr2bl w:val="nil"/>
                  </w:tcBorders>
                  <w:vAlign w:val="center"/>
                </w:tcPr>
                <w:p w14:paraId="01CE539D">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lang w:val="en-US" w:eastAsia="zh-CN"/>
                    </w:rPr>
                  </w:pPr>
                  <w:r>
                    <w:rPr>
                      <w:rFonts w:hint="eastAsia" w:cs="Times New Roman"/>
                      <w:color w:val="auto"/>
                      <w:kern w:val="0"/>
                      <w:sz w:val="21"/>
                      <w:szCs w:val="21"/>
                      <w:u w:val="none"/>
                      <w:lang w:val="en-US" w:eastAsia="zh-CN"/>
                    </w:rPr>
                    <w:t>送出工程</w:t>
                  </w:r>
                </w:p>
              </w:tc>
              <w:tc>
                <w:tcPr>
                  <w:tcW w:w="887" w:type="dxa"/>
                  <w:tcBorders>
                    <w:tl2br w:val="nil"/>
                    <w:tr2bl w:val="nil"/>
                  </w:tcBorders>
                  <w:vAlign w:val="center"/>
                </w:tcPr>
                <w:p w14:paraId="574F665F">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lang w:val="en-US" w:eastAsia="zh-CN"/>
                    </w:rPr>
                  </w:pPr>
                  <w:r>
                    <w:rPr>
                      <w:rFonts w:hint="default" w:ascii="Times New Roman" w:hAnsi="Times New Roman" w:eastAsia="宋体" w:cs="Times New Roman"/>
                      <w:color w:val="auto"/>
                      <w:kern w:val="0"/>
                      <w:sz w:val="21"/>
                      <w:szCs w:val="21"/>
                      <w:u w:val="none"/>
                      <w:lang w:val="en-US" w:eastAsia="zh-CN"/>
                    </w:rPr>
                    <w:t>万元</w:t>
                  </w:r>
                </w:p>
              </w:tc>
              <w:tc>
                <w:tcPr>
                  <w:tcW w:w="2357" w:type="dxa"/>
                  <w:tcBorders>
                    <w:tl2br w:val="nil"/>
                    <w:tr2bl w:val="nil"/>
                  </w:tcBorders>
                  <w:vAlign w:val="center"/>
                </w:tcPr>
                <w:p w14:paraId="6F909C3F">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lang w:val="en-US" w:eastAsia="zh-CN"/>
                    </w:rPr>
                  </w:pPr>
                  <w:r>
                    <w:rPr>
                      <w:rFonts w:hint="eastAsia" w:cs="Times New Roman"/>
                      <w:color w:val="auto"/>
                      <w:kern w:val="0"/>
                      <w:sz w:val="21"/>
                      <w:szCs w:val="21"/>
                      <w:u w:val="none"/>
                      <w:lang w:val="en-US" w:eastAsia="zh-CN"/>
                    </w:rPr>
                    <w:t>4500.00</w:t>
                  </w:r>
                </w:p>
              </w:tc>
              <w:tc>
                <w:tcPr>
                  <w:tcW w:w="869" w:type="dxa"/>
                  <w:tcBorders>
                    <w:tl2br w:val="nil"/>
                    <w:tr2bl w:val="nil"/>
                  </w:tcBorders>
                  <w:vAlign w:val="center"/>
                </w:tcPr>
                <w:p w14:paraId="075BDEE1">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r>
            <w:tr w14:paraId="0C1BE68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76" w:type="dxa"/>
                  <w:vMerge w:val="continue"/>
                  <w:tcBorders>
                    <w:tl2br w:val="nil"/>
                    <w:tr2bl w:val="nil"/>
                  </w:tcBorders>
                  <w:vAlign w:val="center"/>
                </w:tcPr>
                <w:p w14:paraId="11DD38B8">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c>
                <w:tcPr>
                  <w:tcW w:w="3122" w:type="dxa"/>
                  <w:gridSpan w:val="3"/>
                  <w:tcBorders>
                    <w:tl2br w:val="nil"/>
                    <w:tr2bl w:val="nil"/>
                  </w:tcBorders>
                  <w:vAlign w:val="center"/>
                </w:tcPr>
                <w:p w14:paraId="5AEB482A">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lang w:val="en-US" w:eastAsia="zh-CN"/>
                    </w:rPr>
                  </w:pPr>
                  <w:r>
                    <w:rPr>
                      <w:rFonts w:hint="eastAsia" w:cs="Times New Roman"/>
                      <w:color w:val="auto"/>
                      <w:kern w:val="0"/>
                      <w:sz w:val="21"/>
                      <w:szCs w:val="21"/>
                      <w:u w:val="none"/>
                      <w:lang w:val="en-US" w:eastAsia="zh-CN"/>
                    </w:rPr>
                    <w:t>装机容量</w:t>
                  </w:r>
                </w:p>
              </w:tc>
              <w:tc>
                <w:tcPr>
                  <w:tcW w:w="887" w:type="dxa"/>
                  <w:tcBorders>
                    <w:tl2br w:val="nil"/>
                    <w:tr2bl w:val="nil"/>
                  </w:tcBorders>
                  <w:vAlign w:val="center"/>
                </w:tcPr>
                <w:p w14:paraId="115FDF79">
                  <w:pPr>
                    <w:adjustRightInd w:val="0"/>
                    <w:snapToGrid w:val="0"/>
                    <w:spacing w:before="24" w:beforeLines="10" w:after="24" w:afterLines="10" w:line="240" w:lineRule="auto"/>
                    <w:jc w:val="center"/>
                    <w:rPr>
                      <w:rFonts w:hint="eastAsia" w:ascii="Times New Roman" w:hAnsi="Times New Roman" w:eastAsia="宋体" w:cs="Times New Roman"/>
                      <w:color w:val="auto"/>
                      <w:kern w:val="0"/>
                      <w:sz w:val="21"/>
                      <w:szCs w:val="21"/>
                      <w:u w:val="none"/>
                      <w:lang w:val="en-US" w:eastAsia="zh-CN"/>
                    </w:rPr>
                  </w:pPr>
                  <w:r>
                    <w:rPr>
                      <w:rFonts w:hint="eastAsia" w:cs="Times New Roman"/>
                      <w:color w:val="auto"/>
                      <w:kern w:val="0"/>
                      <w:sz w:val="21"/>
                      <w:szCs w:val="21"/>
                      <w:u w:val="none"/>
                      <w:lang w:val="en-US" w:eastAsia="zh-CN"/>
                    </w:rPr>
                    <w:t>MW</w:t>
                  </w:r>
                </w:p>
              </w:tc>
              <w:tc>
                <w:tcPr>
                  <w:tcW w:w="2357" w:type="dxa"/>
                  <w:tcBorders>
                    <w:tl2br w:val="nil"/>
                    <w:tr2bl w:val="nil"/>
                  </w:tcBorders>
                  <w:vAlign w:val="center"/>
                </w:tcPr>
                <w:p w14:paraId="6E402B54">
                  <w:pPr>
                    <w:adjustRightInd w:val="0"/>
                    <w:snapToGrid w:val="0"/>
                    <w:spacing w:before="24" w:beforeLines="10" w:after="24" w:afterLines="10" w:line="240" w:lineRule="auto"/>
                    <w:jc w:val="center"/>
                    <w:rPr>
                      <w:rFonts w:hint="default"/>
                      <w:color w:val="auto"/>
                      <w:kern w:val="0"/>
                      <w:sz w:val="21"/>
                      <w:szCs w:val="21"/>
                      <w:u w:val="none"/>
                      <w:lang w:val="en-US" w:eastAsia="zh-CN"/>
                    </w:rPr>
                  </w:pPr>
                  <w:r>
                    <w:rPr>
                      <w:rFonts w:hint="eastAsia"/>
                      <w:color w:val="auto"/>
                      <w:kern w:val="0"/>
                      <w:sz w:val="21"/>
                      <w:szCs w:val="21"/>
                      <w:u w:val="none"/>
                      <w:lang w:val="en-US" w:eastAsia="zh-CN"/>
                    </w:rPr>
                    <w:t>75</w:t>
                  </w:r>
                </w:p>
              </w:tc>
              <w:tc>
                <w:tcPr>
                  <w:tcW w:w="869" w:type="dxa"/>
                  <w:tcBorders>
                    <w:tl2br w:val="nil"/>
                    <w:tr2bl w:val="nil"/>
                  </w:tcBorders>
                  <w:vAlign w:val="center"/>
                </w:tcPr>
                <w:p w14:paraId="467769E5">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r>
            <w:tr w14:paraId="4BCACDA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76" w:type="dxa"/>
                  <w:vMerge w:val="continue"/>
                  <w:tcBorders>
                    <w:tl2br w:val="nil"/>
                    <w:tr2bl w:val="nil"/>
                  </w:tcBorders>
                  <w:vAlign w:val="center"/>
                </w:tcPr>
                <w:p w14:paraId="4A4998C2">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c>
                <w:tcPr>
                  <w:tcW w:w="3122" w:type="dxa"/>
                  <w:gridSpan w:val="3"/>
                  <w:tcBorders>
                    <w:tl2br w:val="nil"/>
                    <w:tr2bl w:val="nil"/>
                  </w:tcBorders>
                  <w:vAlign w:val="center"/>
                </w:tcPr>
                <w:p w14:paraId="3C4F096F">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年上网电量</w:t>
                  </w:r>
                </w:p>
              </w:tc>
              <w:tc>
                <w:tcPr>
                  <w:tcW w:w="887" w:type="dxa"/>
                  <w:tcBorders>
                    <w:tl2br w:val="nil"/>
                    <w:tr2bl w:val="nil"/>
                  </w:tcBorders>
                  <w:vAlign w:val="center"/>
                </w:tcPr>
                <w:p w14:paraId="6D76A2DE">
                  <w:pPr>
                    <w:adjustRightInd w:val="0"/>
                    <w:snapToGrid w:val="0"/>
                    <w:spacing w:before="24" w:beforeLines="10" w:after="24" w:afterLines="10" w:line="240" w:lineRule="auto"/>
                    <w:jc w:val="center"/>
                    <w:rPr>
                      <w:rFonts w:hint="default" w:ascii="Times New Roman" w:hAnsi="Times New Roman" w:eastAsia="宋体" w:cs="Times New Roman"/>
                      <w:color w:val="000000" w:themeColor="text1"/>
                      <w:kern w:val="0"/>
                      <w:sz w:val="21"/>
                      <w:szCs w:val="21"/>
                      <w:u w:val="none"/>
                      <w14:textFill>
                        <w14:solidFill>
                          <w14:schemeClr w14:val="tx1"/>
                        </w14:solidFill>
                      </w14:textFill>
                    </w:rPr>
                  </w:pPr>
                  <w:r>
                    <w:rPr>
                      <w:rFonts w:hint="eastAsia" w:cs="Times New Roman"/>
                      <w:color w:val="000000" w:themeColor="text1"/>
                      <w:kern w:val="0"/>
                      <w:sz w:val="21"/>
                      <w:szCs w:val="21"/>
                      <w:u w:val="none"/>
                      <w:lang w:val="en-US" w:eastAsia="zh-CN"/>
                      <w14:textFill>
                        <w14:solidFill>
                          <w14:schemeClr w14:val="tx1"/>
                        </w14:solidFill>
                      </w14:textFill>
                    </w:rPr>
                    <w:t>M</w:t>
                  </w:r>
                  <w:r>
                    <w:rPr>
                      <w:rFonts w:hint="default" w:ascii="Times New Roman" w:hAnsi="Times New Roman" w:eastAsia="宋体" w:cs="Times New Roman"/>
                      <w:color w:val="000000" w:themeColor="text1"/>
                      <w:kern w:val="0"/>
                      <w:sz w:val="21"/>
                      <w:szCs w:val="21"/>
                      <w:u w:val="none"/>
                      <w14:textFill>
                        <w14:solidFill>
                          <w14:schemeClr w14:val="tx1"/>
                        </w14:solidFill>
                      </w14:textFill>
                    </w:rPr>
                    <w:t>W·h</w:t>
                  </w:r>
                </w:p>
              </w:tc>
              <w:tc>
                <w:tcPr>
                  <w:tcW w:w="2357" w:type="dxa"/>
                  <w:tcBorders>
                    <w:tl2br w:val="nil"/>
                    <w:tr2bl w:val="nil"/>
                  </w:tcBorders>
                  <w:vAlign w:val="center"/>
                </w:tcPr>
                <w:p w14:paraId="6C335D4B">
                  <w:pPr>
                    <w:adjustRightInd w:val="0"/>
                    <w:snapToGrid w:val="0"/>
                    <w:spacing w:before="24" w:beforeLines="10" w:after="24" w:afterLines="10" w:line="240" w:lineRule="auto"/>
                    <w:jc w:val="center"/>
                    <w:rPr>
                      <w:rFonts w:hint="default" w:ascii="Times New Roman" w:hAnsi="Times New Roman" w:eastAsia="宋体" w:cs="Times New Roman"/>
                      <w:color w:val="000000" w:themeColor="text1"/>
                      <w:kern w:val="0"/>
                      <w:sz w:val="21"/>
                      <w:szCs w:val="21"/>
                      <w:u w:val="none"/>
                      <w:lang w:val="en-US"/>
                      <w14:textFill>
                        <w14:solidFill>
                          <w14:schemeClr w14:val="tx1"/>
                        </w14:solidFill>
                      </w14:textFill>
                    </w:rPr>
                  </w:pPr>
                  <w:r>
                    <w:rPr>
                      <w:rFonts w:hint="eastAsia"/>
                      <w:color w:val="000000" w:themeColor="text1"/>
                      <w:kern w:val="0"/>
                      <w:sz w:val="21"/>
                      <w:szCs w:val="21"/>
                      <w:u w:val="none"/>
                      <w:lang w:val="en-US" w:eastAsia="zh-CN"/>
                      <w14:textFill>
                        <w14:solidFill>
                          <w14:schemeClr w14:val="tx1"/>
                        </w14:solidFill>
                      </w14:textFill>
                    </w:rPr>
                    <w:t>181500</w:t>
                  </w:r>
                </w:p>
              </w:tc>
              <w:tc>
                <w:tcPr>
                  <w:tcW w:w="869" w:type="dxa"/>
                  <w:tcBorders>
                    <w:tl2br w:val="nil"/>
                    <w:tr2bl w:val="nil"/>
                  </w:tcBorders>
                  <w:vAlign w:val="center"/>
                </w:tcPr>
                <w:p w14:paraId="765A2658">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r>
            <w:tr w14:paraId="68916D9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76" w:type="dxa"/>
                  <w:vMerge w:val="continue"/>
                  <w:tcBorders>
                    <w:tl2br w:val="nil"/>
                    <w:tr2bl w:val="nil"/>
                  </w:tcBorders>
                  <w:vAlign w:val="center"/>
                </w:tcPr>
                <w:p w14:paraId="5D066194">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c>
                <w:tcPr>
                  <w:tcW w:w="3122" w:type="dxa"/>
                  <w:gridSpan w:val="3"/>
                  <w:tcBorders>
                    <w:tl2br w:val="nil"/>
                    <w:tr2bl w:val="nil"/>
                  </w:tcBorders>
                  <w:vAlign w:val="center"/>
                </w:tcPr>
                <w:p w14:paraId="7CFD62DD">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年等效满负荷小时数</w:t>
                  </w:r>
                </w:p>
              </w:tc>
              <w:tc>
                <w:tcPr>
                  <w:tcW w:w="887" w:type="dxa"/>
                  <w:tcBorders>
                    <w:tl2br w:val="nil"/>
                    <w:tr2bl w:val="nil"/>
                  </w:tcBorders>
                  <w:vAlign w:val="center"/>
                </w:tcPr>
                <w:p w14:paraId="406B5E22">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h</w:t>
                  </w:r>
                </w:p>
              </w:tc>
              <w:tc>
                <w:tcPr>
                  <w:tcW w:w="2357" w:type="dxa"/>
                  <w:tcBorders>
                    <w:tl2br w:val="nil"/>
                    <w:tr2bl w:val="nil"/>
                  </w:tcBorders>
                  <w:vAlign w:val="center"/>
                </w:tcPr>
                <w:p w14:paraId="73E01D59">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lang w:val="en-US" w:eastAsia="zh-CN"/>
                    </w:rPr>
                  </w:pPr>
                  <w:r>
                    <w:rPr>
                      <w:rFonts w:hint="eastAsia" w:cs="Times New Roman"/>
                      <w:color w:val="auto"/>
                      <w:kern w:val="0"/>
                      <w:sz w:val="21"/>
                      <w:szCs w:val="21"/>
                      <w:u w:val="none"/>
                      <w:lang w:val="en-US" w:eastAsia="zh-CN"/>
                    </w:rPr>
                    <w:t>2180</w:t>
                  </w:r>
                </w:p>
              </w:tc>
              <w:tc>
                <w:tcPr>
                  <w:tcW w:w="869" w:type="dxa"/>
                  <w:tcBorders>
                    <w:tl2br w:val="nil"/>
                    <w:tr2bl w:val="nil"/>
                  </w:tcBorders>
                  <w:vAlign w:val="center"/>
                </w:tcPr>
                <w:p w14:paraId="134A3642">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r>
            <w:tr w14:paraId="6438E5A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76" w:type="dxa"/>
                  <w:vMerge w:val="continue"/>
                  <w:tcBorders>
                    <w:tl2br w:val="nil"/>
                    <w:tr2bl w:val="nil"/>
                  </w:tcBorders>
                  <w:vAlign w:val="center"/>
                </w:tcPr>
                <w:p w14:paraId="53B82CB5">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c>
                <w:tcPr>
                  <w:tcW w:w="3122" w:type="dxa"/>
                  <w:gridSpan w:val="3"/>
                  <w:tcBorders>
                    <w:tl2br w:val="nil"/>
                    <w:tr2bl w:val="nil"/>
                  </w:tcBorders>
                  <w:vAlign w:val="center"/>
                </w:tcPr>
                <w:p w14:paraId="07CADE43">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r>
                    <w:rPr>
                      <w:rFonts w:hint="eastAsia" w:cs="Times New Roman"/>
                      <w:color w:val="auto"/>
                      <w:kern w:val="0"/>
                      <w:sz w:val="21"/>
                      <w:szCs w:val="21"/>
                      <w:u w:val="none"/>
                      <w:lang w:val="en-US" w:eastAsia="zh-CN"/>
                    </w:rPr>
                    <w:t>经营期</w:t>
                  </w:r>
                  <w:r>
                    <w:rPr>
                      <w:rFonts w:hint="default" w:ascii="Times New Roman" w:hAnsi="Times New Roman" w:eastAsia="宋体" w:cs="Times New Roman"/>
                      <w:color w:val="auto"/>
                      <w:kern w:val="0"/>
                      <w:sz w:val="21"/>
                      <w:szCs w:val="21"/>
                      <w:u w:val="none"/>
                    </w:rPr>
                    <w:t>平均上网电价</w:t>
                  </w:r>
                </w:p>
                <w:p w14:paraId="3C130EB6">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w:t>
                  </w:r>
                  <w:r>
                    <w:rPr>
                      <w:rFonts w:hint="eastAsia" w:cs="Times New Roman"/>
                      <w:color w:val="auto"/>
                      <w:kern w:val="0"/>
                      <w:sz w:val="21"/>
                      <w:szCs w:val="21"/>
                      <w:u w:val="none"/>
                      <w:lang w:val="en-US" w:eastAsia="zh-CN"/>
                    </w:rPr>
                    <w:t>不含增值税</w:t>
                  </w:r>
                  <w:r>
                    <w:rPr>
                      <w:rFonts w:hint="default" w:ascii="Times New Roman" w:hAnsi="Times New Roman" w:eastAsia="宋体" w:cs="Times New Roman"/>
                      <w:color w:val="auto"/>
                      <w:kern w:val="0"/>
                      <w:sz w:val="21"/>
                      <w:szCs w:val="21"/>
                      <w:u w:val="none"/>
                    </w:rPr>
                    <w:t>）</w:t>
                  </w:r>
                </w:p>
              </w:tc>
              <w:tc>
                <w:tcPr>
                  <w:tcW w:w="887" w:type="dxa"/>
                  <w:tcBorders>
                    <w:tl2br w:val="nil"/>
                    <w:tr2bl w:val="nil"/>
                  </w:tcBorders>
                  <w:vAlign w:val="center"/>
                </w:tcPr>
                <w:p w14:paraId="2C49B7B8">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元/kW·h</w:t>
                  </w:r>
                </w:p>
              </w:tc>
              <w:tc>
                <w:tcPr>
                  <w:tcW w:w="2357" w:type="dxa"/>
                  <w:tcBorders>
                    <w:tl2br w:val="nil"/>
                    <w:tr2bl w:val="nil"/>
                  </w:tcBorders>
                  <w:vAlign w:val="center"/>
                </w:tcPr>
                <w:p w14:paraId="76356E2F">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lang w:val="en-US"/>
                    </w:rPr>
                  </w:pPr>
                  <w:r>
                    <w:rPr>
                      <w:rFonts w:hint="eastAsia" w:cs="Times New Roman"/>
                      <w:color w:val="auto"/>
                      <w:kern w:val="0"/>
                      <w:sz w:val="21"/>
                      <w:szCs w:val="21"/>
                      <w:u w:val="none"/>
                      <w:lang w:val="en-US" w:eastAsia="zh-CN"/>
                    </w:rPr>
                    <w:t>0.3726</w:t>
                  </w:r>
                </w:p>
              </w:tc>
              <w:tc>
                <w:tcPr>
                  <w:tcW w:w="869" w:type="dxa"/>
                  <w:tcBorders>
                    <w:tl2br w:val="nil"/>
                    <w:tr2bl w:val="nil"/>
                  </w:tcBorders>
                  <w:vAlign w:val="center"/>
                </w:tcPr>
                <w:p w14:paraId="68A80633">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r>
            <w:tr w14:paraId="7165D63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76" w:type="dxa"/>
                  <w:vMerge w:val="continue"/>
                  <w:tcBorders>
                    <w:tl2br w:val="nil"/>
                    <w:tr2bl w:val="nil"/>
                  </w:tcBorders>
                  <w:vAlign w:val="center"/>
                </w:tcPr>
                <w:p w14:paraId="3FB3806B">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c>
                <w:tcPr>
                  <w:tcW w:w="3122" w:type="dxa"/>
                  <w:gridSpan w:val="3"/>
                  <w:tcBorders>
                    <w:tl2br w:val="nil"/>
                    <w:tr2bl w:val="nil"/>
                  </w:tcBorders>
                  <w:vAlign w:val="center"/>
                </w:tcPr>
                <w:p w14:paraId="54F7F496">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r>
                    <w:rPr>
                      <w:rFonts w:hint="eastAsia" w:cs="Times New Roman"/>
                      <w:color w:val="auto"/>
                      <w:kern w:val="0"/>
                      <w:sz w:val="21"/>
                      <w:szCs w:val="21"/>
                      <w:u w:val="none"/>
                      <w:lang w:val="en-US" w:eastAsia="zh-CN"/>
                    </w:rPr>
                    <w:t>经营期</w:t>
                  </w:r>
                  <w:r>
                    <w:rPr>
                      <w:rFonts w:hint="default" w:ascii="Times New Roman" w:hAnsi="Times New Roman" w:eastAsia="宋体" w:cs="Times New Roman"/>
                      <w:color w:val="auto"/>
                      <w:kern w:val="0"/>
                      <w:sz w:val="21"/>
                      <w:szCs w:val="21"/>
                      <w:u w:val="none"/>
                    </w:rPr>
                    <w:t>平均上网电价</w:t>
                  </w:r>
                </w:p>
                <w:p w14:paraId="76DFC58B">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rPr>
                    <w:t>（</w:t>
                  </w:r>
                  <w:r>
                    <w:rPr>
                      <w:rFonts w:hint="eastAsia" w:cs="Times New Roman"/>
                      <w:color w:val="auto"/>
                      <w:kern w:val="0"/>
                      <w:sz w:val="21"/>
                      <w:szCs w:val="21"/>
                      <w:u w:val="none"/>
                      <w:lang w:val="en-US" w:eastAsia="zh-CN"/>
                    </w:rPr>
                    <w:t>含增值税</w:t>
                  </w:r>
                  <w:r>
                    <w:rPr>
                      <w:rFonts w:hint="default" w:ascii="Times New Roman" w:hAnsi="Times New Roman" w:eastAsia="宋体" w:cs="Times New Roman"/>
                      <w:color w:val="auto"/>
                      <w:kern w:val="0"/>
                      <w:sz w:val="21"/>
                      <w:szCs w:val="21"/>
                      <w:u w:val="none"/>
                    </w:rPr>
                    <w:t>）</w:t>
                  </w:r>
                </w:p>
              </w:tc>
              <w:tc>
                <w:tcPr>
                  <w:tcW w:w="887" w:type="dxa"/>
                  <w:tcBorders>
                    <w:tl2br w:val="nil"/>
                    <w:tr2bl w:val="nil"/>
                  </w:tcBorders>
                  <w:vAlign w:val="center"/>
                </w:tcPr>
                <w:p w14:paraId="10B01EDA">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rPr>
                    <w:t>元/kW·h</w:t>
                  </w:r>
                </w:p>
              </w:tc>
              <w:tc>
                <w:tcPr>
                  <w:tcW w:w="2357" w:type="dxa"/>
                  <w:tcBorders>
                    <w:tl2br w:val="nil"/>
                    <w:tr2bl w:val="nil"/>
                  </w:tcBorders>
                  <w:vAlign w:val="center"/>
                </w:tcPr>
                <w:p w14:paraId="48C510BC">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rPr>
                    <w:t>0.4</w:t>
                  </w:r>
                  <w:r>
                    <w:rPr>
                      <w:rFonts w:hint="eastAsia" w:cs="Times New Roman"/>
                      <w:color w:val="auto"/>
                      <w:kern w:val="0"/>
                      <w:sz w:val="21"/>
                      <w:szCs w:val="21"/>
                      <w:u w:val="none"/>
                      <w:lang w:val="en-US" w:eastAsia="zh-CN"/>
                    </w:rPr>
                    <w:t>210</w:t>
                  </w:r>
                </w:p>
              </w:tc>
              <w:tc>
                <w:tcPr>
                  <w:tcW w:w="869" w:type="dxa"/>
                  <w:tcBorders>
                    <w:tl2br w:val="nil"/>
                    <w:tr2bl w:val="nil"/>
                  </w:tcBorders>
                  <w:vAlign w:val="center"/>
                </w:tcPr>
                <w:p w14:paraId="4CCA612F">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r>
            <w:tr w14:paraId="178B211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76" w:type="dxa"/>
                  <w:vMerge w:val="continue"/>
                  <w:tcBorders>
                    <w:tl2br w:val="nil"/>
                    <w:tr2bl w:val="nil"/>
                  </w:tcBorders>
                  <w:vAlign w:val="center"/>
                </w:tcPr>
                <w:p w14:paraId="1165F4BC">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c>
                <w:tcPr>
                  <w:tcW w:w="1565" w:type="dxa"/>
                  <w:gridSpan w:val="2"/>
                  <w:vMerge w:val="restart"/>
                  <w:tcBorders>
                    <w:tl2br w:val="nil"/>
                    <w:tr2bl w:val="nil"/>
                  </w:tcBorders>
                  <w:vAlign w:val="center"/>
                </w:tcPr>
                <w:p w14:paraId="699B4F42">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盈利能力指标</w:t>
                  </w:r>
                </w:p>
              </w:tc>
              <w:tc>
                <w:tcPr>
                  <w:tcW w:w="1557" w:type="dxa"/>
                  <w:tcBorders>
                    <w:tl2br w:val="nil"/>
                    <w:tr2bl w:val="nil"/>
                  </w:tcBorders>
                  <w:vAlign w:val="center"/>
                </w:tcPr>
                <w:p w14:paraId="45A7CB03">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项目投资财务内部收益率（税前）</w:t>
                  </w:r>
                </w:p>
              </w:tc>
              <w:tc>
                <w:tcPr>
                  <w:tcW w:w="887" w:type="dxa"/>
                  <w:tcBorders>
                    <w:tl2br w:val="nil"/>
                    <w:tr2bl w:val="nil"/>
                  </w:tcBorders>
                  <w:vAlign w:val="center"/>
                </w:tcPr>
                <w:p w14:paraId="0302683C">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w:t>
                  </w:r>
                </w:p>
              </w:tc>
              <w:tc>
                <w:tcPr>
                  <w:tcW w:w="2357" w:type="dxa"/>
                  <w:tcBorders>
                    <w:tl2br w:val="nil"/>
                    <w:tr2bl w:val="nil"/>
                  </w:tcBorders>
                  <w:vAlign w:val="center"/>
                </w:tcPr>
                <w:p w14:paraId="7E7E407D">
                  <w:pPr>
                    <w:adjustRightInd w:val="0"/>
                    <w:snapToGrid w:val="0"/>
                    <w:spacing w:before="24" w:beforeLines="10" w:after="24" w:afterLines="10" w:line="240" w:lineRule="auto"/>
                    <w:jc w:val="center"/>
                    <w:rPr>
                      <w:rFonts w:hint="default" w:ascii="Times New Roman" w:hAnsi="Times New Roman" w:eastAsia="宋体" w:cs="Times New Roman"/>
                      <w:color w:val="000000" w:themeColor="text1"/>
                      <w:kern w:val="0"/>
                      <w:sz w:val="21"/>
                      <w:szCs w:val="21"/>
                      <w:u w:val="none"/>
                      <w:lang w:val="en-US"/>
                      <w14:textFill>
                        <w14:solidFill>
                          <w14:schemeClr w14:val="tx1"/>
                        </w14:solidFill>
                      </w14:textFill>
                    </w:rPr>
                  </w:pPr>
                  <w:r>
                    <w:rPr>
                      <w:rFonts w:hint="eastAsia" w:cs="Times New Roman"/>
                      <w:color w:val="000000" w:themeColor="text1"/>
                      <w:kern w:val="0"/>
                      <w:sz w:val="21"/>
                      <w:szCs w:val="21"/>
                      <w:u w:val="none"/>
                      <w:lang w:val="en-US" w:eastAsia="zh-CN"/>
                      <w14:textFill>
                        <w14:solidFill>
                          <w14:schemeClr w14:val="tx1"/>
                        </w14:solidFill>
                      </w14:textFill>
                    </w:rPr>
                    <w:t>7.34</w:t>
                  </w:r>
                </w:p>
              </w:tc>
              <w:tc>
                <w:tcPr>
                  <w:tcW w:w="869" w:type="dxa"/>
                  <w:tcBorders>
                    <w:tl2br w:val="nil"/>
                    <w:tr2bl w:val="nil"/>
                  </w:tcBorders>
                  <w:vAlign w:val="center"/>
                </w:tcPr>
                <w:p w14:paraId="2DCBA649">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r>
            <w:tr w14:paraId="2413EE3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76" w:type="dxa"/>
                  <w:vMerge w:val="continue"/>
                  <w:tcBorders>
                    <w:tl2br w:val="nil"/>
                    <w:tr2bl w:val="nil"/>
                  </w:tcBorders>
                  <w:vAlign w:val="center"/>
                </w:tcPr>
                <w:p w14:paraId="324DCAC8">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c>
                <w:tcPr>
                  <w:tcW w:w="1565" w:type="dxa"/>
                  <w:gridSpan w:val="2"/>
                  <w:vMerge w:val="continue"/>
                  <w:tcBorders>
                    <w:tl2br w:val="nil"/>
                    <w:tr2bl w:val="nil"/>
                  </w:tcBorders>
                  <w:vAlign w:val="center"/>
                </w:tcPr>
                <w:p w14:paraId="2CAA39B2">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p>
              </w:tc>
              <w:tc>
                <w:tcPr>
                  <w:tcW w:w="1557" w:type="dxa"/>
                  <w:tcBorders>
                    <w:tl2br w:val="nil"/>
                    <w:tr2bl w:val="nil"/>
                  </w:tcBorders>
                  <w:vAlign w:val="center"/>
                </w:tcPr>
                <w:p w14:paraId="13913482">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项目投资财务内部收益率（税后）</w:t>
                  </w:r>
                </w:p>
              </w:tc>
              <w:tc>
                <w:tcPr>
                  <w:tcW w:w="887" w:type="dxa"/>
                  <w:tcBorders>
                    <w:tl2br w:val="nil"/>
                    <w:tr2bl w:val="nil"/>
                  </w:tcBorders>
                  <w:vAlign w:val="center"/>
                </w:tcPr>
                <w:p w14:paraId="05360900">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w:t>
                  </w:r>
                </w:p>
              </w:tc>
              <w:tc>
                <w:tcPr>
                  <w:tcW w:w="2357" w:type="dxa"/>
                  <w:tcBorders>
                    <w:tl2br w:val="nil"/>
                    <w:tr2bl w:val="nil"/>
                  </w:tcBorders>
                  <w:vAlign w:val="center"/>
                </w:tcPr>
                <w:p w14:paraId="5D8FB0BB">
                  <w:pPr>
                    <w:adjustRightInd w:val="0"/>
                    <w:snapToGrid w:val="0"/>
                    <w:spacing w:before="24" w:beforeLines="10" w:after="24" w:afterLines="10" w:line="240" w:lineRule="auto"/>
                    <w:jc w:val="center"/>
                    <w:rPr>
                      <w:rFonts w:hint="default" w:ascii="Times New Roman" w:hAnsi="Times New Roman" w:eastAsia="宋体" w:cs="Times New Roman"/>
                      <w:color w:val="000000" w:themeColor="text1"/>
                      <w:kern w:val="0"/>
                      <w:sz w:val="21"/>
                      <w:szCs w:val="21"/>
                      <w:u w:val="none"/>
                      <w:lang w:val="en-US"/>
                      <w14:textFill>
                        <w14:solidFill>
                          <w14:schemeClr w14:val="tx1"/>
                        </w14:solidFill>
                      </w14:textFill>
                    </w:rPr>
                  </w:pPr>
                  <w:r>
                    <w:rPr>
                      <w:rFonts w:hint="eastAsia" w:cs="Times New Roman"/>
                      <w:color w:val="000000" w:themeColor="text1"/>
                      <w:kern w:val="0"/>
                      <w:sz w:val="21"/>
                      <w:szCs w:val="21"/>
                      <w:u w:val="none"/>
                      <w:lang w:val="en-US" w:eastAsia="zh-CN"/>
                      <w14:textFill>
                        <w14:solidFill>
                          <w14:schemeClr w14:val="tx1"/>
                        </w14:solidFill>
                      </w14:textFill>
                    </w:rPr>
                    <w:t>6.29</w:t>
                  </w:r>
                </w:p>
              </w:tc>
              <w:tc>
                <w:tcPr>
                  <w:tcW w:w="869" w:type="dxa"/>
                  <w:tcBorders>
                    <w:tl2br w:val="nil"/>
                    <w:tr2bl w:val="nil"/>
                  </w:tcBorders>
                  <w:vAlign w:val="center"/>
                </w:tcPr>
                <w:p w14:paraId="1878BF7D">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r>
            <w:tr w14:paraId="3EB213F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76" w:type="dxa"/>
                  <w:vMerge w:val="continue"/>
                  <w:tcBorders>
                    <w:tl2br w:val="nil"/>
                    <w:tr2bl w:val="nil"/>
                  </w:tcBorders>
                  <w:vAlign w:val="center"/>
                </w:tcPr>
                <w:p w14:paraId="0B2558EC">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c>
                <w:tcPr>
                  <w:tcW w:w="1565" w:type="dxa"/>
                  <w:gridSpan w:val="2"/>
                  <w:vMerge w:val="continue"/>
                  <w:tcBorders>
                    <w:tl2br w:val="nil"/>
                    <w:tr2bl w:val="nil"/>
                  </w:tcBorders>
                  <w:vAlign w:val="center"/>
                </w:tcPr>
                <w:p w14:paraId="2633401D">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p>
              </w:tc>
              <w:tc>
                <w:tcPr>
                  <w:tcW w:w="1557" w:type="dxa"/>
                  <w:tcBorders>
                    <w:tl2br w:val="nil"/>
                    <w:tr2bl w:val="nil"/>
                  </w:tcBorders>
                  <w:vAlign w:val="center"/>
                </w:tcPr>
                <w:p w14:paraId="2BB6187D">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资本金财务内部收益率</w:t>
                  </w:r>
                </w:p>
              </w:tc>
              <w:tc>
                <w:tcPr>
                  <w:tcW w:w="887" w:type="dxa"/>
                  <w:tcBorders>
                    <w:tl2br w:val="nil"/>
                    <w:tr2bl w:val="nil"/>
                  </w:tcBorders>
                  <w:vAlign w:val="center"/>
                </w:tcPr>
                <w:p w14:paraId="75F8E1BB">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w:t>
                  </w:r>
                </w:p>
              </w:tc>
              <w:tc>
                <w:tcPr>
                  <w:tcW w:w="2357" w:type="dxa"/>
                  <w:tcBorders>
                    <w:tl2br w:val="nil"/>
                    <w:tr2bl w:val="nil"/>
                  </w:tcBorders>
                  <w:vAlign w:val="center"/>
                </w:tcPr>
                <w:p w14:paraId="4FF10BCB">
                  <w:pPr>
                    <w:adjustRightInd w:val="0"/>
                    <w:snapToGrid w:val="0"/>
                    <w:spacing w:before="24" w:beforeLines="10" w:after="24" w:afterLines="10" w:line="240" w:lineRule="auto"/>
                    <w:jc w:val="center"/>
                    <w:rPr>
                      <w:rFonts w:hint="default" w:ascii="Times New Roman" w:hAnsi="Times New Roman" w:eastAsia="宋体" w:cs="Times New Roman"/>
                      <w:color w:val="000000" w:themeColor="text1"/>
                      <w:kern w:val="0"/>
                      <w:sz w:val="21"/>
                      <w:szCs w:val="21"/>
                      <w:u w:val="none"/>
                      <w:lang w:val="en-US"/>
                      <w14:textFill>
                        <w14:solidFill>
                          <w14:schemeClr w14:val="tx1"/>
                        </w14:solidFill>
                      </w14:textFill>
                    </w:rPr>
                  </w:pPr>
                  <w:r>
                    <w:rPr>
                      <w:rFonts w:hint="eastAsia" w:cs="Times New Roman"/>
                      <w:color w:val="000000" w:themeColor="text1"/>
                      <w:kern w:val="0"/>
                      <w:sz w:val="21"/>
                      <w:szCs w:val="21"/>
                      <w:u w:val="none"/>
                      <w:lang w:val="en-US" w:eastAsia="zh-CN"/>
                      <w14:textFill>
                        <w14:solidFill>
                          <w14:schemeClr w14:val="tx1"/>
                        </w14:solidFill>
                      </w14:textFill>
                    </w:rPr>
                    <w:t>10.69</w:t>
                  </w:r>
                </w:p>
              </w:tc>
              <w:tc>
                <w:tcPr>
                  <w:tcW w:w="869" w:type="dxa"/>
                  <w:tcBorders>
                    <w:tl2br w:val="nil"/>
                    <w:tr2bl w:val="nil"/>
                  </w:tcBorders>
                  <w:vAlign w:val="center"/>
                </w:tcPr>
                <w:p w14:paraId="5FE40896">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r>
            <w:tr w14:paraId="0F696FA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76" w:type="dxa"/>
                  <w:vMerge w:val="continue"/>
                  <w:tcBorders>
                    <w:tl2br w:val="nil"/>
                    <w:tr2bl w:val="nil"/>
                  </w:tcBorders>
                  <w:vAlign w:val="center"/>
                </w:tcPr>
                <w:p w14:paraId="6895297A">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c>
                <w:tcPr>
                  <w:tcW w:w="1565" w:type="dxa"/>
                  <w:gridSpan w:val="2"/>
                  <w:vMerge w:val="continue"/>
                  <w:tcBorders>
                    <w:tl2br w:val="nil"/>
                    <w:tr2bl w:val="nil"/>
                  </w:tcBorders>
                  <w:vAlign w:val="center"/>
                </w:tcPr>
                <w:p w14:paraId="181E828D">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p>
              </w:tc>
              <w:tc>
                <w:tcPr>
                  <w:tcW w:w="1557" w:type="dxa"/>
                  <w:tcBorders>
                    <w:tl2br w:val="nil"/>
                    <w:tr2bl w:val="nil"/>
                  </w:tcBorders>
                  <w:vAlign w:val="center"/>
                </w:tcPr>
                <w:p w14:paraId="77972C28">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总投资收益率</w:t>
                  </w:r>
                </w:p>
              </w:tc>
              <w:tc>
                <w:tcPr>
                  <w:tcW w:w="887" w:type="dxa"/>
                  <w:tcBorders>
                    <w:tl2br w:val="nil"/>
                    <w:tr2bl w:val="nil"/>
                  </w:tcBorders>
                  <w:vAlign w:val="center"/>
                </w:tcPr>
                <w:p w14:paraId="35AE76AA">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w:t>
                  </w:r>
                </w:p>
              </w:tc>
              <w:tc>
                <w:tcPr>
                  <w:tcW w:w="2357" w:type="dxa"/>
                  <w:tcBorders>
                    <w:tl2br w:val="nil"/>
                    <w:tr2bl w:val="nil"/>
                  </w:tcBorders>
                  <w:vAlign w:val="center"/>
                </w:tcPr>
                <w:p w14:paraId="30B858FF">
                  <w:pPr>
                    <w:adjustRightInd w:val="0"/>
                    <w:snapToGrid w:val="0"/>
                    <w:spacing w:before="24" w:beforeLines="10" w:after="24" w:afterLines="10" w:line="240" w:lineRule="auto"/>
                    <w:jc w:val="center"/>
                    <w:rPr>
                      <w:rFonts w:hint="default" w:ascii="Times New Roman" w:hAnsi="Times New Roman" w:eastAsia="宋体" w:cs="Times New Roman"/>
                      <w:color w:val="000000" w:themeColor="text1"/>
                      <w:kern w:val="0"/>
                      <w:sz w:val="21"/>
                      <w:szCs w:val="21"/>
                      <w:u w:val="none"/>
                      <w:lang w:val="en-US"/>
                      <w14:textFill>
                        <w14:solidFill>
                          <w14:schemeClr w14:val="tx1"/>
                        </w14:solidFill>
                      </w14:textFill>
                    </w:rPr>
                  </w:pPr>
                  <w:r>
                    <w:rPr>
                      <w:rFonts w:hint="eastAsia" w:cs="Times New Roman"/>
                      <w:color w:val="000000" w:themeColor="text1"/>
                      <w:kern w:val="0"/>
                      <w:sz w:val="21"/>
                      <w:szCs w:val="21"/>
                      <w:u w:val="none"/>
                      <w:lang w:val="en-US" w:eastAsia="zh-CN"/>
                      <w14:textFill>
                        <w14:solidFill>
                          <w14:schemeClr w14:val="tx1"/>
                        </w14:solidFill>
                      </w14:textFill>
                    </w:rPr>
                    <w:t>4.49</w:t>
                  </w:r>
                </w:p>
              </w:tc>
              <w:tc>
                <w:tcPr>
                  <w:tcW w:w="869" w:type="dxa"/>
                  <w:tcBorders>
                    <w:tl2br w:val="nil"/>
                    <w:tr2bl w:val="nil"/>
                  </w:tcBorders>
                  <w:vAlign w:val="center"/>
                </w:tcPr>
                <w:p w14:paraId="055C4E64">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r>
            <w:tr w14:paraId="0CD66B5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76" w:type="dxa"/>
                  <w:vMerge w:val="continue"/>
                  <w:tcBorders>
                    <w:tl2br w:val="nil"/>
                    <w:tr2bl w:val="nil"/>
                  </w:tcBorders>
                  <w:vAlign w:val="center"/>
                </w:tcPr>
                <w:p w14:paraId="6D3BEE74">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c>
                <w:tcPr>
                  <w:tcW w:w="1565" w:type="dxa"/>
                  <w:gridSpan w:val="2"/>
                  <w:vMerge w:val="continue"/>
                  <w:tcBorders>
                    <w:tl2br w:val="nil"/>
                    <w:tr2bl w:val="nil"/>
                  </w:tcBorders>
                  <w:vAlign w:val="center"/>
                </w:tcPr>
                <w:p w14:paraId="13F925BA">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p>
              </w:tc>
              <w:tc>
                <w:tcPr>
                  <w:tcW w:w="1557" w:type="dxa"/>
                  <w:tcBorders>
                    <w:tl2br w:val="nil"/>
                    <w:tr2bl w:val="nil"/>
                  </w:tcBorders>
                  <w:vAlign w:val="center"/>
                </w:tcPr>
                <w:p w14:paraId="0378AC42">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投资利税率</w:t>
                  </w:r>
                </w:p>
              </w:tc>
              <w:tc>
                <w:tcPr>
                  <w:tcW w:w="887" w:type="dxa"/>
                  <w:tcBorders>
                    <w:tl2br w:val="nil"/>
                    <w:tr2bl w:val="nil"/>
                  </w:tcBorders>
                  <w:vAlign w:val="center"/>
                </w:tcPr>
                <w:p w14:paraId="7303859B">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w:t>
                  </w:r>
                </w:p>
              </w:tc>
              <w:tc>
                <w:tcPr>
                  <w:tcW w:w="2357" w:type="dxa"/>
                  <w:tcBorders>
                    <w:tl2br w:val="nil"/>
                    <w:tr2bl w:val="nil"/>
                  </w:tcBorders>
                  <w:vAlign w:val="center"/>
                </w:tcPr>
                <w:p w14:paraId="37AEAAD9">
                  <w:pPr>
                    <w:adjustRightInd w:val="0"/>
                    <w:snapToGrid w:val="0"/>
                    <w:spacing w:before="24" w:beforeLines="10" w:after="24" w:afterLines="10" w:line="240" w:lineRule="auto"/>
                    <w:jc w:val="center"/>
                    <w:rPr>
                      <w:rFonts w:hint="default" w:ascii="Times New Roman" w:hAnsi="Times New Roman" w:eastAsia="宋体" w:cs="Times New Roman"/>
                      <w:color w:val="000000" w:themeColor="text1"/>
                      <w:kern w:val="0"/>
                      <w:sz w:val="21"/>
                      <w:szCs w:val="21"/>
                      <w:u w:val="none"/>
                      <w:lang w:val="en-US"/>
                      <w14:textFill>
                        <w14:solidFill>
                          <w14:schemeClr w14:val="tx1"/>
                        </w14:solidFill>
                      </w14:textFill>
                    </w:rPr>
                  </w:pPr>
                  <w:r>
                    <w:rPr>
                      <w:rFonts w:hint="eastAsia" w:cs="Times New Roman"/>
                      <w:color w:val="000000" w:themeColor="text1"/>
                      <w:kern w:val="0"/>
                      <w:sz w:val="21"/>
                      <w:szCs w:val="21"/>
                      <w:u w:val="none"/>
                      <w:lang w:val="en-US" w:eastAsia="zh-CN"/>
                      <w14:textFill>
                        <w14:solidFill>
                          <w14:schemeClr w14:val="tx1"/>
                        </w14:solidFill>
                      </w14:textFill>
                    </w:rPr>
                    <w:t>3.31</w:t>
                  </w:r>
                </w:p>
              </w:tc>
              <w:tc>
                <w:tcPr>
                  <w:tcW w:w="869" w:type="dxa"/>
                  <w:tcBorders>
                    <w:tl2br w:val="nil"/>
                    <w:tr2bl w:val="nil"/>
                  </w:tcBorders>
                  <w:vAlign w:val="center"/>
                </w:tcPr>
                <w:p w14:paraId="72D0CCCB">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r>
            <w:tr w14:paraId="5E30B83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76" w:type="dxa"/>
                  <w:vMerge w:val="continue"/>
                  <w:tcBorders>
                    <w:tl2br w:val="nil"/>
                    <w:tr2bl w:val="nil"/>
                  </w:tcBorders>
                  <w:vAlign w:val="center"/>
                </w:tcPr>
                <w:p w14:paraId="54F799B6">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c>
                <w:tcPr>
                  <w:tcW w:w="1565" w:type="dxa"/>
                  <w:gridSpan w:val="2"/>
                  <w:vMerge w:val="continue"/>
                  <w:tcBorders>
                    <w:tl2br w:val="nil"/>
                    <w:tr2bl w:val="nil"/>
                  </w:tcBorders>
                  <w:vAlign w:val="center"/>
                </w:tcPr>
                <w:p w14:paraId="25E8A68B">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p>
              </w:tc>
              <w:tc>
                <w:tcPr>
                  <w:tcW w:w="1557" w:type="dxa"/>
                  <w:tcBorders>
                    <w:tl2br w:val="nil"/>
                    <w:tr2bl w:val="nil"/>
                  </w:tcBorders>
                  <w:vAlign w:val="center"/>
                </w:tcPr>
                <w:p w14:paraId="599582B6">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项目资本金净利润率</w:t>
                  </w:r>
                </w:p>
              </w:tc>
              <w:tc>
                <w:tcPr>
                  <w:tcW w:w="887" w:type="dxa"/>
                  <w:tcBorders>
                    <w:tl2br w:val="nil"/>
                    <w:tr2bl w:val="nil"/>
                  </w:tcBorders>
                  <w:vAlign w:val="center"/>
                </w:tcPr>
                <w:p w14:paraId="0017E386">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w:t>
                  </w:r>
                </w:p>
              </w:tc>
              <w:tc>
                <w:tcPr>
                  <w:tcW w:w="2357" w:type="dxa"/>
                  <w:tcBorders>
                    <w:tl2br w:val="nil"/>
                    <w:tr2bl w:val="nil"/>
                  </w:tcBorders>
                  <w:vAlign w:val="center"/>
                </w:tcPr>
                <w:p w14:paraId="23DC20B4">
                  <w:pPr>
                    <w:adjustRightInd w:val="0"/>
                    <w:snapToGrid w:val="0"/>
                    <w:spacing w:before="24" w:beforeLines="10" w:after="24" w:afterLines="10" w:line="240" w:lineRule="auto"/>
                    <w:jc w:val="center"/>
                    <w:rPr>
                      <w:rFonts w:hint="default" w:ascii="Times New Roman" w:hAnsi="Times New Roman" w:eastAsia="宋体" w:cs="Times New Roman"/>
                      <w:color w:val="000000" w:themeColor="text1"/>
                      <w:kern w:val="0"/>
                      <w:sz w:val="21"/>
                      <w:szCs w:val="21"/>
                      <w:u w:val="none"/>
                      <w:lang w:val="en-US"/>
                      <w14:textFill>
                        <w14:solidFill>
                          <w14:schemeClr w14:val="tx1"/>
                        </w14:solidFill>
                      </w14:textFill>
                    </w:rPr>
                  </w:pPr>
                  <w:r>
                    <w:rPr>
                      <w:rFonts w:hint="eastAsia" w:cs="Times New Roman"/>
                      <w:color w:val="000000" w:themeColor="text1"/>
                      <w:kern w:val="0"/>
                      <w:sz w:val="21"/>
                      <w:szCs w:val="21"/>
                      <w:u w:val="none"/>
                      <w:lang w:val="en-US" w:eastAsia="zh-CN"/>
                      <w14:textFill>
                        <w14:solidFill>
                          <w14:schemeClr w14:val="tx1"/>
                        </w14:solidFill>
                      </w14:textFill>
                    </w:rPr>
                    <w:t>12.46</w:t>
                  </w:r>
                </w:p>
              </w:tc>
              <w:tc>
                <w:tcPr>
                  <w:tcW w:w="869" w:type="dxa"/>
                  <w:tcBorders>
                    <w:tl2br w:val="nil"/>
                    <w:tr2bl w:val="nil"/>
                  </w:tcBorders>
                  <w:vAlign w:val="center"/>
                </w:tcPr>
                <w:p w14:paraId="3F7CC9A2">
                  <w:pPr>
                    <w:adjustRightInd w:val="0"/>
                    <w:snapToGrid w:val="0"/>
                    <w:spacing w:before="24" w:beforeLines="10" w:after="24" w:afterLines="10" w:line="240" w:lineRule="auto"/>
                    <w:jc w:val="center"/>
                    <w:rPr>
                      <w:rFonts w:hint="default" w:ascii="Times New Roman" w:hAnsi="Times New Roman" w:eastAsia="宋体" w:cs="Times New Roman"/>
                      <w:color w:val="FF0000"/>
                      <w:kern w:val="0"/>
                      <w:sz w:val="21"/>
                      <w:szCs w:val="21"/>
                      <w:u w:val="none"/>
                    </w:rPr>
                  </w:pPr>
                </w:p>
              </w:tc>
            </w:tr>
          </w:tbl>
          <w:p w14:paraId="6C6EE112">
            <w:pPr>
              <w:numPr>
                <w:ilvl w:val="3"/>
                <w:numId w:val="0"/>
              </w:numPr>
              <w:adjustRightInd w:val="0"/>
              <w:spacing w:before="120" w:beforeLines="50"/>
              <w:outlineLvl w:val="3"/>
              <w:rPr>
                <w:b/>
                <w:color w:val="auto"/>
                <w:u w:val="none"/>
              </w:rPr>
            </w:pPr>
            <w:r>
              <w:rPr>
                <w:b/>
                <w:color w:val="auto"/>
                <w:u w:val="none"/>
              </w:rPr>
              <w:t>2.2.</w:t>
            </w:r>
            <w:r>
              <w:rPr>
                <w:rFonts w:hint="eastAsia"/>
                <w:b/>
                <w:color w:val="auto"/>
                <w:u w:val="none"/>
                <w:lang w:val="en-US" w:eastAsia="zh-CN"/>
              </w:rPr>
              <w:t>2</w:t>
            </w:r>
            <w:r>
              <w:rPr>
                <w:b/>
                <w:color w:val="auto"/>
                <w:u w:val="none"/>
              </w:rPr>
              <w:t>工程占地与拆迁</w:t>
            </w:r>
          </w:p>
          <w:p w14:paraId="76FB4912">
            <w:pPr>
              <w:ind w:firstLine="480" w:firstLineChars="200"/>
              <w:rPr>
                <w:color w:val="auto"/>
                <w:u w:val="none"/>
              </w:rPr>
            </w:pPr>
            <w:r>
              <w:rPr>
                <w:color w:val="auto"/>
                <w:u w:val="none"/>
              </w:rPr>
              <w:t>（1）工程占地</w:t>
            </w:r>
          </w:p>
          <w:p w14:paraId="538903AC">
            <w:pPr>
              <w:keepNext w:val="0"/>
              <w:keepLines w:val="0"/>
              <w:widowControl/>
              <w:suppressLineNumbers w:val="0"/>
              <w:ind w:firstLine="480" w:firstLineChars="200"/>
              <w:jc w:val="left"/>
              <w:rPr>
                <w:u w:val="wave"/>
              </w:rPr>
            </w:pPr>
            <w:r>
              <w:rPr>
                <w:rFonts w:ascii="浠垮畫_GB2312" w:hAnsi="浠垮畫_GB2312" w:eastAsia="浠垮畫_GB2312" w:cs="浠垮畫_GB2312"/>
                <w:color w:val="000000"/>
                <w:kern w:val="0"/>
                <w:sz w:val="24"/>
                <w:szCs w:val="24"/>
                <w:u w:val="wave"/>
                <w:lang w:val="en-US" w:eastAsia="zh-CN" w:bidi="ar"/>
              </w:rPr>
              <w:t>根据</w:t>
            </w:r>
            <w:r>
              <w:rPr>
                <w:rFonts w:hint="eastAsia" w:ascii="浠垮畫_GB2312" w:hAnsi="浠垮畫_GB2312" w:eastAsia="浠垮畫_GB2312" w:cs="浠垮畫_GB2312"/>
                <w:color w:val="000000"/>
                <w:kern w:val="0"/>
                <w:sz w:val="24"/>
                <w:szCs w:val="24"/>
                <w:u w:val="wave"/>
                <w:lang w:val="en-US" w:eastAsia="zh-CN" w:bidi="ar"/>
              </w:rPr>
              <w:t>项目水土保持</w:t>
            </w:r>
            <w:r>
              <w:rPr>
                <w:rFonts w:ascii="浠垮畫_GB2312" w:hAnsi="浠垮畫_GB2312" w:eastAsia="浠垮畫_GB2312" w:cs="浠垮畫_GB2312"/>
                <w:color w:val="000000"/>
                <w:kern w:val="0"/>
                <w:sz w:val="24"/>
                <w:szCs w:val="24"/>
                <w:u w:val="wave"/>
                <w:lang w:val="en-US" w:eastAsia="zh-CN" w:bidi="ar"/>
              </w:rPr>
              <w:t>报告，本工程总占地面积</w:t>
            </w:r>
            <w:r>
              <w:rPr>
                <w:rFonts w:hint="default" w:ascii="Times New Roman" w:hAnsi="Times New Roman" w:eastAsia="宋体" w:cs="Times New Roman"/>
                <w:color w:val="000000"/>
                <w:kern w:val="0"/>
                <w:sz w:val="24"/>
                <w:szCs w:val="24"/>
                <w:u w:val="wave"/>
                <w:lang w:val="en-US" w:eastAsia="zh-CN" w:bidi="ar"/>
              </w:rPr>
              <w:t>44.01hm</w:t>
            </w:r>
            <w:r>
              <w:rPr>
                <w:rFonts w:hint="eastAsia" w:ascii="Times New Roman" w:hAnsi="Times New Roman" w:eastAsia="宋体" w:cs="Times New Roman"/>
                <w:color w:val="000000"/>
                <w:kern w:val="0"/>
                <w:sz w:val="24"/>
                <w:szCs w:val="24"/>
                <w:u w:val="wave"/>
                <w:vertAlign w:val="superscript"/>
                <w:lang w:val="en-US" w:eastAsia="zh-CN" w:bidi="ar"/>
              </w:rPr>
              <w:t>2</w:t>
            </w:r>
            <w:r>
              <w:rPr>
                <w:rFonts w:hint="default" w:ascii="浠垮畫_GB2312" w:hAnsi="浠垮畫_GB2312" w:eastAsia="浠垮畫_GB2312" w:cs="浠垮畫_GB2312"/>
                <w:color w:val="000000"/>
                <w:kern w:val="0"/>
                <w:sz w:val="24"/>
                <w:szCs w:val="24"/>
                <w:u w:val="wave"/>
                <w:lang w:val="en-US" w:eastAsia="zh-CN" w:bidi="ar"/>
              </w:rPr>
              <w:t>，其中永久性占地面积</w:t>
            </w:r>
            <w:r>
              <w:rPr>
                <w:rFonts w:hint="default" w:ascii="Times New Roman" w:hAnsi="Times New Roman" w:eastAsia="宋体" w:cs="Times New Roman"/>
                <w:color w:val="000000"/>
                <w:kern w:val="0"/>
                <w:sz w:val="24"/>
                <w:szCs w:val="24"/>
                <w:u w:val="wave"/>
                <w:lang w:val="en-US" w:eastAsia="zh-CN" w:bidi="ar"/>
              </w:rPr>
              <w:t>1.61hm</w:t>
            </w:r>
            <w:r>
              <w:rPr>
                <w:rFonts w:hint="eastAsia" w:ascii="Times New Roman" w:hAnsi="Times New Roman" w:eastAsia="宋体" w:cs="Times New Roman"/>
                <w:color w:val="000000"/>
                <w:kern w:val="0"/>
                <w:sz w:val="24"/>
                <w:szCs w:val="24"/>
                <w:u w:val="wave"/>
                <w:vertAlign w:val="superscript"/>
                <w:lang w:val="en-US" w:eastAsia="zh-CN" w:bidi="ar"/>
              </w:rPr>
              <w:t>2</w:t>
            </w:r>
            <w:r>
              <w:rPr>
                <w:rFonts w:hint="default" w:ascii="浠垮畫_GB2312" w:hAnsi="浠垮畫_GB2312" w:eastAsia="浠垮畫_GB2312" w:cs="浠垮畫_GB2312"/>
                <w:color w:val="000000"/>
                <w:kern w:val="0"/>
                <w:sz w:val="24"/>
                <w:szCs w:val="24"/>
                <w:u w:val="wave"/>
                <w:lang w:val="en-US" w:eastAsia="zh-CN" w:bidi="ar"/>
              </w:rPr>
              <w:t>，临时性占地面积</w:t>
            </w:r>
            <w:r>
              <w:rPr>
                <w:rFonts w:hint="default" w:ascii="Times New Roman" w:hAnsi="Times New Roman" w:eastAsia="宋体" w:cs="Times New Roman"/>
                <w:color w:val="000000"/>
                <w:kern w:val="0"/>
                <w:sz w:val="24"/>
                <w:szCs w:val="24"/>
                <w:u w:val="wave"/>
                <w:lang w:val="en-US" w:eastAsia="zh-CN" w:bidi="ar"/>
              </w:rPr>
              <w:t>42.4hm</w:t>
            </w:r>
            <w:r>
              <w:rPr>
                <w:rFonts w:hint="eastAsia" w:ascii="Times New Roman" w:hAnsi="Times New Roman" w:eastAsia="宋体" w:cs="Times New Roman"/>
                <w:color w:val="000000"/>
                <w:kern w:val="0"/>
                <w:sz w:val="24"/>
                <w:szCs w:val="24"/>
                <w:u w:val="wave"/>
                <w:vertAlign w:val="superscript"/>
                <w:lang w:val="en-US" w:eastAsia="zh-CN" w:bidi="ar"/>
              </w:rPr>
              <w:t>2</w:t>
            </w:r>
            <w:r>
              <w:rPr>
                <w:rFonts w:hint="default" w:ascii="浠垮畫_GB2312" w:hAnsi="浠垮畫_GB2312" w:eastAsia="浠垮畫_GB2312" w:cs="浠垮畫_GB2312"/>
                <w:color w:val="000000"/>
                <w:kern w:val="0"/>
                <w:sz w:val="24"/>
                <w:szCs w:val="24"/>
                <w:u w:val="wave"/>
                <w:lang w:val="en-US" w:eastAsia="zh-CN" w:bidi="ar"/>
              </w:rPr>
              <w:t>。占地类型主要为林地、草地。永久性占地包 括风机机组基础及箱变基础、升压站占地。临时性占地包括风机机组安装场地、 改造道路、场内道路、集电线路区、施工临建设施区以及弃渣场所需临时占地。</w:t>
            </w:r>
            <w:r>
              <w:rPr>
                <w:rFonts w:hint="eastAsia"/>
                <w:color w:val="auto"/>
                <w:u w:val="wave"/>
              </w:rPr>
              <w:t>工程建设土石方开挖总量</w:t>
            </w:r>
            <w:r>
              <w:rPr>
                <w:rFonts w:hint="eastAsia"/>
                <w:color w:val="auto"/>
                <w:u w:val="wave"/>
                <w:lang w:val="en-US" w:eastAsia="zh-CN"/>
              </w:rPr>
              <w:t>175.39</w:t>
            </w:r>
            <w:r>
              <w:rPr>
                <w:rFonts w:hint="eastAsia"/>
                <w:color w:val="auto"/>
                <w:u w:val="wave"/>
              </w:rPr>
              <w:t>万m</w:t>
            </w:r>
            <w:r>
              <w:rPr>
                <w:rFonts w:hint="eastAsia"/>
                <w:color w:val="auto"/>
                <w:u w:val="wave"/>
                <w:vertAlign w:val="superscript"/>
              </w:rPr>
              <w:t>3</w:t>
            </w:r>
            <w:r>
              <w:rPr>
                <w:rFonts w:hint="eastAsia"/>
                <w:color w:val="auto"/>
                <w:u w:val="wave"/>
              </w:rPr>
              <w:t>，回填总量</w:t>
            </w:r>
            <w:r>
              <w:rPr>
                <w:rFonts w:hint="eastAsia"/>
                <w:color w:val="auto"/>
                <w:u w:val="wave"/>
                <w:lang w:val="en-US" w:eastAsia="zh-CN"/>
              </w:rPr>
              <w:t>116.18</w:t>
            </w:r>
            <w:r>
              <w:rPr>
                <w:rFonts w:hint="eastAsia"/>
                <w:color w:val="auto"/>
                <w:u w:val="wave"/>
              </w:rPr>
              <w:t>万m</w:t>
            </w:r>
            <w:r>
              <w:rPr>
                <w:rFonts w:hint="eastAsia"/>
                <w:color w:val="auto"/>
                <w:u w:val="wave"/>
                <w:vertAlign w:val="superscript"/>
              </w:rPr>
              <w:t>3</w:t>
            </w:r>
            <w:r>
              <w:rPr>
                <w:rFonts w:hint="eastAsia"/>
                <w:color w:val="auto"/>
                <w:u w:val="wave"/>
              </w:rPr>
              <w:t>，弃渣</w:t>
            </w:r>
            <w:r>
              <w:rPr>
                <w:rFonts w:hint="eastAsia"/>
                <w:color w:val="auto"/>
                <w:u w:val="wave"/>
                <w:lang w:val="en-US" w:eastAsia="zh-CN"/>
              </w:rPr>
              <w:t>59.21</w:t>
            </w:r>
            <w:r>
              <w:rPr>
                <w:rFonts w:hint="eastAsia"/>
                <w:color w:val="auto"/>
                <w:u w:val="wave"/>
              </w:rPr>
              <w:t>万m</w:t>
            </w:r>
            <w:r>
              <w:rPr>
                <w:rFonts w:hint="eastAsia"/>
                <w:color w:val="auto"/>
                <w:u w:val="wave"/>
                <w:vertAlign w:val="superscript"/>
              </w:rPr>
              <w:t>3</w:t>
            </w:r>
            <w:r>
              <w:rPr>
                <w:rFonts w:hint="eastAsia"/>
                <w:color w:val="auto"/>
                <w:u w:val="wave"/>
              </w:rPr>
              <w:t>，设置弃渣场</w:t>
            </w:r>
            <w:r>
              <w:rPr>
                <w:rFonts w:hint="eastAsia"/>
                <w:color w:val="auto"/>
                <w:u w:val="wave"/>
                <w:lang w:val="en-US" w:eastAsia="zh-CN"/>
              </w:rPr>
              <w:t>9</w:t>
            </w:r>
            <w:r>
              <w:rPr>
                <w:rFonts w:hint="eastAsia"/>
                <w:color w:val="auto"/>
                <w:u w:val="wave"/>
              </w:rPr>
              <w:t>处。</w:t>
            </w:r>
          </w:p>
          <w:p w14:paraId="15B15C2A">
            <w:pPr>
              <w:ind w:firstLine="480" w:firstLineChars="200"/>
              <w:rPr>
                <w:color w:val="FF0000"/>
                <w:u w:val="wave"/>
              </w:rPr>
            </w:pPr>
            <w:r>
              <w:rPr>
                <w:rFonts w:hint="eastAsia"/>
                <w:color w:val="auto"/>
                <w:u w:val="wave"/>
              </w:rPr>
              <w:t>建设过程中需剥离、保存和利用表土共计</w:t>
            </w:r>
            <w:r>
              <w:rPr>
                <w:rFonts w:hint="eastAsia"/>
                <w:color w:val="auto"/>
                <w:u w:val="wave"/>
                <w:lang w:val="en-US" w:eastAsia="zh-CN"/>
              </w:rPr>
              <w:t>6.03</w:t>
            </w:r>
            <w:r>
              <w:rPr>
                <w:rFonts w:hint="eastAsia"/>
                <w:color w:val="auto"/>
                <w:u w:val="wave"/>
              </w:rPr>
              <w:t>万m</w:t>
            </w:r>
            <w:r>
              <w:rPr>
                <w:rFonts w:hint="eastAsia"/>
                <w:color w:val="auto"/>
                <w:u w:val="wave"/>
                <w:vertAlign w:val="superscript"/>
              </w:rPr>
              <w:t>3</w:t>
            </w:r>
            <w:r>
              <w:rPr>
                <w:rFonts w:hint="eastAsia"/>
                <w:color w:val="auto"/>
                <w:u w:val="wave"/>
              </w:rPr>
              <w:t>，全部用于建设区内的植被恢复利用。项目建设不涉及拆迁安置和专项设施改、迁建事宜。工程施工用地</w:t>
            </w:r>
            <w:r>
              <w:rPr>
                <w:rFonts w:hint="eastAsia"/>
                <w:color w:val="auto"/>
                <w:u w:val="wave"/>
                <w:lang w:val="en-US" w:eastAsia="zh-CN"/>
              </w:rPr>
              <w:t>情况</w:t>
            </w:r>
            <w:r>
              <w:rPr>
                <w:color w:val="auto"/>
                <w:u w:val="wave"/>
              </w:rPr>
              <w:t>见下表。</w:t>
            </w:r>
          </w:p>
          <w:p w14:paraId="6DA485E7">
            <w:pPr>
              <w:pStyle w:val="89"/>
              <w:spacing w:line="240" w:lineRule="auto"/>
              <w:rPr>
                <w:rFonts w:hint="eastAsia"/>
                <w:color w:val="auto"/>
                <w:u w:val="wave"/>
                <w:vertAlign w:val="superscript"/>
              </w:rPr>
            </w:pPr>
            <w:r>
              <w:rPr>
                <w:color w:val="auto"/>
                <w:u w:val="wave"/>
              </w:rPr>
              <w:t>表</w:t>
            </w:r>
            <w:r>
              <w:rPr>
                <w:rFonts w:hint="eastAsia"/>
                <w:color w:val="auto"/>
                <w:u w:val="wave"/>
              </w:rPr>
              <w:t>2.</w:t>
            </w:r>
            <w:r>
              <w:rPr>
                <w:color w:val="auto"/>
                <w:u w:val="wave"/>
              </w:rPr>
              <w:t>2-</w:t>
            </w:r>
            <w:r>
              <w:rPr>
                <w:rFonts w:hint="eastAsia"/>
                <w:color w:val="auto"/>
                <w:u w:val="wave"/>
                <w:lang w:val="en-US" w:eastAsia="zh-CN"/>
              </w:rPr>
              <w:t xml:space="preserve">3 </w:t>
            </w:r>
            <w:r>
              <w:rPr>
                <w:rFonts w:hint="eastAsia"/>
                <w:color w:val="auto"/>
                <w:u w:val="wave"/>
              </w:rPr>
              <w:t>工程施工用地一览表   单位：</w:t>
            </w:r>
            <w:r>
              <w:rPr>
                <w:rFonts w:hint="eastAsia"/>
                <w:color w:val="auto"/>
                <w:u w:val="wave"/>
                <w:lang w:val="en-US" w:eastAsia="zh-CN"/>
              </w:rPr>
              <w:t>h</w:t>
            </w:r>
            <w:r>
              <w:rPr>
                <w:rFonts w:hint="eastAsia"/>
                <w:color w:val="auto"/>
                <w:u w:val="wave"/>
              </w:rPr>
              <w:t>m</w:t>
            </w:r>
            <w:r>
              <w:rPr>
                <w:rFonts w:hint="eastAsia"/>
                <w:color w:val="auto"/>
                <w:u w:val="wave"/>
                <w:vertAlign w:val="superscript"/>
              </w:rPr>
              <w:t>2</w:t>
            </w:r>
          </w:p>
          <w:tbl>
            <w:tblPr>
              <w:tblStyle w:val="26"/>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0" w:type="dxa"/>
                <w:bottom w:w="0" w:type="dxa"/>
                <w:right w:w="0" w:type="dxa"/>
              </w:tblCellMar>
            </w:tblPr>
            <w:tblGrid>
              <w:gridCol w:w="622"/>
              <w:gridCol w:w="1879"/>
              <w:gridCol w:w="1062"/>
              <w:gridCol w:w="1064"/>
              <w:gridCol w:w="1062"/>
              <w:gridCol w:w="1062"/>
              <w:gridCol w:w="1081"/>
            </w:tblGrid>
            <w:tr w14:paraId="78A102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97" w:hRule="atLeast"/>
                <w:tblHeader/>
                <w:jc w:val="center"/>
              </w:trPr>
              <w:tc>
                <w:tcPr>
                  <w:tcW w:w="1596" w:type="pct"/>
                  <w:gridSpan w:val="2"/>
                  <w:vMerge w:val="restart"/>
                  <w:tcBorders>
                    <w:tl2br w:val="nil"/>
                    <w:tr2bl w:val="nil"/>
                  </w:tcBorders>
                  <w:noWrap w:val="0"/>
                  <w:tcMar>
                    <w:top w:w="13" w:type="dxa"/>
                    <w:left w:w="13" w:type="dxa"/>
                    <w:bottom w:w="0" w:type="dxa"/>
                    <w:right w:w="13" w:type="dxa"/>
                  </w:tcMar>
                  <w:vAlign w:val="center"/>
                </w:tcPr>
                <w:p w14:paraId="047545D9">
                  <w:pPr>
                    <w:adjustRightInd w:val="0"/>
                    <w:snapToGrid w:val="0"/>
                    <w:spacing w:before="24" w:beforeLines="10" w:after="24" w:afterLines="10" w:line="240" w:lineRule="auto"/>
                    <w:jc w:val="center"/>
                    <w:rPr>
                      <w:rFonts w:hint="eastAsia" w:ascii="Times New Roman" w:hAnsi="Times New Roman" w:eastAsia="宋体" w:cs="Times New Roman"/>
                      <w:b/>
                      <w:bCs/>
                      <w:color w:val="auto"/>
                      <w:kern w:val="0"/>
                      <w:sz w:val="21"/>
                      <w:szCs w:val="21"/>
                      <w:u w:val="wave"/>
                      <w:lang w:val="en-US" w:eastAsia="zh-CN"/>
                    </w:rPr>
                  </w:pPr>
                  <w:r>
                    <w:rPr>
                      <w:rFonts w:hint="eastAsia" w:ascii="Times New Roman" w:hAnsi="Times New Roman" w:eastAsia="宋体" w:cs="Times New Roman"/>
                      <w:b/>
                      <w:bCs/>
                      <w:color w:val="auto"/>
                      <w:kern w:val="0"/>
                      <w:sz w:val="21"/>
                      <w:szCs w:val="21"/>
                      <w:u w:val="wave"/>
                      <w:lang w:val="en-US" w:eastAsia="zh-CN"/>
                    </w:rPr>
                    <w:t>项  目  名  称</w:t>
                  </w:r>
                </w:p>
              </w:tc>
              <w:tc>
                <w:tcPr>
                  <w:tcW w:w="1357" w:type="pct"/>
                  <w:gridSpan w:val="2"/>
                  <w:tcBorders>
                    <w:tl2br w:val="nil"/>
                    <w:tr2bl w:val="nil"/>
                  </w:tcBorders>
                  <w:noWrap w:val="0"/>
                  <w:tcMar>
                    <w:top w:w="13" w:type="dxa"/>
                    <w:left w:w="13" w:type="dxa"/>
                    <w:bottom w:w="0" w:type="dxa"/>
                    <w:right w:w="13" w:type="dxa"/>
                  </w:tcMar>
                  <w:vAlign w:val="center"/>
                </w:tcPr>
                <w:p w14:paraId="0177F276">
                  <w:pPr>
                    <w:adjustRightInd w:val="0"/>
                    <w:snapToGrid w:val="0"/>
                    <w:spacing w:before="24" w:beforeLines="10" w:after="24" w:afterLines="10" w:line="240" w:lineRule="auto"/>
                    <w:jc w:val="center"/>
                    <w:rPr>
                      <w:rFonts w:hint="default" w:ascii="Times New Roman" w:hAnsi="Times New Roman" w:eastAsia="宋体" w:cs="Times New Roman"/>
                      <w:b/>
                      <w:bCs/>
                      <w:color w:val="auto"/>
                      <w:kern w:val="0"/>
                      <w:sz w:val="21"/>
                      <w:szCs w:val="21"/>
                      <w:u w:val="wave"/>
                      <w:lang w:val="en-US" w:eastAsia="zh-CN"/>
                    </w:rPr>
                  </w:pPr>
                  <w:r>
                    <w:rPr>
                      <w:rFonts w:hint="eastAsia" w:cs="Times New Roman"/>
                      <w:b/>
                      <w:bCs/>
                      <w:color w:val="auto"/>
                      <w:kern w:val="0"/>
                      <w:sz w:val="21"/>
                      <w:szCs w:val="21"/>
                      <w:u w:val="wave"/>
                      <w:lang w:val="en-US" w:eastAsia="zh-CN"/>
                    </w:rPr>
                    <w:t>占地面积</w:t>
                  </w:r>
                </w:p>
              </w:tc>
              <w:tc>
                <w:tcPr>
                  <w:tcW w:w="2046" w:type="pct"/>
                  <w:gridSpan w:val="3"/>
                  <w:tcBorders>
                    <w:tl2br w:val="nil"/>
                    <w:tr2bl w:val="nil"/>
                  </w:tcBorders>
                  <w:noWrap w:val="0"/>
                  <w:tcMar>
                    <w:top w:w="13" w:type="dxa"/>
                    <w:left w:w="13" w:type="dxa"/>
                    <w:bottom w:w="0" w:type="dxa"/>
                    <w:right w:w="13" w:type="dxa"/>
                  </w:tcMar>
                  <w:vAlign w:val="center"/>
                </w:tcPr>
                <w:p w14:paraId="73BB0DE0">
                  <w:pPr>
                    <w:adjustRightInd w:val="0"/>
                    <w:snapToGrid w:val="0"/>
                    <w:spacing w:before="24" w:beforeLines="10" w:after="24" w:afterLines="10" w:line="240" w:lineRule="auto"/>
                    <w:jc w:val="center"/>
                    <w:rPr>
                      <w:rFonts w:hint="eastAsia" w:ascii="Times New Roman" w:hAnsi="Times New Roman" w:eastAsia="宋体" w:cs="Times New Roman"/>
                      <w:b w:val="0"/>
                      <w:bCs w:val="0"/>
                      <w:color w:val="000000" w:themeColor="text1"/>
                      <w:kern w:val="0"/>
                      <w:sz w:val="21"/>
                      <w:szCs w:val="21"/>
                      <w:highlight w:val="none"/>
                      <w:u w:val="wave"/>
                      <w:lang w:val="en-US" w:eastAsia="zh-CN"/>
                      <w14:textFill>
                        <w14:solidFill>
                          <w14:schemeClr w14:val="tx1"/>
                        </w14:solidFill>
                      </w14:textFill>
                    </w:rPr>
                  </w:pPr>
                  <w:r>
                    <w:rPr>
                      <w:rFonts w:hint="eastAsia" w:cs="Times New Roman"/>
                      <w:b w:val="0"/>
                      <w:bCs w:val="0"/>
                      <w:color w:val="000000" w:themeColor="text1"/>
                      <w:kern w:val="0"/>
                      <w:sz w:val="21"/>
                      <w:szCs w:val="21"/>
                      <w:highlight w:val="none"/>
                      <w:u w:val="wave"/>
                      <w:lang w:val="en-US" w:eastAsia="zh-CN"/>
                      <w14:textFill>
                        <w14:solidFill>
                          <w14:schemeClr w14:val="tx1"/>
                        </w14:solidFill>
                      </w14:textFill>
                    </w:rPr>
                    <w:t>占地类型</w:t>
                  </w:r>
                </w:p>
              </w:tc>
            </w:tr>
            <w:tr w14:paraId="653DD4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97" w:hRule="atLeast"/>
                <w:tblHeader/>
                <w:jc w:val="center"/>
              </w:trPr>
              <w:tc>
                <w:tcPr>
                  <w:tcW w:w="1596" w:type="pct"/>
                  <w:gridSpan w:val="2"/>
                  <w:vMerge w:val="continue"/>
                  <w:tcBorders>
                    <w:tl2br w:val="nil"/>
                    <w:tr2bl w:val="nil"/>
                  </w:tcBorders>
                  <w:noWrap w:val="0"/>
                  <w:tcMar>
                    <w:top w:w="13" w:type="dxa"/>
                    <w:left w:w="13" w:type="dxa"/>
                    <w:bottom w:w="0" w:type="dxa"/>
                    <w:right w:w="13" w:type="dxa"/>
                  </w:tcMar>
                  <w:vAlign w:val="center"/>
                </w:tcPr>
                <w:p w14:paraId="2B29484F">
                  <w:pPr>
                    <w:adjustRightInd w:val="0"/>
                    <w:snapToGrid w:val="0"/>
                    <w:spacing w:before="24" w:beforeLines="10" w:after="24" w:afterLines="10" w:line="240" w:lineRule="auto"/>
                    <w:jc w:val="center"/>
                    <w:rPr>
                      <w:rFonts w:hint="eastAsia" w:ascii="Times New Roman" w:hAnsi="Times New Roman" w:eastAsia="宋体" w:cs="Times New Roman"/>
                      <w:b/>
                      <w:bCs/>
                      <w:color w:val="auto"/>
                      <w:kern w:val="0"/>
                      <w:sz w:val="21"/>
                      <w:szCs w:val="21"/>
                      <w:u w:val="wave"/>
                      <w:lang w:val="en-US" w:eastAsia="zh-CN"/>
                    </w:rPr>
                  </w:pPr>
                </w:p>
              </w:tc>
              <w:tc>
                <w:tcPr>
                  <w:tcW w:w="678" w:type="pct"/>
                  <w:tcBorders>
                    <w:tl2br w:val="nil"/>
                    <w:tr2bl w:val="nil"/>
                  </w:tcBorders>
                  <w:noWrap w:val="0"/>
                  <w:tcMar>
                    <w:top w:w="13" w:type="dxa"/>
                    <w:left w:w="13" w:type="dxa"/>
                    <w:bottom w:w="0" w:type="dxa"/>
                    <w:right w:w="13" w:type="dxa"/>
                  </w:tcMar>
                  <w:vAlign w:val="center"/>
                </w:tcPr>
                <w:p w14:paraId="29E20F62">
                  <w:pPr>
                    <w:adjustRightInd w:val="0"/>
                    <w:snapToGrid w:val="0"/>
                    <w:spacing w:before="24" w:beforeLines="10" w:after="24" w:afterLines="10" w:line="240" w:lineRule="auto"/>
                    <w:jc w:val="center"/>
                    <w:rPr>
                      <w:rFonts w:hint="eastAsia" w:ascii="Times New Roman" w:hAnsi="Times New Roman" w:eastAsia="宋体" w:cs="Times New Roman"/>
                      <w:b/>
                      <w:bCs/>
                      <w:color w:val="auto"/>
                      <w:kern w:val="0"/>
                      <w:sz w:val="21"/>
                      <w:szCs w:val="21"/>
                      <w:u w:val="wave"/>
                      <w:lang w:val="en-US" w:eastAsia="zh-CN"/>
                    </w:rPr>
                  </w:pPr>
                  <w:r>
                    <w:rPr>
                      <w:rFonts w:hint="eastAsia" w:ascii="Times New Roman" w:hAnsi="Times New Roman" w:eastAsia="宋体" w:cs="Times New Roman"/>
                      <w:b/>
                      <w:bCs/>
                      <w:color w:val="auto"/>
                      <w:kern w:val="0"/>
                      <w:sz w:val="21"/>
                      <w:szCs w:val="21"/>
                      <w:u w:val="wave"/>
                      <w:lang w:val="en-US" w:eastAsia="zh-CN"/>
                    </w:rPr>
                    <w:t>永久性征用地</w:t>
                  </w:r>
                </w:p>
              </w:tc>
              <w:tc>
                <w:tcPr>
                  <w:tcW w:w="679" w:type="pct"/>
                  <w:tcBorders>
                    <w:tl2br w:val="nil"/>
                    <w:tr2bl w:val="nil"/>
                  </w:tcBorders>
                  <w:noWrap w:val="0"/>
                  <w:tcMar>
                    <w:top w:w="13" w:type="dxa"/>
                    <w:left w:w="13" w:type="dxa"/>
                    <w:bottom w:w="0" w:type="dxa"/>
                    <w:right w:w="13" w:type="dxa"/>
                  </w:tcMar>
                  <w:vAlign w:val="center"/>
                </w:tcPr>
                <w:p w14:paraId="06D9AC0E">
                  <w:pPr>
                    <w:adjustRightInd w:val="0"/>
                    <w:snapToGrid w:val="0"/>
                    <w:spacing w:before="24" w:beforeLines="10" w:after="24" w:afterLines="10" w:line="240" w:lineRule="auto"/>
                    <w:jc w:val="center"/>
                    <w:rPr>
                      <w:rFonts w:hint="eastAsia" w:ascii="Times New Roman" w:hAnsi="Times New Roman" w:eastAsia="宋体" w:cs="Times New Roman"/>
                      <w:b/>
                      <w:bCs/>
                      <w:color w:val="auto"/>
                      <w:kern w:val="0"/>
                      <w:sz w:val="21"/>
                      <w:szCs w:val="21"/>
                      <w:u w:val="wave"/>
                      <w:lang w:val="en-US" w:eastAsia="zh-CN"/>
                    </w:rPr>
                  </w:pPr>
                  <w:r>
                    <w:rPr>
                      <w:rFonts w:hint="eastAsia" w:ascii="Times New Roman" w:hAnsi="Times New Roman" w:eastAsia="宋体" w:cs="Times New Roman"/>
                      <w:b/>
                      <w:bCs/>
                      <w:color w:val="auto"/>
                      <w:kern w:val="0"/>
                      <w:sz w:val="21"/>
                      <w:szCs w:val="21"/>
                      <w:u w:val="wave"/>
                      <w:lang w:val="en-US" w:eastAsia="zh-CN"/>
                    </w:rPr>
                    <w:t>临时</w:t>
                  </w:r>
                  <w:r>
                    <w:rPr>
                      <w:rFonts w:hint="eastAsia" w:cs="Times New Roman"/>
                      <w:b/>
                      <w:bCs/>
                      <w:color w:val="auto"/>
                      <w:kern w:val="0"/>
                      <w:sz w:val="21"/>
                      <w:szCs w:val="21"/>
                      <w:u w:val="wave"/>
                      <w:lang w:val="en-US" w:eastAsia="zh-CN"/>
                    </w:rPr>
                    <w:t>占</w:t>
                  </w:r>
                  <w:r>
                    <w:rPr>
                      <w:rFonts w:hint="eastAsia" w:ascii="Times New Roman" w:hAnsi="Times New Roman" w:eastAsia="宋体" w:cs="Times New Roman"/>
                      <w:b/>
                      <w:bCs/>
                      <w:color w:val="auto"/>
                      <w:kern w:val="0"/>
                      <w:sz w:val="21"/>
                      <w:szCs w:val="21"/>
                      <w:u w:val="wave"/>
                      <w:lang w:val="en-US" w:eastAsia="zh-CN"/>
                    </w:rPr>
                    <w:t>地</w:t>
                  </w:r>
                </w:p>
              </w:tc>
              <w:tc>
                <w:tcPr>
                  <w:tcW w:w="678" w:type="pct"/>
                  <w:tcBorders>
                    <w:tl2br w:val="nil"/>
                    <w:tr2bl w:val="nil"/>
                  </w:tcBorders>
                  <w:noWrap w:val="0"/>
                  <w:tcMar>
                    <w:top w:w="13" w:type="dxa"/>
                    <w:left w:w="13" w:type="dxa"/>
                    <w:bottom w:w="0" w:type="dxa"/>
                    <w:right w:w="13" w:type="dxa"/>
                  </w:tcMar>
                  <w:vAlign w:val="center"/>
                </w:tcPr>
                <w:p w14:paraId="7E3776E9">
                  <w:pPr>
                    <w:adjustRightInd w:val="0"/>
                    <w:snapToGrid w:val="0"/>
                    <w:spacing w:before="24" w:beforeLines="10" w:after="24" w:afterLines="10" w:line="240" w:lineRule="auto"/>
                    <w:jc w:val="center"/>
                    <w:rPr>
                      <w:rFonts w:hint="eastAsia" w:ascii="Times New Roman" w:hAnsi="Times New Roman" w:eastAsia="宋体" w:cs="Times New Roman"/>
                      <w:b w:val="0"/>
                      <w:bCs w:val="0"/>
                      <w:color w:val="000000" w:themeColor="text1"/>
                      <w:kern w:val="0"/>
                      <w:sz w:val="21"/>
                      <w:szCs w:val="21"/>
                      <w:highlight w:val="none"/>
                      <w:u w:val="wave"/>
                      <w:lang w:val="en-US" w:eastAsia="zh-CN"/>
                      <w14:textFill>
                        <w14:solidFill>
                          <w14:schemeClr w14:val="tx1"/>
                        </w14:solidFill>
                      </w14:textFill>
                    </w:rPr>
                  </w:pPr>
                  <w:r>
                    <w:rPr>
                      <w:rFonts w:hint="eastAsia" w:cs="Times New Roman"/>
                      <w:b w:val="0"/>
                      <w:bCs w:val="0"/>
                      <w:color w:val="000000" w:themeColor="text1"/>
                      <w:kern w:val="0"/>
                      <w:sz w:val="21"/>
                      <w:szCs w:val="21"/>
                      <w:highlight w:val="none"/>
                      <w:u w:val="wave"/>
                      <w:lang w:val="en-US" w:eastAsia="zh-CN"/>
                      <w14:textFill>
                        <w14:solidFill>
                          <w14:schemeClr w14:val="tx1"/>
                        </w14:solidFill>
                      </w14:textFill>
                    </w:rPr>
                    <w:t>林地</w:t>
                  </w:r>
                </w:p>
              </w:tc>
              <w:tc>
                <w:tcPr>
                  <w:tcW w:w="678" w:type="pct"/>
                  <w:tcBorders>
                    <w:tl2br w:val="nil"/>
                    <w:tr2bl w:val="nil"/>
                  </w:tcBorders>
                  <w:noWrap w:val="0"/>
                  <w:tcMar>
                    <w:top w:w="13" w:type="dxa"/>
                    <w:left w:w="13" w:type="dxa"/>
                    <w:bottom w:w="0" w:type="dxa"/>
                    <w:right w:w="13" w:type="dxa"/>
                  </w:tcMar>
                  <w:vAlign w:val="center"/>
                </w:tcPr>
                <w:p w14:paraId="08519BB3">
                  <w:pPr>
                    <w:adjustRightInd w:val="0"/>
                    <w:snapToGrid w:val="0"/>
                    <w:spacing w:before="24" w:beforeLines="10" w:after="24" w:afterLines="10" w:line="240" w:lineRule="auto"/>
                    <w:jc w:val="center"/>
                    <w:rPr>
                      <w:rFonts w:hint="eastAsia" w:ascii="Times New Roman" w:hAnsi="Times New Roman" w:eastAsia="宋体" w:cs="Times New Roman"/>
                      <w:b w:val="0"/>
                      <w:bCs w:val="0"/>
                      <w:color w:val="000000" w:themeColor="text1"/>
                      <w:kern w:val="0"/>
                      <w:sz w:val="21"/>
                      <w:szCs w:val="21"/>
                      <w:highlight w:val="none"/>
                      <w:u w:val="wave"/>
                      <w:lang w:val="en-US" w:eastAsia="zh-CN"/>
                      <w14:textFill>
                        <w14:solidFill>
                          <w14:schemeClr w14:val="tx1"/>
                        </w14:solidFill>
                      </w14:textFill>
                    </w:rPr>
                  </w:pPr>
                  <w:r>
                    <w:rPr>
                      <w:rFonts w:hint="eastAsia" w:cs="Times New Roman"/>
                      <w:b w:val="0"/>
                      <w:bCs w:val="0"/>
                      <w:color w:val="000000" w:themeColor="text1"/>
                      <w:kern w:val="0"/>
                      <w:sz w:val="21"/>
                      <w:szCs w:val="21"/>
                      <w:highlight w:val="none"/>
                      <w:u w:val="wave"/>
                      <w:lang w:val="en-US" w:eastAsia="zh-CN"/>
                      <w14:textFill>
                        <w14:solidFill>
                          <w14:schemeClr w14:val="tx1"/>
                        </w14:solidFill>
                      </w14:textFill>
                    </w:rPr>
                    <w:t>草地</w:t>
                  </w:r>
                </w:p>
              </w:tc>
              <w:tc>
                <w:tcPr>
                  <w:tcW w:w="690" w:type="pct"/>
                  <w:tcBorders>
                    <w:tl2br w:val="nil"/>
                    <w:tr2bl w:val="nil"/>
                  </w:tcBorders>
                  <w:noWrap w:val="0"/>
                  <w:tcMar>
                    <w:top w:w="13" w:type="dxa"/>
                    <w:left w:w="13" w:type="dxa"/>
                    <w:bottom w:w="0" w:type="dxa"/>
                    <w:right w:w="13" w:type="dxa"/>
                  </w:tcMar>
                  <w:vAlign w:val="center"/>
                </w:tcPr>
                <w:p w14:paraId="33D5594F">
                  <w:pPr>
                    <w:adjustRightInd w:val="0"/>
                    <w:snapToGrid w:val="0"/>
                    <w:spacing w:before="24" w:beforeLines="10" w:after="24" w:afterLines="10" w:line="240" w:lineRule="auto"/>
                    <w:jc w:val="center"/>
                    <w:rPr>
                      <w:rFonts w:hint="eastAsia" w:ascii="Times New Roman" w:hAnsi="Times New Roman" w:eastAsia="宋体" w:cs="Times New Roman"/>
                      <w:b w:val="0"/>
                      <w:bCs w:val="0"/>
                      <w:color w:val="000000" w:themeColor="text1"/>
                      <w:kern w:val="0"/>
                      <w:sz w:val="21"/>
                      <w:szCs w:val="21"/>
                      <w:highlight w:val="none"/>
                      <w:u w:val="wave"/>
                      <w:lang w:val="en-US" w:eastAsia="zh-CN"/>
                      <w14:textFill>
                        <w14:solidFill>
                          <w14:schemeClr w14:val="tx1"/>
                        </w14:solidFill>
                      </w14:textFill>
                    </w:rPr>
                  </w:pPr>
                  <w:r>
                    <w:rPr>
                      <w:rFonts w:hint="eastAsia" w:cs="Times New Roman"/>
                      <w:b w:val="0"/>
                      <w:bCs w:val="0"/>
                      <w:color w:val="000000" w:themeColor="text1"/>
                      <w:kern w:val="0"/>
                      <w:sz w:val="21"/>
                      <w:szCs w:val="21"/>
                      <w:highlight w:val="none"/>
                      <w:u w:val="wave"/>
                      <w:lang w:val="en-US" w:eastAsia="zh-CN"/>
                      <w14:textFill>
                        <w14:solidFill>
                          <w14:schemeClr w14:val="tx1"/>
                        </w14:solidFill>
                      </w14:textFill>
                    </w:rPr>
                    <w:t>合计</w:t>
                  </w:r>
                </w:p>
              </w:tc>
            </w:tr>
            <w:tr w14:paraId="313FB6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7" w:type="pct"/>
                  <w:vMerge w:val="restart"/>
                  <w:tcBorders>
                    <w:tl2br w:val="nil"/>
                    <w:tr2bl w:val="nil"/>
                  </w:tcBorders>
                  <w:noWrap w:val="0"/>
                  <w:tcMar>
                    <w:top w:w="13" w:type="dxa"/>
                    <w:left w:w="13" w:type="dxa"/>
                    <w:bottom w:w="0" w:type="dxa"/>
                    <w:right w:w="13" w:type="dxa"/>
                  </w:tcMar>
                  <w:vAlign w:val="center"/>
                </w:tcPr>
                <w:p w14:paraId="45B1B7E2">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wave"/>
                      <w:lang w:val="en-US" w:eastAsia="zh-CN"/>
                    </w:rPr>
                  </w:pPr>
                  <w:r>
                    <w:rPr>
                      <w:rFonts w:hint="eastAsia" w:cs="Times New Roman"/>
                      <w:color w:val="auto"/>
                      <w:kern w:val="0"/>
                      <w:sz w:val="21"/>
                      <w:szCs w:val="21"/>
                      <w:u w:val="wave"/>
                      <w:lang w:val="en-US" w:eastAsia="zh-CN"/>
                    </w:rPr>
                    <w:t>风电机组区</w:t>
                  </w:r>
                </w:p>
              </w:tc>
              <w:tc>
                <w:tcPr>
                  <w:tcW w:w="1198" w:type="pct"/>
                  <w:tcBorders>
                    <w:tl2br w:val="nil"/>
                    <w:tr2bl w:val="nil"/>
                  </w:tcBorders>
                  <w:noWrap w:val="0"/>
                  <w:tcMar>
                    <w:top w:w="13" w:type="dxa"/>
                    <w:left w:w="13" w:type="dxa"/>
                    <w:bottom w:w="0" w:type="dxa"/>
                    <w:right w:w="13" w:type="dxa"/>
                  </w:tcMar>
                  <w:vAlign w:val="center"/>
                </w:tcPr>
                <w:p w14:paraId="6849032D">
                  <w:pPr>
                    <w:adjustRightInd w:val="0"/>
                    <w:snapToGrid w:val="0"/>
                    <w:spacing w:before="24" w:beforeLines="10" w:after="24" w:afterLines="10" w:line="240" w:lineRule="auto"/>
                    <w:jc w:val="center"/>
                    <w:rPr>
                      <w:rFonts w:hint="default" w:cs="Times New Roman"/>
                      <w:color w:val="auto"/>
                      <w:kern w:val="0"/>
                      <w:sz w:val="21"/>
                      <w:szCs w:val="21"/>
                      <w:u w:val="wave"/>
                      <w:lang w:val="en-US" w:eastAsia="zh-CN"/>
                    </w:rPr>
                  </w:pPr>
                  <w:r>
                    <w:rPr>
                      <w:rFonts w:hint="eastAsia" w:cs="Times New Roman"/>
                      <w:color w:val="auto"/>
                      <w:kern w:val="0"/>
                      <w:sz w:val="21"/>
                      <w:szCs w:val="21"/>
                      <w:u w:val="wave"/>
                      <w:lang w:val="en-US" w:eastAsia="zh-CN"/>
                    </w:rPr>
                    <w:t>风机及箱变基础</w:t>
                  </w:r>
                </w:p>
              </w:tc>
              <w:tc>
                <w:tcPr>
                  <w:tcW w:w="678" w:type="pct"/>
                  <w:tcBorders>
                    <w:tl2br w:val="nil"/>
                    <w:tr2bl w:val="nil"/>
                  </w:tcBorders>
                  <w:noWrap w:val="0"/>
                  <w:tcMar>
                    <w:top w:w="13" w:type="dxa"/>
                    <w:left w:w="13" w:type="dxa"/>
                    <w:bottom w:w="0" w:type="dxa"/>
                    <w:right w:w="13" w:type="dxa"/>
                  </w:tcMar>
                  <w:vAlign w:val="center"/>
                </w:tcPr>
                <w:p w14:paraId="5B87E160">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wave"/>
                      <w:lang w:val="en-US" w:eastAsia="zh-CN"/>
                    </w:rPr>
                  </w:pPr>
                  <w:r>
                    <w:rPr>
                      <w:rFonts w:hint="eastAsia" w:cs="Times New Roman"/>
                      <w:color w:val="auto"/>
                      <w:kern w:val="0"/>
                      <w:sz w:val="21"/>
                      <w:szCs w:val="21"/>
                      <w:u w:val="wave"/>
                      <w:lang w:val="en-US" w:eastAsia="zh-CN"/>
                    </w:rPr>
                    <w:t>0.57</w:t>
                  </w:r>
                </w:p>
              </w:tc>
              <w:tc>
                <w:tcPr>
                  <w:tcW w:w="679" w:type="pct"/>
                  <w:tcBorders>
                    <w:tl2br w:val="nil"/>
                    <w:tr2bl w:val="nil"/>
                  </w:tcBorders>
                  <w:noWrap w:val="0"/>
                  <w:tcMar>
                    <w:top w:w="13" w:type="dxa"/>
                    <w:left w:w="13" w:type="dxa"/>
                    <w:bottom w:w="0" w:type="dxa"/>
                    <w:right w:w="13" w:type="dxa"/>
                  </w:tcMar>
                  <w:vAlign w:val="center"/>
                </w:tcPr>
                <w:p w14:paraId="283C9A84">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wave"/>
                      <w:lang w:val="en-US" w:eastAsia="zh-CN"/>
                    </w:rPr>
                  </w:pPr>
                </w:p>
              </w:tc>
              <w:tc>
                <w:tcPr>
                  <w:tcW w:w="678" w:type="pct"/>
                  <w:tcBorders>
                    <w:tl2br w:val="nil"/>
                    <w:tr2bl w:val="nil"/>
                  </w:tcBorders>
                  <w:noWrap w:val="0"/>
                  <w:tcMar>
                    <w:top w:w="13" w:type="dxa"/>
                    <w:left w:w="13" w:type="dxa"/>
                    <w:bottom w:w="0" w:type="dxa"/>
                    <w:right w:w="13" w:type="dxa"/>
                  </w:tcMar>
                  <w:vAlign w:val="center"/>
                </w:tcPr>
                <w:p w14:paraId="70B68163">
                  <w:pPr>
                    <w:adjustRightInd w:val="0"/>
                    <w:snapToGrid w:val="0"/>
                    <w:spacing w:before="24" w:beforeLines="10" w:after="24" w:afterLines="10" w:line="240" w:lineRule="auto"/>
                    <w:jc w:val="center"/>
                    <w:rPr>
                      <w:rFonts w:hint="eastAsia" w:ascii="Times New Roman" w:hAnsi="Times New Roman" w:eastAsia="宋体" w:cs="Times New Roman"/>
                      <w:color w:val="auto"/>
                      <w:kern w:val="0"/>
                      <w:sz w:val="21"/>
                      <w:szCs w:val="21"/>
                      <w:highlight w:val="none"/>
                      <w:u w:val="wave"/>
                      <w:lang w:val="en-US" w:eastAsia="zh-CN"/>
                    </w:rPr>
                  </w:pPr>
                  <w:r>
                    <w:rPr>
                      <w:rFonts w:hint="eastAsia" w:cs="Times New Roman"/>
                      <w:color w:val="auto"/>
                      <w:kern w:val="0"/>
                      <w:sz w:val="21"/>
                      <w:szCs w:val="21"/>
                      <w:highlight w:val="none"/>
                      <w:u w:val="wave"/>
                      <w:lang w:val="en-US" w:eastAsia="zh-CN"/>
                    </w:rPr>
                    <w:t>0.40</w:t>
                  </w:r>
                </w:p>
              </w:tc>
              <w:tc>
                <w:tcPr>
                  <w:tcW w:w="678" w:type="pct"/>
                  <w:tcBorders>
                    <w:tl2br w:val="nil"/>
                    <w:tr2bl w:val="nil"/>
                  </w:tcBorders>
                  <w:noWrap w:val="0"/>
                  <w:tcMar>
                    <w:top w:w="13" w:type="dxa"/>
                    <w:left w:w="13" w:type="dxa"/>
                    <w:bottom w:w="0" w:type="dxa"/>
                    <w:right w:w="13" w:type="dxa"/>
                  </w:tcMar>
                  <w:vAlign w:val="center"/>
                </w:tcPr>
                <w:p w14:paraId="2AF7A2D7">
                  <w:pPr>
                    <w:adjustRightInd w:val="0"/>
                    <w:snapToGrid w:val="0"/>
                    <w:spacing w:before="24" w:beforeLines="10" w:after="24" w:afterLines="10" w:line="240" w:lineRule="auto"/>
                    <w:jc w:val="center"/>
                    <w:rPr>
                      <w:rFonts w:hint="eastAsia" w:ascii="Times New Roman" w:hAnsi="Times New Roman" w:eastAsia="宋体" w:cs="Times New Roman"/>
                      <w:color w:val="auto"/>
                      <w:kern w:val="0"/>
                      <w:sz w:val="21"/>
                      <w:szCs w:val="21"/>
                      <w:highlight w:val="none"/>
                      <w:u w:val="wave"/>
                      <w:lang w:val="en-US" w:eastAsia="zh-CN"/>
                    </w:rPr>
                  </w:pPr>
                  <w:r>
                    <w:rPr>
                      <w:rFonts w:hint="eastAsia" w:cs="Times New Roman"/>
                      <w:color w:val="auto"/>
                      <w:kern w:val="0"/>
                      <w:sz w:val="21"/>
                      <w:szCs w:val="21"/>
                      <w:highlight w:val="none"/>
                      <w:u w:val="wave"/>
                      <w:lang w:val="en-US" w:eastAsia="zh-CN"/>
                    </w:rPr>
                    <w:t>0.17</w:t>
                  </w:r>
                </w:p>
              </w:tc>
              <w:tc>
                <w:tcPr>
                  <w:tcW w:w="690" w:type="pct"/>
                  <w:tcBorders>
                    <w:tl2br w:val="nil"/>
                    <w:tr2bl w:val="nil"/>
                  </w:tcBorders>
                  <w:noWrap w:val="0"/>
                  <w:tcMar>
                    <w:top w:w="13" w:type="dxa"/>
                    <w:left w:w="13" w:type="dxa"/>
                    <w:bottom w:w="0" w:type="dxa"/>
                    <w:right w:w="13" w:type="dxa"/>
                  </w:tcMar>
                  <w:vAlign w:val="center"/>
                </w:tcPr>
                <w:p w14:paraId="1D562C75">
                  <w:pPr>
                    <w:adjustRightInd w:val="0"/>
                    <w:snapToGrid w:val="0"/>
                    <w:spacing w:before="24" w:beforeLines="10" w:after="24" w:afterLines="10" w:line="240" w:lineRule="auto"/>
                    <w:jc w:val="center"/>
                    <w:rPr>
                      <w:rFonts w:hint="eastAsia" w:ascii="Times New Roman" w:hAnsi="Times New Roman" w:eastAsia="宋体" w:cs="Times New Roman"/>
                      <w:color w:val="auto"/>
                      <w:kern w:val="0"/>
                      <w:sz w:val="21"/>
                      <w:szCs w:val="21"/>
                      <w:highlight w:val="none"/>
                      <w:u w:val="wave"/>
                      <w:lang w:val="en-US" w:eastAsia="zh-CN"/>
                    </w:rPr>
                  </w:pPr>
                  <w:r>
                    <w:rPr>
                      <w:rFonts w:hint="eastAsia" w:cs="Times New Roman"/>
                      <w:color w:val="auto"/>
                      <w:kern w:val="0"/>
                      <w:sz w:val="21"/>
                      <w:szCs w:val="21"/>
                      <w:highlight w:val="none"/>
                      <w:u w:val="wave"/>
                      <w:lang w:val="en-US" w:eastAsia="zh-CN"/>
                    </w:rPr>
                    <w:t>0.57</w:t>
                  </w:r>
                </w:p>
              </w:tc>
            </w:tr>
            <w:tr w14:paraId="280E78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7" w:type="pct"/>
                  <w:vMerge w:val="continue"/>
                  <w:tcBorders>
                    <w:tl2br w:val="nil"/>
                    <w:tr2bl w:val="nil"/>
                  </w:tcBorders>
                  <w:noWrap w:val="0"/>
                  <w:tcMar>
                    <w:top w:w="13" w:type="dxa"/>
                    <w:left w:w="13" w:type="dxa"/>
                    <w:bottom w:w="0" w:type="dxa"/>
                    <w:right w:w="13" w:type="dxa"/>
                  </w:tcMar>
                  <w:vAlign w:val="center"/>
                </w:tcPr>
                <w:p w14:paraId="24B4DCFD">
                  <w:pPr>
                    <w:adjustRightInd w:val="0"/>
                    <w:snapToGrid w:val="0"/>
                    <w:spacing w:before="24" w:beforeLines="10" w:after="24" w:afterLines="10" w:line="240" w:lineRule="auto"/>
                    <w:jc w:val="center"/>
                    <w:rPr>
                      <w:rFonts w:hint="eastAsia" w:cs="Times New Roman"/>
                      <w:color w:val="auto"/>
                      <w:kern w:val="0"/>
                      <w:sz w:val="21"/>
                      <w:szCs w:val="21"/>
                      <w:u w:val="wave"/>
                      <w:lang w:val="en-US" w:eastAsia="zh-CN"/>
                    </w:rPr>
                  </w:pPr>
                </w:p>
              </w:tc>
              <w:tc>
                <w:tcPr>
                  <w:tcW w:w="1198" w:type="pct"/>
                  <w:tcBorders>
                    <w:tl2br w:val="nil"/>
                    <w:tr2bl w:val="nil"/>
                  </w:tcBorders>
                  <w:noWrap w:val="0"/>
                  <w:tcMar>
                    <w:top w:w="13" w:type="dxa"/>
                    <w:left w:w="13" w:type="dxa"/>
                    <w:bottom w:w="0" w:type="dxa"/>
                    <w:right w:w="13" w:type="dxa"/>
                  </w:tcMar>
                  <w:vAlign w:val="center"/>
                </w:tcPr>
                <w:p w14:paraId="61E51B63">
                  <w:pPr>
                    <w:adjustRightInd w:val="0"/>
                    <w:snapToGrid w:val="0"/>
                    <w:spacing w:before="24" w:beforeLines="10" w:after="24" w:afterLines="10" w:line="240" w:lineRule="auto"/>
                    <w:jc w:val="center"/>
                    <w:rPr>
                      <w:rFonts w:hint="default" w:cs="Times New Roman"/>
                      <w:color w:val="auto"/>
                      <w:kern w:val="0"/>
                      <w:sz w:val="21"/>
                      <w:szCs w:val="21"/>
                      <w:u w:val="wave"/>
                      <w:lang w:val="en-US" w:eastAsia="zh-CN"/>
                    </w:rPr>
                  </w:pPr>
                  <w:r>
                    <w:rPr>
                      <w:rFonts w:hint="eastAsia" w:cs="Times New Roman"/>
                      <w:color w:val="auto"/>
                      <w:kern w:val="0"/>
                      <w:sz w:val="21"/>
                      <w:szCs w:val="21"/>
                      <w:u w:val="wave"/>
                      <w:lang w:val="en-US" w:eastAsia="zh-CN"/>
                    </w:rPr>
                    <w:t>风机安装场区</w:t>
                  </w:r>
                </w:p>
              </w:tc>
              <w:tc>
                <w:tcPr>
                  <w:tcW w:w="678" w:type="pct"/>
                  <w:tcBorders>
                    <w:tl2br w:val="nil"/>
                    <w:tr2bl w:val="nil"/>
                  </w:tcBorders>
                  <w:noWrap w:val="0"/>
                  <w:tcMar>
                    <w:top w:w="13" w:type="dxa"/>
                    <w:left w:w="13" w:type="dxa"/>
                    <w:bottom w:w="0" w:type="dxa"/>
                    <w:right w:w="13" w:type="dxa"/>
                  </w:tcMar>
                  <w:vAlign w:val="center"/>
                </w:tcPr>
                <w:p w14:paraId="1EB12126">
                  <w:pPr>
                    <w:adjustRightInd w:val="0"/>
                    <w:snapToGrid w:val="0"/>
                    <w:spacing w:before="24" w:beforeLines="10" w:after="24" w:afterLines="10" w:line="240" w:lineRule="auto"/>
                    <w:jc w:val="center"/>
                    <w:rPr>
                      <w:rFonts w:hint="eastAsia" w:ascii="Times New Roman" w:hAnsi="Times New Roman" w:eastAsia="宋体" w:cs="Times New Roman"/>
                      <w:color w:val="auto"/>
                      <w:kern w:val="0"/>
                      <w:sz w:val="21"/>
                      <w:szCs w:val="21"/>
                      <w:u w:val="wave"/>
                      <w:lang w:val="en-US" w:eastAsia="zh-CN"/>
                    </w:rPr>
                  </w:pPr>
                </w:p>
              </w:tc>
              <w:tc>
                <w:tcPr>
                  <w:tcW w:w="679" w:type="pct"/>
                  <w:tcBorders>
                    <w:tl2br w:val="nil"/>
                    <w:tr2bl w:val="nil"/>
                  </w:tcBorders>
                  <w:noWrap w:val="0"/>
                  <w:tcMar>
                    <w:top w:w="13" w:type="dxa"/>
                    <w:left w:w="13" w:type="dxa"/>
                    <w:bottom w:w="0" w:type="dxa"/>
                    <w:right w:w="13" w:type="dxa"/>
                  </w:tcMar>
                  <w:vAlign w:val="center"/>
                </w:tcPr>
                <w:p w14:paraId="47AA6645">
                  <w:pPr>
                    <w:adjustRightInd w:val="0"/>
                    <w:snapToGrid w:val="0"/>
                    <w:spacing w:before="24" w:beforeLines="10" w:after="24" w:afterLines="10" w:line="240" w:lineRule="auto"/>
                    <w:jc w:val="center"/>
                    <w:rPr>
                      <w:rFonts w:hint="default" w:cs="Times New Roman"/>
                      <w:color w:val="auto"/>
                      <w:kern w:val="0"/>
                      <w:sz w:val="21"/>
                      <w:szCs w:val="21"/>
                      <w:u w:val="wave"/>
                      <w:lang w:val="en-US" w:eastAsia="zh-CN"/>
                    </w:rPr>
                  </w:pPr>
                  <w:r>
                    <w:rPr>
                      <w:rFonts w:hint="eastAsia" w:cs="Times New Roman"/>
                      <w:color w:val="auto"/>
                      <w:kern w:val="0"/>
                      <w:sz w:val="21"/>
                      <w:szCs w:val="21"/>
                      <w:u w:val="wave"/>
                      <w:lang w:val="en-US" w:eastAsia="zh-CN"/>
                    </w:rPr>
                    <w:t>3.0</w:t>
                  </w:r>
                </w:p>
              </w:tc>
              <w:tc>
                <w:tcPr>
                  <w:tcW w:w="678" w:type="pct"/>
                  <w:tcBorders>
                    <w:tl2br w:val="nil"/>
                    <w:tr2bl w:val="nil"/>
                  </w:tcBorders>
                  <w:noWrap w:val="0"/>
                  <w:tcMar>
                    <w:top w:w="13" w:type="dxa"/>
                    <w:left w:w="13" w:type="dxa"/>
                    <w:bottom w:w="0" w:type="dxa"/>
                    <w:right w:w="13" w:type="dxa"/>
                  </w:tcMar>
                  <w:vAlign w:val="center"/>
                </w:tcPr>
                <w:p w14:paraId="3F3D146F">
                  <w:pPr>
                    <w:adjustRightInd w:val="0"/>
                    <w:snapToGrid w:val="0"/>
                    <w:spacing w:before="24" w:beforeLines="10" w:after="24" w:afterLines="10" w:line="240" w:lineRule="auto"/>
                    <w:jc w:val="center"/>
                    <w:rPr>
                      <w:rFonts w:hint="eastAsia" w:cs="Times New Roman"/>
                      <w:color w:val="auto"/>
                      <w:kern w:val="0"/>
                      <w:sz w:val="21"/>
                      <w:szCs w:val="21"/>
                      <w:highlight w:val="none"/>
                      <w:u w:val="wave"/>
                      <w:lang w:val="en-US" w:eastAsia="zh-CN"/>
                    </w:rPr>
                  </w:pPr>
                  <w:r>
                    <w:rPr>
                      <w:rFonts w:hint="eastAsia" w:cs="Times New Roman"/>
                      <w:color w:val="auto"/>
                      <w:kern w:val="0"/>
                      <w:sz w:val="21"/>
                      <w:szCs w:val="21"/>
                      <w:highlight w:val="none"/>
                      <w:u w:val="wave"/>
                      <w:lang w:val="en-US" w:eastAsia="zh-CN"/>
                    </w:rPr>
                    <w:t>2.10</w:t>
                  </w:r>
                </w:p>
              </w:tc>
              <w:tc>
                <w:tcPr>
                  <w:tcW w:w="678" w:type="pct"/>
                  <w:tcBorders>
                    <w:tl2br w:val="nil"/>
                    <w:tr2bl w:val="nil"/>
                  </w:tcBorders>
                  <w:noWrap w:val="0"/>
                  <w:tcMar>
                    <w:top w:w="13" w:type="dxa"/>
                    <w:left w:w="13" w:type="dxa"/>
                    <w:bottom w:w="0" w:type="dxa"/>
                    <w:right w:w="13" w:type="dxa"/>
                  </w:tcMar>
                  <w:vAlign w:val="center"/>
                </w:tcPr>
                <w:p w14:paraId="65A55E07">
                  <w:pPr>
                    <w:adjustRightInd w:val="0"/>
                    <w:snapToGrid w:val="0"/>
                    <w:spacing w:before="24" w:beforeLines="10" w:after="24" w:afterLines="10" w:line="240" w:lineRule="auto"/>
                    <w:jc w:val="center"/>
                    <w:rPr>
                      <w:rFonts w:hint="eastAsia" w:cs="Times New Roman"/>
                      <w:color w:val="auto"/>
                      <w:kern w:val="0"/>
                      <w:sz w:val="21"/>
                      <w:szCs w:val="21"/>
                      <w:highlight w:val="none"/>
                      <w:u w:val="wave"/>
                      <w:lang w:val="en-US" w:eastAsia="zh-CN"/>
                    </w:rPr>
                  </w:pPr>
                  <w:r>
                    <w:rPr>
                      <w:rFonts w:hint="eastAsia" w:cs="Times New Roman"/>
                      <w:color w:val="auto"/>
                      <w:kern w:val="0"/>
                      <w:sz w:val="21"/>
                      <w:szCs w:val="21"/>
                      <w:highlight w:val="none"/>
                      <w:u w:val="wave"/>
                      <w:lang w:val="en-US" w:eastAsia="zh-CN"/>
                    </w:rPr>
                    <w:t>0.9</w:t>
                  </w:r>
                </w:p>
              </w:tc>
              <w:tc>
                <w:tcPr>
                  <w:tcW w:w="690" w:type="pct"/>
                  <w:tcBorders>
                    <w:tl2br w:val="nil"/>
                    <w:tr2bl w:val="nil"/>
                  </w:tcBorders>
                  <w:noWrap w:val="0"/>
                  <w:tcMar>
                    <w:top w:w="13" w:type="dxa"/>
                    <w:left w:w="13" w:type="dxa"/>
                    <w:bottom w:w="0" w:type="dxa"/>
                    <w:right w:w="13" w:type="dxa"/>
                  </w:tcMar>
                  <w:vAlign w:val="center"/>
                </w:tcPr>
                <w:p w14:paraId="50370135">
                  <w:pPr>
                    <w:adjustRightInd w:val="0"/>
                    <w:snapToGrid w:val="0"/>
                    <w:spacing w:before="24" w:beforeLines="10" w:after="24" w:afterLines="10" w:line="240" w:lineRule="auto"/>
                    <w:jc w:val="center"/>
                    <w:rPr>
                      <w:rFonts w:hint="eastAsia" w:cs="Times New Roman"/>
                      <w:color w:val="auto"/>
                      <w:kern w:val="0"/>
                      <w:sz w:val="21"/>
                      <w:szCs w:val="21"/>
                      <w:highlight w:val="none"/>
                      <w:u w:val="wave"/>
                      <w:lang w:val="en-US" w:eastAsia="zh-CN"/>
                    </w:rPr>
                  </w:pPr>
                  <w:r>
                    <w:rPr>
                      <w:rFonts w:hint="eastAsia" w:cs="Times New Roman"/>
                      <w:color w:val="auto"/>
                      <w:kern w:val="0"/>
                      <w:sz w:val="21"/>
                      <w:szCs w:val="21"/>
                      <w:highlight w:val="none"/>
                      <w:u w:val="wave"/>
                      <w:lang w:val="en-US" w:eastAsia="zh-CN"/>
                    </w:rPr>
                    <w:t>3.0</w:t>
                  </w:r>
                </w:p>
              </w:tc>
            </w:tr>
            <w:tr w14:paraId="2E257F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7" w:type="pct"/>
                  <w:vMerge w:val="continue"/>
                  <w:tcBorders>
                    <w:tl2br w:val="nil"/>
                    <w:tr2bl w:val="nil"/>
                  </w:tcBorders>
                  <w:noWrap w:val="0"/>
                  <w:tcMar>
                    <w:top w:w="13" w:type="dxa"/>
                    <w:left w:w="13" w:type="dxa"/>
                    <w:bottom w:w="0" w:type="dxa"/>
                    <w:right w:w="13" w:type="dxa"/>
                  </w:tcMar>
                  <w:vAlign w:val="center"/>
                </w:tcPr>
                <w:p w14:paraId="7CBEDE29">
                  <w:pPr>
                    <w:adjustRightInd w:val="0"/>
                    <w:snapToGrid w:val="0"/>
                    <w:spacing w:before="24" w:beforeLines="10" w:after="24" w:afterLines="10" w:line="240" w:lineRule="auto"/>
                    <w:jc w:val="center"/>
                    <w:rPr>
                      <w:rFonts w:hint="eastAsia" w:cs="Times New Roman"/>
                      <w:color w:val="auto"/>
                      <w:kern w:val="0"/>
                      <w:sz w:val="21"/>
                      <w:szCs w:val="21"/>
                      <w:u w:val="wave"/>
                      <w:lang w:val="en-US" w:eastAsia="zh-CN"/>
                    </w:rPr>
                  </w:pPr>
                </w:p>
              </w:tc>
              <w:tc>
                <w:tcPr>
                  <w:tcW w:w="1198" w:type="pct"/>
                  <w:tcBorders>
                    <w:tl2br w:val="nil"/>
                    <w:tr2bl w:val="nil"/>
                  </w:tcBorders>
                  <w:noWrap w:val="0"/>
                  <w:tcMar>
                    <w:top w:w="13" w:type="dxa"/>
                    <w:left w:w="13" w:type="dxa"/>
                    <w:bottom w:w="0" w:type="dxa"/>
                    <w:right w:w="13" w:type="dxa"/>
                  </w:tcMar>
                  <w:vAlign w:val="center"/>
                </w:tcPr>
                <w:p w14:paraId="3DA5ACD3">
                  <w:pPr>
                    <w:adjustRightInd w:val="0"/>
                    <w:snapToGrid w:val="0"/>
                    <w:spacing w:before="24" w:beforeLines="10" w:after="24" w:afterLines="10" w:line="240" w:lineRule="auto"/>
                    <w:jc w:val="center"/>
                    <w:rPr>
                      <w:rFonts w:hint="default" w:cs="Times New Roman"/>
                      <w:color w:val="auto"/>
                      <w:kern w:val="0"/>
                      <w:sz w:val="21"/>
                      <w:szCs w:val="21"/>
                      <w:u w:val="wave"/>
                      <w:lang w:val="en-US" w:eastAsia="zh-CN"/>
                    </w:rPr>
                  </w:pPr>
                  <w:r>
                    <w:rPr>
                      <w:rFonts w:hint="eastAsia" w:cs="Times New Roman"/>
                      <w:color w:val="auto"/>
                      <w:kern w:val="0"/>
                      <w:sz w:val="21"/>
                      <w:szCs w:val="21"/>
                      <w:u w:val="wave"/>
                      <w:lang w:val="en-US" w:eastAsia="zh-CN"/>
                    </w:rPr>
                    <w:t>小计</w:t>
                  </w:r>
                </w:p>
              </w:tc>
              <w:tc>
                <w:tcPr>
                  <w:tcW w:w="678" w:type="pct"/>
                  <w:tcBorders>
                    <w:tl2br w:val="nil"/>
                    <w:tr2bl w:val="nil"/>
                  </w:tcBorders>
                  <w:noWrap w:val="0"/>
                  <w:tcMar>
                    <w:top w:w="13" w:type="dxa"/>
                    <w:left w:w="13" w:type="dxa"/>
                    <w:bottom w:w="0" w:type="dxa"/>
                    <w:right w:w="13" w:type="dxa"/>
                  </w:tcMar>
                  <w:vAlign w:val="center"/>
                </w:tcPr>
                <w:p w14:paraId="1B5BBAD6">
                  <w:pPr>
                    <w:adjustRightInd w:val="0"/>
                    <w:snapToGrid w:val="0"/>
                    <w:spacing w:before="24" w:beforeLines="10" w:after="24" w:afterLines="10" w:line="240" w:lineRule="auto"/>
                    <w:jc w:val="center"/>
                    <w:rPr>
                      <w:rFonts w:hint="default" w:ascii="Times New Roman" w:hAnsi="Times New Roman" w:eastAsia="宋体" w:cs="Times New Roman"/>
                      <w:color w:val="000000" w:themeColor="text1"/>
                      <w:kern w:val="0"/>
                      <w:sz w:val="21"/>
                      <w:szCs w:val="21"/>
                      <w:u w:val="wave"/>
                      <w:lang w:val="en-US" w:eastAsia="zh-CN"/>
                      <w14:textFill>
                        <w14:solidFill>
                          <w14:schemeClr w14:val="tx1"/>
                        </w14:solidFill>
                      </w14:textFill>
                    </w:rPr>
                  </w:pPr>
                  <w:r>
                    <w:rPr>
                      <w:rFonts w:hint="eastAsia" w:cs="Times New Roman"/>
                      <w:color w:val="000000" w:themeColor="text1"/>
                      <w:kern w:val="0"/>
                      <w:sz w:val="21"/>
                      <w:szCs w:val="21"/>
                      <w:u w:val="wave"/>
                      <w:lang w:val="en-US" w:eastAsia="zh-CN"/>
                      <w14:textFill>
                        <w14:solidFill>
                          <w14:schemeClr w14:val="tx1"/>
                        </w14:solidFill>
                      </w14:textFill>
                    </w:rPr>
                    <w:t>0.57</w:t>
                  </w:r>
                </w:p>
              </w:tc>
              <w:tc>
                <w:tcPr>
                  <w:tcW w:w="679" w:type="pct"/>
                  <w:tcBorders>
                    <w:tl2br w:val="nil"/>
                    <w:tr2bl w:val="nil"/>
                  </w:tcBorders>
                  <w:noWrap w:val="0"/>
                  <w:tcMar>
                    <w:top w:w="13" w:type="dxa"/>
                    <w:left w:w="13" w:type="dxa"/>
                    <w:bottom w:w="0" w:type="dxa"/>
                    <w:right w:w="13" w:type="dxa"/>
                  </w:tcMar>
                  <w:vAlign w:val="center"/>
                </w:tcPr>
                <w:p w14:paraId="2EEC39C0">
                  <w:pPr>
                    <w:adjustRightInd w:val="0"/>
                    <w:snapToGrid w:val="0"/>
                    <w:spacing w:before="24" w:beforeLines="10" w:after="24" w:afterLines="10" w:line="240" w:lineRule="auto"/>
                    <w:jc w:val="center"/>
                    <w:rPr>
                      <w:rFonts w:hint="default" w:cs="Times New Roman"/>
                      <w:color w:val="000000" w:themeColor="text1"/>
                      <w:kern w:val="0"/>
                      <w:sz w:val="21"/>
                      <w:szCs w:val="21"/>
                      <w:u w:val="wave"/>
                      <w:lang w:val="en-US" w:eastAsia="zh-CN"/>
                      <w14:textFill>
                        <w14:solidFill>
                          <w14:schemeClr w14:val="tx1"/>
                        </w14:solidFill>
                      </w14:textFill>
                    </w:rPr>
                  </w:pPr>
                  <w:r>
                    <w:rPr>
                      <w:rFonts w:hint="eastAsia" w:cs="Times New Roman"/>
                      <w:color w:val="000000" w:themeColor="text1"/>
                      <w:kern w:val="0"/>
                      <w:sz w:val="21"/>
                      <w:szCs w:val="21"/>
                      <w:u w:val="wave"/>
                      <w:lang w:val="en-US" w:eastAsia="zh-CN"/>
                      <w14:textFill>
                        <w14:solidFill>
                          <w14:schemeClr w14:val="tx1"/>
                        </w14:solidFill>
                      </w14:textFill>
                    </w:rPr>
                    <w:t>3.0</w:t>
                  </w:r>
                </w:p>
              </w:tc>
              <w:tc>
                <w:tcPr>
                  <w:tcW w:w="678" w:type="pct"/>
                  <w:tcBorders>
                    <w:tl2br w:val="nil"/>
                    <w:tr2bl w:val="nil"/>
                  </w:tcBorders>
                  <w:noWrap w:val="0"/>
                  <w:tcMar>
                    <w:top w:w="13" w:type="dxa"/>
                    <w:left w:w="13" w:type="dxa"/>
                    <w:bottom w:w="0" w:type="dxa"/>
                    <w:right w:w="13" w:type="dxa"/>
                  </w:tcMar>
                  <w:vAlign w:val="center"/>
                </w:tcPr>
                <w:p w14:paraId="09742F1D">
                  <w:pPr>
                    <w:adjustRightInd w:val="0"/>
                    <w:snapToGrid w:val="0"/>
                    <w:spacing w:before="24" w:beforeLines="10" w:after="24" w:afterLines="10" w:line="240" w:lineRule="auto"/>
                    <w:jc w:val="center"/>
                    <w:rPr>
                      <w:rFonts w:hint="eastAsia" w:cs="Times New Roman"/>
                      <w:color w:val="000000" w:themeColor="text1"/>
                      <w:kern w:val="0"/>
                      <w:sz w:val="21"/>
                      <w:szCs w:val="21"/>
                      <w:highlight w:val="none"/>
                      <w:u w:val="wave"/>
                      <w:lang w:val="en-US" w:eastAsia="zh-CN"/>
                      <w14:textFill>
                        <w14:solidFill>
                          <w14:schemeClr w14:val="tx1"/>
                        </w14:solidFill>
                      </w14:textFill>
                    </w:rPr>
                  </w:pPr>
                  <w:r>
                    <w:rPr>
                      <w:rFonts w:hint="eastAsia" w:cs="Times New Roman"/>
                      <w:color w:val="000000" w:themeColor="text1"/>
                      <w:kern w:val="0"/>
                      <w:sz w:val="21"/>
                      <w:szCs w:val="21"/>
                      <w:highlight w:val="none"/>
                      <w:u w:val="wave"/>
                      <w:lang w:val="en-US" w:eastAsia="zh-CN"/>
                      <w14:textFill>
                        <w14:solidFill>
                          <w14:schemeClr w14:val="tx1"/>
                        </w14:solidFill>
                      </w14:textFill>
                    </w:rPr>
                    <w:t>2.50</w:t>
                  </w:r>
                </w:p>
              </w:tc>
              <w:tc>
                <w:tcPr>
                  <w:tcW w:w="678" w:type="pct"/>
                  <w:tcBorders>
                    <w:tl2br w:val="nil"/>
                    <w:tr2bl w:val="nil"/>
                  </w:tcBorders>
                  <w:noWrap w:val="0"/>
                  <w:tcMar>
                    <w:top w:w="13" w:type="dxa"/>
                    <w:left w:w="13" w:type="dxa"/>
                    <w:bottom w:w="0" w:type="dxa"/>
                    <w:right w:w="13" w:type="dxa"/>
                  </w:tcMar>
                  <w:vAlign w:val="center"/>
                </w:tcPr>
                <w:p w14:paraId="76B10B2F">
                  <w:pPr>
                    <w:adjustRightInd w:val="0"/>
                    <w:snapToGrid w:val="0"/>
                    <w:spacing w:before="24" w:beforeLines="10" w:after="24" w:afterLines="10" w:line="240" w:lineRule="auto"/>
                    <w:jc w:val="center"/>
                    <w:rPr>
                      <w:rFonts w:hint="eastAsia" w:cs="Times New Roman"/>
                      <w:color w:val="000000" w:themeColor="text1"/>
                      <w:kern w:val="0"/>
                      <w:sz w:val="21"/>
                      <w:szCs w:val="21"/>
                      <w:highlight w:val="none"/>
                      <w:u w:val="wave"/>
                      <w:lang w:val="en-US" w:eastAsia="zh-CN"/>
                      <w14:textFill>
                        <w14:solidFill>
                          <w14:schemeClr w14:val="tx1"/>
                        </w14:solidFill>
                      </w14:textFill>
                    </w:rPr>
                  </w:pPr>
                  <w:r>
                    <w:rPr>
                      <w:rFonts w:hint="eastAsia" w:cs="Times New Roman"/>
                      <w:color w:val="000000" w:themeColor="text1"/>
                      <w:kern w:val="0"/>
                      <w:sz w:val="21"/>
                      <w:szCs w:val="21"/>
                      <w:highlight w:val="none"/>
                      <w:u w:val="wave"/>
                      <w:lang w:val="en-US" w:eastAsia="zh-CN"/>
                      <w14:textFill>
                        <w14:solidFill>
                          <w14:schemeClr w14:val="tx1"/>
                        </w14:solidFill>
                      </w14:textFill>
                    </w:rPr>
                    <w:t>1.07</w:t>
                  </w:r>
                </w:p>
              </w:tc>
              <w:tc>
                <w:tcPr>
                  <w:tcW w:w="690" w:type="pct"/>
                  <w:tcBorders>
                    <w:tl2br w:val="nil"/>
                    <w:tr2bl w:val="nil"/>
                  </w:tcBorders>
                  <w:noWrap w:val="0"/>
                  <w:tcMar>
                    <w:top w:w="13" w:type="dxa"/>
                    <w:left w:w="13" w:type="dxa"/>
                    <w:bottom w:w="0" w:type="dxa"/>
                    <w:right w:w="13" w:type="dxa"/>
                  </w:tcMar>
                  <w:vAlign w:val="center"/>
                </w:tcPr>
                <w:p w14:paraId="000BD140">
                  <w:pPr>
                    <w:adjustRightInd w:val="0"/>
                    <w:snapToGrid w:val="0"/>
                    <w:spacing w:before="24" w:beforeLines="10" w:after="24" w:afterLines="10" w:line="240" w:lineRule="auto"/>
                    <w:jc w:val="center"/>
                    <w:rPr>
                      <w:rFonts w:hint="eastAsia" w:cs="Times New Roman"/>
                      <w:color w:val="000000" w:themeColor="text1"/>
                      <w:kern w:val="0"/>
                      <w:sz w:val="21"/>
                      <w:szCs w:val="21"/>
                      <w:highlight w:val="none"/>
                      <w:u w:val="wave"/>
                      <w:lang w:val="en-US" w:eastAsia="zh-CN"/>
                      <w14:textFill>
                        <w14:solidFill>
                          <w14:schemeClr w14:val="tx1"/>
                        </w14:solidFill>
                      </w14:textFill>
                    </w:rPr>
                  </w:pPr>
                  <w:r>
                    <w:rPr>
                      <w:rFonts w:hint="eastAsia" w:cs="Times New Roman"/>
                      <w:color w:val="000000" w:themeColor="text1"/>
                      <w:kern w:val="0"/>
                      <w:sz w:val="21"/>
                      <w:szCs w:val="21"/>
                      <w:highlight w:val="none"/>
                      <w:u w:val="wave"/>
                      <w:lang w:val="en-US" w:eastAsia="zh-CN"/>
                      <w14:textFill>
                        <w14:solidFill>
                          <w14:schemeClr w14:val="tx1"/>
                        </w14:solidFill>
                      </w14:textFill>
                    </w:rPr>
                    <w:t>3.57</w:t>
                  </w:r>
                </w:p>
              </w:tc>
            </w:tr>
            <w:tr w14:paraId="0BC6BC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7" w:type="pct"/>
                  <w:vMerge w:val="restart"/>
                  <w:tcBorders>
                    <w:right w:val="single" w:color="auto" w:sz="4" w:space="0"/>
                    <w:tl2br w:val="nil"/>
                    <w:tr2bl w:val="nil"/>
                  </w:tcBorders>
                  <w:noWrap w:val="0"/>
                  <w:tcMar>
                    <w:top w:w="13" w:type="dxa"/>
                    <w:left w:w="13" w:type="dxa"/>
                    <w:bottom w:w="0" w:type="dxa"/>
                    <w:right w:w="13" w:type="dxa"/>
                  </w:tcMar>
                  <w:vAlign w:val="center"/>
                </w:tcPr>
                <w:p w14:paraId="06785FCF">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wave"/>
                      <w:lang w:val="en-US" w:eastAsia="zh-CN"/>
                    </w:rPr>
                  </w:pPr>
                  <w:r>
                    <w:rPr>
                      <w:rFonts w:hint="eastAsia" w:cs="Times New Roman"/>
                      <w:color w:val="auto"/>
                      <w:kern w:val="0"/>
                      <w:sz w:val="21"/>
                      <w:szCs w:val="21"/>
                      <w:u w:val="wave"/>
                      <w:lang w:val="en-US" w:eastAsia="zh-CN"/>
                    </w:rPr>
                    <w:t>道路工程区</w:t>
                  </w:r>
                </w:p>
              </w:tc>
              <w:tc>
                <w:tcPr>
                  <w:tcW w:w="1198" w:type="pct"/>
                  <w:tcBorders>
                    <w:left w:val="single" w:color="auto" w:sz="4" w:space="0"/>
                    <w:tl2br w:val="nil"/>
                    <w:tr2bl w:val="nil"/>
                  </w:tcBorders>
                  <w:noWrap w:val="0"/>
                  <w:tcMar>
                    <w:top w:w="13" w:type="dxa"/>
                    <w:left w:w="13" w:type="dxa"/>
                    <w:bottom w:w="0" w:type="dxa"/>
                    <w:right w:w="13" w:type="dxa"/>
                  </w:tcMar>
                  <w:vAlign w:val="center"/>
                </w:tcPr>
                <w:p w14:paraId="673DB4A1">
                  <w:pPr>
                    <w:adjustRightInd w:val="0"/>
                    <w:snapToGrid w:val="0"/>
                    <w:spacing w:before="24" w:beforeLines="10" w:after="24" w:afterLines="10" w:line="240" w:lineRule="auto"/>
                    <w:jc w:val="center"/>
                    <w:rPr>
                      <w:rFonts w:hint="default" w:cs="Times New Roman"/>
                      <w:color w:val="auto"/>
                      <w:kern w:val="0"/>
                      <w:sz w:val="21"/>
                      <w:szCs w:val="21"/>
                      <w:u w:val="wave"/>
                      <w:lang w:val="en-US" w:eastAsia="zh-CN"/>
                    </w:rPr>
                  </w:pPr>
                  <w:r>
                    <w:rPr>
                      <w:rFonts w:hint="eastAsia" w:cs="Times New Roman"/>
                      <w:color w:val="auto"/>
                      <w:kern w:val="0"/>
                      <w:sz w:val="21"/>
                      <w:szCs w:val="21"/>
                      <w:u w:val="wave"/>
                      <w:lang w:val="en-US" w:eastAsia="zh-CN"/>
                    </w:rPr>
                    <w:t>改建道路</w:t>
                  </w:r>
                </w:p>
              </w:tc>
              <w:tc>
                <w:tcPr>
                  <w:tcW w:w="678" w:type="pct"/>
                  <w:tcBorders>
                    <w:tl2br w:val="nil"/>
                    <w:tr2bl w:val="nil"/>
                  </w:tcBorders>
                  <w:noWrap w:val="0"/>
                  <w:tcMar>
                    <w:top w:w="13" w:type="dxa"/>
                    <w:left w:w="13" w:type="dxa"/>
                    <w:bottom w:w="0" w:type="dxa"/>
                    <w:right w:w="13" w:type="dxa"/>
                  </w:tcMar>
                  <w:vAlign w:val="center"/>
                </w:tcPr>
                <w:p w14:paraId="2E0D3B89">
                  <w:pPr>
                    <w:adjustRightInd w:val="0"/>
                    <w:snapToGrid w:val="0"/>
                    <w:spacing w:before="24" w:beforeLines="10" w:after="24" w:afterLines="10" w:line="240" w:lineRule="auto"/>
                    <w:jc w:val="center"/>
                    <w:rPr>
                      <w:rFonts w:hint="eastAsia" w:ascii="Times New Roman" w:hAnsi="Times New Roman" w:eastAsia="宋体" w:cs="Times New Roman"/>
                      <w:color w:val="auto"/>
                      <w:kern w:val="0"/>
                      <w:sz w:val="21"/>
                      <w:szCs w:val="21"/>
                      <w:u w:val="wave"/>
                      <w:lang w:val="en-US" w:eastAsia="zh-CN"/>
                    </w:rPr>
                  </w:pPr>
                </w:p>
              </w:tc>
              <w:tc>
                <w:tcPr>
                  <w:tcW w:w="679" w:type="pct"/>
                  <w:tcBorders>
                    <w:tl2br w:val="nil"/>
                    <w:tr2bl w:val="nil"/>
                  </w:tcBorders>
                  <w:noWrap w:val="0"/>
                  <w:tcMar>
                    <w:top w:w="13" w:type="dxa"/>
                    <w:left w:w="13" w:type="dxa"/>
                    <w:bottom w:w="0" w:type="dxa"/>
                    <w:right w:w="13" w:type="dxa"/>
                  </w:tcMar>
                  <w:vAlign w:val="center"/>
                </w:tcPr>
                <w:p w14:paraId="6403949B">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wave"/>
                      <w:lang w:val="en-US" w:eastAsia="zh-CN"/>
                    </w:rPr>
                  </w:pPr>
                  <w:r>
                    <w:rPr>
                      <w:rFonts w:hint="eastAsia" w:cs="Times New Roman"/>
                      <w:color w:val="auto"/>
                      <w:kern w:val="0"/>
                      <w:sz w:val="21"/>
                      <w:szCs w:val="21"/>
                      <w:u w:val="wave"/>
                      <w:lang w:val="en-US" w:eastAsia="zh-CN"/>
                    </w:rPr>
                    <w:t>2.2</w:t>
                  </w:r>
                </w:p>
              </w:tc>
              <w:tc>
                <w:tcPr>
                  <w:tcW w:w="678" w:type="pct"/>
                  <w:tcBorders>
                    <w:tl2br w:val="nil"/>
                    <w:tr2bl w:val="nil"/>
                  </w:tcBorders>
                  <w:noWrap w:val="0"/>
                  <w:tcMar>
                    <w:top w:w="13" w:type="dxa"/>
                    <w:left w:w="13" w:type="dxa"/>
                    <w:bottom w:w="0" w:type="dxa"/>
                    <w:right w:w="13" w:type="dxa"/>
                  </w:tcMar>
                  <w:vAlign w:val="center"/>
                </w:tcPr>
                <w:p w14:paraId="0069C529">
                  <w:pPr>
                    <w:adjustRightInd w:val="0"/>
                    <w:snapToGrid w:val="0"/>
                    <w:spacing w:before="24" w:beforeLines="10" w:after="24" w:afterLines="10" w:line="240" w:lineRule="auto"/>
                    <w:jc w:val="center"/>
                    <w:rPr>
                      <w:rFonts w:hint="default" w:cs="Times New Roman"/>
                      <w:color w:val="auto"/>
                      <w:kern w:val="0"/>
                      <w:sz w:val="21"/>
                      <w:szCs w:val="21"/>
                      <w:highlight w:val="none"/>
                      <w:u w:val="wave"/>
                      <w:lang w:val="en-US" w:eastAsia="zh-CN"/>
                    </w:rPr>
                  </w:pPr>
                  <w:r>
                    <w:rPr>
                      <w:rFonts w:hint="eastAsia" w:cs="Times New Roman"/>
                      <w:color w:val="auto"/>
                      <w:kern w:val="0"/>
                      <w:sz w:val="21"/>
                      <w:szCs w:val="21"/>
                      <w:highlight w:val="none"/>
                      <w:u w:val="wave"/>
                      <w:lang w:val="en-US" w:eastAsia="zh-CN"/>
                    </w:rPr>
                    <w:t>1.54</w:t>
                  </w:r>
                </w:p>
              </w:tc>
              <w:tc>
                <w:tcPr>
                  <w:tcW w:w="678" w:type="pct"/>
                  <w:tcBorders>
                    <w:tl2br w:val="nil"/>
                    <w:tr2bl w:val="nil"/>
                  </w:tcBorders>
                  <w:noWrap w:val="0"/>
                  <w:tcMar>
                    <w:top w:w="13" w:type="dxa"/>
                    <w:left w:w="13" w:type="dxa"/>
                    <w:bottom w:w="0" w:type="dxa"/>
                    <w:right w:w="13" w:type="dxa"/>
                  </w:tcMar>
                  <w:vAlign w:val="center"/>
                </w:tcPr>
                <w:p w14:paraId="786D23D7">
                  <w:pPr>
                    <w:adjustRightInd w:val="0"/>
                    <w:snapToGrid w:val="0"/>
                    <w:spacing w:before="24" w:beforeLines="10" w:after="24" w:afterLines="10" w:line="240" w:lineRule="auto"/>
                    <w:jc w:val="center"/>
                    <w:rPr>
                      <w:rFonts w:hint="default" w:cs="Times New Roman"/>
                      <w:color w:val="auto"/>
                      <w:kern w:val="0"/>
                      <w:sz w:val="21"/>
                      <w:szCs w:val="21"/>
                      <w:highlight w:val="none"/>
                      <w:u w:val="wave"/>
                      <w:lang w:val="en-US" w:eastAsia="zh-CN"/>
                    </w:rPr>
                  </w:pPr>
                  <w:r>
                    <w:rPr>
                      <w:rFonts w:hint="eastAsia" w:cs="Times New Roman"/>
                      <w:color w:val="auto"/>
                      <w:kern w:val="0"/>
                      <w:sz w:val="21"/>
                      <w:szCs w:val="21"/>
                      <w:highlight w:val="none"/>
                      <w:u w:val="wave"/>
                      <w:lang w:val="en-US" w:eastAsia="zh-CN"/>
                    </w:rPr>
                    <w:t>0.66</w:t>
                  </w:r>
                </w:p>
              </w:tc>
              <w:tc>
                <w:tcPr>
                  <w:tcW w:w="690" w:type="pct"/>
                  <w:tcBorders>
                    <w:tl2br w:val="nil"/>
                    <w:tr2bl w:val="nil"/>
                  </w:tcBorders>
                  <w:noWrap w:val="0"/>
                  <w:tcMar>
                    <w:top w:w="13" w:type="dxa"/>
                    <w:left w:w="13" w:type="dxa"/>
                    <w:bottom w:w="0" w:type="dxa"/>
                    <w:right w:w="13" w:type="dxa"/>
                  </w:tcMar>
                  <w:vAlign w:val="center"/>
                </w:tcPr>
                <w:p w14:paraId="1D2772E3">
                  <w:pPr>
                    <w:adjustRightInd w:val="0"/>
                    <w:snapToGrid w:val="0"/>
                    <w:spacing w:before="24" w:beforeLines="10" w:after="24" w:afterLines="10" w:line="240" w:lineRule="auto"/>
                    <w:jc w:val="center"/>
                    <w:rPr>
                      <w:rFonts w:hint="default" w:cs="Times New Roman"/>
                      <w:color w:val="auto"/>
                      <w:kern w:val="0"/>
                      <w:sz w:val="21"/>
                      <w:szCs w:val="21"/>
                      <w:highlight w:val="none"/>
                      <w:u w:val="wave"/>
                      <w:lang w:val="en-US" w:eastAsia="zh-CN"/>
                    </w:rPr>
                  </w:pPr>
                  <w:r>
                    <w:rPr>
                      <w:rFonts w:hint="eastAsia" w:cs="Times New Roman"/>
                      <w:color w:val="auto"/>
                      <w:kern w:val="0"/>
                      <w:sz w:val="21"/>
                      <w:szCs w:val="21"/>
                      <w:highlight w:val="none"/>
                      <w:u w:val="wave"/>
                      <w:lang w:val="en-US" w:eastAsia="zh-CN"/>
                    </w:rPr>
                    <w:t>2.2</w:t>
                  </w:r>
                </w:p>
              </w:tc>
            </w:tr>
            <w:tr w14:paraId="47DE9B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7" w:type="pct"/>
                  <w:vMerge w:val="continue"/>
                  <w:tcBorders>
                    <w:right w:val="single" w:color="auto" w:sz="4" w:space="0"/>
                    <w:tl2br w:val="nil"/>
                    <w:tr2bl w:val="nil"/>
                  </w:tcBorders>
                  <w:noWrap w:val="0"/>
                  <w:tcMar>
                    <w:top w:w="13" w:type="dxa"/>
                    <w:left w:w="13" w:type="dxa"/>
                    <w:bottom w:w="0" w:type="dxa"/>
                    <w:right w:w="13" w:type="dxa"/>
                  </w:tcMar>
                  <w:vAlign w:val="center"/>
                </w:tcPr>
                <w:p w14:paraId="2C6ED49D">
                  <w:pPr>
                    <w:adjustRightInd w:val="0"/>
                    <w:snapToGrid w:val="0"/>
                    <w:spacing w:before="24" w:beforeLines="10" w:after="24" w:afterLines="10" w:line="240" w:lineRule="auto"/>
                    <w:jc w:val="center"/>
                    <w:rPr>
                      <w:rFonts w:hint="eastAsia" w:ascii="Times New Roman" w:hAnsi="Times New Roman" w:eastAsia="宋体" w:cs="Times New Roman"/>
                      <w:color w:val="auto"/>
                      <w:kern w:val="0"/>
                      <w:sz w:val="21"/>
                      <w:szCs w:val="21"/>
                      <w:u w:val="wave"/>
                      <w:lang w:val="en-US" w:eastAsia="zh-CN"/>
                    </w:rPr>
                  </w:pPr>
                </w:p>
              </w:tc>
              <w:tc>
                <w:tcPr>
                  <w:tcW w:w="1198" w:type="pct"/>
                  <w:tcBorders>
                    <w:left w:val="single" w:color="auto" w:sz="4" w:space="0"/>
                    <w:tl2br w:val="nil"/>
                    <w:tr2bl w:val="nil"/>
                  </w:tcBorders>
                  <w:noWrap w:val="0"/>
                  <w:tcMar>
                    <w:top w:w="13" w:type="dxa"/>
                    <w:left w:w="13" w:type="dxa"/>
                    <w:bottom w:w="0" w:type="dxa"/>
                    <w:right w:w="13" w:type="dxa"/>
                  </w:tcMar>
                  <w:vAlign w:val="center"/>
                </w:tcPr>
                <w:p w14:paraId="1F04609D">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wave"/>
                      <w:lang w:val="en-US" w:eastAsia="zh-CN"/>
                    </w:rPr>
                  </w:pPr>
                  <w:r>
                    <w:rPr>
                      <w:rFonts w:hint="eastAsia" w:cs="Times New Roman"/>
                      <w:color w:val="auto"/>
                      <w:kern w:val="0"/>
                      <w:sz w:val="21"/>
                      <w:szCs w:val="21"/>
                      <w:u w:val="wave"/>
                      <w:lang w:val="en-US" w:eastAsia="zh-CN"/>
                    </w:rPr>
                    <w:t>新建道路</w:t>
                  </w:r>
                </w:p>
              </w:tc>
              <w:tc>
                <w:tcPr>
                  <w:tcW w:w="678" w:type="pct"/>
                  <w:tcBorders>
                    <w:tl2br w:val="nil"/>
                    <w:tr2bl w:val="nil"/>
                  </w:tcBorders>
                  <w:noWrap w:val="0"/>
                  <w:tcMar>
                    <w:top w:w="13" w:type="dxa"/>
                    <w:left w:w="13" w:type="dxa"/>
                    <w:bottom w:w="0" w:type="dxa"/>
                    <w:right w:w="13" w:type="dxa"/>
                  </w:tcMar>
                  <w:vAlign w:val="center"/>
                </w:tcPr>
                <w:p w14:paraId="74CC6EAF">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wave"/>
                      <w:lang w:val="en-US" w:eastAsia="zh-CN"/>
                    </w:rPr>
                  </w:pPr>
                  <w:r>
                    <w:rPr>
                      <w:rFonts w:hint="eastAsia" w:cs="Times New Roman"/>
                      <w:color w:val="auto"/>
                      <w:kern w:val="0"/>
                      <w:sz w:val="21"/>
                      <w:szCs w:val="21"/>
                      <w:u w:val="wave"/>
                      <w:lang w:val="en-US" w:eastAsia="zh-CN"/>
                    </w:rPr>
                    <w:t>0.24</w:t>
                  </w:r>
                </w:p>
              </w:tc>
              <w:tc>
                <w:tcPr>
                  <w:tcW w:w="679" w:type="pct"/>
                  <w:tcBorders>
                    <w:tl2br w:val="nil"/>
                    <w:tr2bl w:val="nil"/>
                  </w:tcBorders>
                  <w:noWrap w:val="0"/>
                  <w:tcMar>
                    <w:top w:w="13" w:type="dxa"/>
                    <w:left w:w="13" w:type="dxa"/>
                    <w:bottom w:w="0" w:type="dxa"/>
                    <w:right w:w="13" w:type="dxa"/>
                  </w:tcMar>
                  <w:vAlign w:val="center"/>
                </w:tcPr>
                <w:p w14:paraId="0E6E1097">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wave"/>
                      <w:lang w:val="en-US" w:eastAsia="zh-CN"/>
                    </w:rPr>
                  </w:pPr>
                  <w:r>
                    <w:rPr>
                      <w:rFonts w:hint="eastAsia" w:cs="Times New Roman"/>
                      <w:color w:val="auto"/>
                      <w:kern w:val="0"/>
                      <w:sz w:val="21"/>
                      <w:szCs w:val="21"/>
                      <w:u w:val="wave"/>
                      <w:lang w:val="en-US" w:eastAsia="zh-CN"/>
                    </w:rPr>
                    <w:t>27.2</w:t>
                  </w:r>
                </w:p>
              </w:tc>
              <w:tc>
                <w:tcPr>
                  <w:tcW w:w="678" w:type="pct"/>
                  <w:tcBorders>
                    <w:tl2br w:val="nil"/>
                    <w:tr2bl w:val="nil"/>
                  </w:tcBorders>
                  <w:noWrap w:val="0"/>
                  <w:tcMar>
                    <w:top w:w="13" w:type="dxa"/>
                    <w:left w:w="13" w:type="dxa"/>
                    <w:bottom w:w="0" w:type="dxa"/>
                    <w:right w:w="13" w:type="dxa"/>
                  </w:tcMar>
                  <w:vAlign w:val="center"/>
                </w:tcPr>
                <w:p w14:paraId="782BD594">
                  <w:pPr>
                    <w:adjustRightInd w:val="0"/>
                    <w:snapToGrid w:val="0"/>
                    <w:spacing w:before="24" w:beforeLines="10" w:after="24" w:afterLines="10" w:line="240" w:lineRule="auto"/>
                    <w:jc w:val="center"/>
                    <w:rPr>
                      <w:rFonts w:hint="default" w:cs="Times New Roman"/>
                      <w:color w:val="auto"/>
                      <w:kern w:val="0"/>
                      <w:sz w:val="21"/>
                      <w:szCs w:val="21"/>
                      <w:highlight w:val="none"/>
                      <w:u w:val="wave"/>
                      <w:lang w:val="en-US" w:eastAsia="zh-CN"/>
                    </w:rPr>
                  </w:pPr>
                  <w:r>
                    <w:rPr>
                      <w:rFonts w:hint="eastAsia" w:cs="Times New Roman"/>
                      <w:color w:val="auto"/>
                      <w:kern w:val="0"/>
                      <w:sz w:val="21"/>
                      <w:szCs w:val="21"/>
                      <w:highlight w:val="none"/>
                      <w:u w:val="wave"/>
                      <w:lang w:val="en-US" w:eastAsia="zh-CN"/>
                    </w:rPr>
                    <w:t>19.21</w:t>
                  </w:r>
                </w:p>
              </w:tc>
              <w:tc>
                <w:tcPr>
                  <w:tcW w:w="678" w:type="pct"/>
                  <w:tcBorders>
                    <w:tl2br w:val="nil"/>
                    <w:tr2bl w:val="nil"/>
                  </w:tcBorders>
                  <w:noWrap w:val="0"/>
                  <w:tcMar>
                    <w:top w:w="13" w:type="dxa"/>
                    <w:left w:w="13" w:type="dxa"/>
                    <w:bottom w:w="0" w:type="dxa"/>
                    <w:right w:w="13" w:type="dxa"/>
                  </w:tcMar>
                  <w:vAlign w:val="center"/>
                </w:tcPr>
                <w:p w14:paraId="09416030">
                  <w:pPr>
                    <w:adjustRightInd w:val="0"/>
                    <w:snapToGrid w:val="0"/>
                    <w:spacing w:before="24" w:beforeLines="10" w:after="24" w:afterLines="10" w:line="240" w:lineRule="auto"/>
                    <w:jc w:val="center"/>
                    <w:rPr>
                      <w:rFonts w:hint="default" w:cs="Times New Roman"/>
                      <w:color w:val="auto"/>
                      <w:kern w:val="0"/>
                      <w:sz w:val="21"/>
                      <w:szCs w:val="21"/>
                      <w:highlight w:val="none"/>
                      <w:u w:val="wave"/>
                      <w:lang w:val="en-US" w:eastAsia="zh-CN"/>
                    </w:rPr>
                  </w:pPr>
                  <w:r>
                    <w:rPr>
                      <w:rFonts w:hint="eastAsia" w:cs="Times New Roman"/>
                      <w:color w:val="auto"/>
                      <w:kern w:val="0"/>
                      <w:sz w:val="21"/>
                      <w:szCs w:val="21"/>
                      <w:highlight w:val="none"/>
                      <w:u w:val="wave"/>
                      <w:lang w:val="en-US" w:eastAsia="zh-CN"/>
                    </w:rPr>
                    <w:t>8.23</w:t>
                  </w:r>
                </w:p>
              </w:tc>
              <w:tc>
                <w:tcPr>
                  <w:tcW w:w="690" w:type="pct"/>
                  <w:tcBorders>
                    <w:tl2br w:val="nil"/>
                    <w:tr2bl w:val="nil"/>
                  </w:tcBorders>
                  <w:noWrap w:val="0"/>
                  <w:tcMar>
                    <w:top w:w="13" w:type="dxa"/>
                    <w:left w:w="13" w:type="dxa"/>
                    <w:bottom w:w="0" w:type="dxa"/>
                    <w:right w:w="13" w:type="dxa"/>
                  </w:tcMar>
                  <w:vAlign w:val="center"/>
                </w:tcPr>
                <w:p w14:paraId="33B987A2">
                  <w:pPr>
                    <w:adjustRightInd w:val="0"/>
                    <w:snapToGrid w:val="0"/>
                    <w:spacing w:before="24" w:beforeLines="10" w:after="24" w:afterLines="10" w:line="240" w:lineRule="auto"/>
                    <w:jc w:val="center"/>
                    <w:rPr>
                      <w:rFonts w:hint="default" w:cs="Times New Roman"/>
                      <w:color w:val="auto"/>
                      <w:kern w:val="0"/>
                      <w:sz w:val="21"/>
                      <w:szCs w:val="21"/>
                      <w:highlight w:val="none"/>
                      <w:u w:val="wave"/>
                      <w:lang w:val="en-US" w:eastAsia="zh-CN"/>
                    </w:rPr>
                  </w:pPr>
                  <w:r>
                    <w:rPr>
                      <w:rFonts w:hint="eastAsia" w:cs="Times New Roman"/>
                      <w:color w:val="auto"/>
                      <w:kern w:val="0"/>
                      <w:sz w:val="21"/>
                      <w:szCs w:val="21"/>
                      <w:highlight w:val="none"/>
                      <w:u w:val="wave"/>
                      <w:lang w:val="en-US" w:eastAsia="zh-CN"/>
                    </w:rPr>
                    <w:t>27.44</w:t>
                  </w:r>
                </w:p>
              </w:tc>
            </w:tr>
            <w:tr w14:paraId="420B73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7" w:type="pct"/>
                  <w:vMerge w:val="continue"/>
                  <w:tcBorders>
                    <w:right w:val="single" w:color="auto" w:sz="4" w:space="0"/>
                    <w:tl2br w:val="nil"/>
                    <w:tr2bl w:val="nil"/>
                  </w:tcBorders>
                  <w:noWrap w:val="0"/>
                  <w:tcMar>
                    <w:top w:w="13" w:type="dxa"/>
                    <w:left w:w="13" w:type="dxa"/>
                    <w:bottom w:w="0" w:type="dxa"/>
                    <w:right w:w="13" w:type="dxa"/>
                  </w:tcMar>
                  <w:vAlign w:val="center"/>
                </w:tcPr>
                <w:p w14:paraId="45F38D01">
                  <w:pPr>
                    <w:adjustRightInd w:val="0"/>
                    <w:snapToGrid w:val="0"/>
                    <w:spacing w:before="24" w:beforeLines="10" w:after="24" w:afterLines="10" w:line="240" w:lineRule="auto"/>
                    <w:jc w:val="center"/>
                    <w:rPr>
                      <w:rFonts w:hint="eastAsia" w:ascii="Times New Roman" w:hAnsi="Times New Roman" w:eastAsia="宋体" w:cs="Times New Roman"/>
                      <w:color w:val="auto"/>
                      <w:kern w:val="0"/>
                      <w:sz w:val="21"/>
                      <w:szCs w:val="21"/>
                      <w:u w:val="wave"/>
                      <w:lang w:val="en-US" w:eastAsia="zh-CN"/>
                    </w:rPr>
                  </w:pPr>
                </w:p>
              </w:tc>
              <w:tc>
                <w:tcPr>
                  <w:tcW w:w="1198" w:type="pct"/>
                  <w:tcBorders>
                    <w:left w:val="single" w:color="auto" w:sz="4" w:space="0"/>
                    <w:tl2br w:val="nil"/>
                    <w:tr2bl w:val="nil"/>
                  </w:tcBorders>
                  <w:noWrap w:val="0"/>
                  <w:tcMar>
                    <w:top w:w="13" w:type="dxa"/>
                    <w:left w:w="13" w:type="dxa"/>
                    <w:bottom w:w="0" w:type="dxa"/>
                    <w:right w:w="13" w:type="dxa"/>
                  </w:tcMar>
                  <w:vAlign w:val="center"/>
                </w:tcPr>
                <w:p w14:paraId="31A277CB">
                  <w:pPr>
                    <w:adjustRightInd w:val="0"/>
                    <w:snapToGrid w:val="0"/>
                    <w:spacing w:before="24" w:beforeLines="10" w:after="24" w:afterLines="10" w:line="240" w:lineRule="auto"/>
                    <w:jc w:val="center"/>
                    <w:rPr>
                      <w:rFonts w:hint="default" w:cs="Times New Roman"/>
                      <w:color w:val="auto"/>
                      <w:kern w:val="0"/>
                      <w:sz w:val="21"/>
                      <w:szCs w:val="21"/>
                      <w:u w:val="wave"/>
                      <w:lang w:val="en-US" w:eastAsia="zh-CN"/>
                    </w:rPr>
                  </w:pPr>
                  <w:r>
                    <w:rPr>
                      <w:rFonts w:hint="eastAsia" w:cs="Times New Roman"/>
                      <w:color w:val="auto"/>
                      <w:kern w:val="0"/>
                      <w:sz w:val="21"/>
                      <w:szCs w:val="21"/>
                      <w:u w:val="wave"/>
                      <w:lang w:val="en-US" w:eastAsia="zh-CN"/>
                    </w:rPr>
                    <w:t>小计</w:t>
                  </w:r>
                </w:p>
              </w:tc>
              <w:tc>
                <w:tcPr>
                  <w:tcW w:w="678" w:type="pct"/>
                  <w:tcBorders>
                    <w:tl2br w:val="nil"/>
                    <w:tr2bl w:val="nil"/>
                  </w:tcBorders>
                  <w:noWrap w:val="0"/>
                  <w:tcMar>
                    <w:top w:w="13" w:type="dxa"/>
                    <w:left w:w="13" w:type="dxa"/>
                    <w:bottom w:w="0" w:type="dxa"/>
                    <w:right w:w="13" w:type="dxa"/>
                  </w:tcMar>
                  <w:vAlign w:val="center"/>
                </w:tcPr>
                <w:p w14:paraId="5E783A86">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wave"/>
                      <w:lang w:val="en-US" w:eastAsia="zh-CN"/>
                    </w:rPr>
                  </w:pPr>
                </w:p>
              </w:tc>
              <w:tc>
                <w:tcPr>
                  <w:tcW w:w="679" w:type="pct"/>
                  <w:tcBorders>
                    <w:tl2br w:val="nil"/>
                    <w:tr2bl w:val="nil"/>
                  </w:tcBorders>
                  <w:noWrap w:val="0"/>
                  <w:tcMar>
                    <w:top w:w="13" w:type="dxa"/>
                    <w:left w:w="13" w:type="dxa"/>
                    <w:bottom w:w="0" w:type="dxa"/>
                    <w:right w:w="13" w:type="dxa"/>
                  </w:tcMar>
                  <w:vAlign w:val="center"/>
                </w:tcPr>
                <w:p w14:paraId="4738E4D3">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wave"/>
                      <w:lang w:val="en-US" w:eastAsia="zh-CN"/>
                    </w:rPr>
                  </w:pPr>
                  <w:r>
                    <w:rPr>
                      <w:rFonts w:hint="eastAsia" w:cs="Times New Roman"/>
                      <w:color w:val="auto"/>
                      <w:kern w:val="0"/>
                      <w:sz w:val="21"/>
                      <w:szCs w:val="21"/>
                      <w:u w:val="wave"/>
                      <w:lang w:val="en-US" w:eastAsia="zh-CN"/>
                    </w:rPr>
                    <w:t>29.4</w:t>
                  </w:r>
                </w:p>
              </w:tc>
              <w:tc>
                <w:tcPr>
                  <w:tcW w:w="678" w:type="pct"/>
                  <w:tcBorders>
                    <w:tl2br w:val="nil"/>
                    <w:tr2bl w:val="nil"/>
                  </w:tcBorders>
                  <w:noWrap w:val="0"/>
                  <w:tcMar>
                    <w:top w:w="13" w:type="dxa"/>
                    <w:left w:w="13" w:type="dxa"/>
                    <w:bottom w:w="0" w:type="dxa"/>
                    <w:right w:w="13" w:type="dxa"/>
                  </w:tcMar>
                  <w:vAlign w:val="center"/>
                </w:tcPr>
                <w:p w14:paraId="5CED1D2A">
                  <w:pPr>
                    <w:adjustRightInd w:val="0"/>
                    <w:snapToGrid w:val="0"/>
                    <w:spacing w:before="24" w:beforeLines="10" w:after="24" w:afterLines="10" w:line="240" w:lineRule="auto"/>
                    <w:jc w:val="center"/>
                    <w:rPr>
                      <w:rFonts w:hint="default" w:cs="Times New Roman"/>
                      <w:color w:val="auto"/>
                      <w:kern w:val="0"/>
                      <w:sz w:val="21"/>
                      <w:szCs w:val="21"/>
                      <w:highlight w:val="none"/>
                      <w:u w:val="wave"/>
                      <w:lang w:val="en-US" w:eastAsia="zh-CN"/>
                    </w:rPr>
                  </w:pPr>
                  <w:r>
                    <w:rPr>
                      <w:rFonts w:hint="eastAsia" w:cs="Times New Roman"/>
                      <w:color w:val="auto"/>
                      <w:kern w:val="0"/>
                      <w:sz w:val="21"/>
                      <w:szCs w:val="21"/>
                      <w:highlight w:val="none"/>
                      <w:u w:val="wave"/>
                      <w:lang w:val="en-US" w:eastAsia="zh-CN"/>
                    </w:rPr>
                    <w:t>20.75</w:t>
                  </w:r>
                </w:p>
              </w:tc>
              <w:tc>
                <w:tcPr>
                  <w:tcW w:w="678" w:type="pct"/>
                  <w:tcBorders>
                    <w:tl2br w:val="nil"/>
                    <w:tr2bl w:val="nil"/>
                  </w:tcBorders>
                  <w:noWrap w:val="0"/>
                  <w:tcMar>
                    <w:top w:w="13" w:type="dxa"/>
                    <w:left w:w="13" w:type="dxa"/>
                    <w:bottom w:w="0" w:type="dxa"/>
                    <w:right w:w="13" w:type="dxa"/>
                  </w:tcMar>
                  <w:vAlign w:val="center"/>
                </w:tcPr>
                <w:p w14:paraId="0DD3CFC0">
                  <w:pPr>
                    <w:adjustRightInd w:val="0"/>
                    <w:snapToGrid w:val="0"/>
                    <w:spacing w:before="24" w:beforeLines="10" w:after="24" w:afterLines="10" w:line="240" w:lineRule="auto"/>
                    <w:jc w:val="center"/>
                    <w:rPr>
                      <w:rFonts w:hint="default" w:cs="Times New Roman"/>
                      <w:color w:val="auto"/>
                      <w:kern w:val="0"/>
                      <w:sz w:val="21"/>
                      <w:szCs w:val="21"/>
                      <w:highlight w:val="none"/>
                      <w:u w:val="wave"/>
                      <w:lang w:val="en-US" w:eastAsia="zh-CN"/>
                    </w:rPr>
                  </w:pPr>
                  <w:r>
                    <w:rPr>
                      <w:rFonts w:hint="eastAsia" w:cs="Times New Roman"/>
                      <w:color w:val="auto"/>
                      <w:kern w:val="0"/>
                      <w:sz w:val="21"/>
                      <w:szCs w:val="21"/>
                      <w:highlight w:val="none"/>
                      <w:u w:val="wave"/>
                      <w:lang w:val="en-US" w:eastAsia="zh-CN"/>
                    </w:rPr>
                    <w:t>8.89</w:t>
                  </w:r>
                </w:p>
              </w:tc>
              <w:tc>
                <w:tcPr>
                  <w:tcW w:w="690" w:type="pct"/>
                  <w:tcBorders>
                    <w:tl2br w:val="nil"/>
                    <w:tr2bl w:val="nil"/>
                  </w:tcBorders>
                  <w:noWrap w:val="0"/>
                  <w:tcMar>
                    <w:top w:w="13" w:type="dxa"/>
                    <w:left w:w="13" w:type="dxa"/>
                    <w:bottom w:w="0" w:type="dxa"/>
                    <w:right w:w="13" w:type="dxa"/>
                  </w:tcMar>
                  <w:vAlign w:val="center"/>
                </w:tcPr>
                <w:p w14:paraId="7FA17519">
                  <w:pPr>
                    <w:adjustRightInd w:val="0"/>
                    <w:snapToGrid w:val="0"/>
                    <w:spacing w:before="24" w:beforeLines="10" w:after="24" w:afterLines="10" w:line="240" w:lineRule="auto"/>
                    <w:jc w:val="center"/>
                    <w:rPr>
                      <w:rFonts w:hint="default" w:cs="Times New Roman"/>
                      <w:color w:val="auto"/>
                      <w:kern w:val="0"/>
                      <w:sz w:val="21"/>
                      <w:szCs w:val="21"/>
                      <w:highlight w:val="none"/>
                      <w:u w:val="wave"/>
                      <w:lang w:val="en-US" w:eastAsia="zh-CN"/>
                    </w:rPr>
                  </w:pPr>
                  <w:r>
                    <w:rPr>
                      <w:rFonts w:hint="eastAsia" w:cs="Times New Roman"/>
                      <w:color w:val="auto"/>
                      <w:kern w:val="0"/>
                      <w:sz w:val="21"/>
                      <w:szCs w:val="21"/>
                      <w:highlight w:val="none"/>
                      <w:u w:val="wave"/>
                      <w:lang w:val="en-US" w:eastAsia="zh-CN"/>
                    </w:rPr>
                    <w:t>29.64</w:t>
                  </w:r>
                </w:p>
              </w:tc>
            </w:tr>
            <w:tr w14:paraId="29F903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596" w:type="pct"/>
                  <w:gridSpan w:val="2"/>
                  <w:tcBorders>
                    <w:tl2br w:val="nil"/>
                    <w:tr2bl w:val="nil"/>
                  </w:tcBorders>
                  <w:noWrap w:val="0"/>
                  <w:tcMar>
                    <w:top w:w="13" w:type="dxa"/>
                    <w:left w:w="13" w:type="dxa"/>
                    <w:bottom w:w="0" w:type="dxa"/>
                    <w:right w:w="13" w:type="dxa"/>
                  </w:tcMar>
                  <w:vAlign w:val="center"/>
                </w:tcPr>
                <w:p w14:paraId="6DE5800D">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wave"/>
                      <w:lang w:val="en-US" w:eastAsia="zh-CN"/>
                    </w:rPr>
                  </w:pPr>
                  <w:r>
                    <w:rPr>
                      <w:rFonts w:hint="eastAsia" w:cs="Times New Roman"/>
                      <w:color w:val="auto"/>
                      <w:kern w:val="0"/>
                      <w:sz w:val="21"/>
                      <w:szCs w:val="21"/>
                      <w:u w:val="wave"/>
                      <w:lang w:val="en-US" w:eastAsia="zh-CN"/>
                    </w:rPr>
                    <w:t>升压站区</w:t>
                  </w:r>
                </w:p>
              </w:tc>
              <w:tc>
                <w:tcPr>
                  <w:tcW w:w="678" w:type="pct"/>
                  <w:tcBorders>
                    <w:tl2br w:val="nil"/>
                    <w:tr2bl w:val="nil"/>
                  </w:tcBorders>
                  <w:noWrap w:val="0"/>
                  <w:tcMar>
                    <w:top w:w="13" w:type="dxa"/>
                    <w:left w:w="13" w:type="dxa"/>
                    <w:bottom w:w="0" w:type="dxa"/>
                    <w:right w:w="13" w:type="dxa"/>
                  </w:tcMar>
                  <w:vAlign w:val="center"/>
                </w:tcPr>
                <w:p w14:paraId="317D1668">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wave"/>
                      <w:lang w:val="en-US" w:eastAsia="zh-CN"/>
                    </w:rPr>
                  </w:pPr>
                  <w:r>
                    <w:rPr>
                      <w:rFonts w:hint="eastAsia" w:cs="Times New Roman"/>
                      <w:color w:val="auto"/>
                      <w:kern w:val="0"/>
                      <w:sz w:val="21"/>
                      <w:szCs w:val="21"/>
                      <w:u w:val="wave"/>
                      <w:lang w:val="en-US" w:eastAsia="zh-CN"/>
                    </w:rPr>
                    <w:t>0.8</w:t>
                  </w:r>
                </w:p>
              </w:tc>
              <w:tc>
                <w:tcPr>
                  <w:tcW w:w="679" w:type="pct"/>
                  <w:tcBorders>
                    <w:tl2br w:val="nil"/>
                    <w:tr2bl w:val="nil"/>
                  </w:tcBorders>
                  <w:noWrap w:val="0"/>
                  <w:tcMar>
                    <w:top w:w="13" w:type="dxa"/>
                    <w:left w:w="13" w:type="dxa"/>
                    <w:bottom w:w="0" w:type="dxa"/>
                    <w:right w:w="13" w:type="dxa"/>
                  </w:tcMar>
                  <w:vAlign w:val="center"/>
                </w:tcPr>
                <w:p w14:paraId="552A6E07">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wave"/>
                      <w:lang w:val="en-US" w:eastAsia="zh-CN"/>
                    </w:rPr>
                  </w:pPr>
                </w:p>
              </w:tc>
              <w:tc>
                <w:tcPr>
                  <w:tcW w:w="678" w:type="pct"/>
                  <w:tcBorders>
                    <w:tl2br w:val="nil"/>
                    <w:tr2bl w:val="nil"/>
                  </w:tcBorders>
                  <w:noWrap w:val="0"/>
                  <w:tcMar>
                    <w:top w:w="13" w:type="dxa"/>
                    <w:left w:w="13" w:type="dxa"/>
                    <w:bottom w:w="0" w:type="dxa"/>
                    <w:right w:w="13" w:type="dxa"/>
                  </w:tcMar>
                  <w:vAlign w:val="center"/>
                </w:tcPr>
                <w:p w14:paraId="1FBD4592">
                  <w:pPr>
                    <w:adjustRightInd w:val="0"/>
                    <w:snapToGrid w:val="0"/>
                    <w:spacing w:before="24" w:beforeLines="10" w:after="24" w:afterLines="10" w:line="240" w:lineRule="auto"/>
                    <w:jc w:val="center"/>
                    <w:rPr>
                      <w:rFonts w:hint="eastAsia" w:ascii="Times New Roman" w:hAnsi="Times New Roman" w:eastAsia="宋体" w:cs="Times New Roman"/>
                      <w:color w:val="auto"/>
                      <w:kern w:val="0"/>
                      <w:sz w:val="21"/>
                      <w:szCs w:val="21"/>
                      <w:highlight w:val="none"/>
                      <w:u w:val="wave"/>
                      <w:lang w:val="en-US" w:eastAsia="zh-CN"/>
                    </w:rPr>
                  </w:pPr>
                  <w:r>
                    <w:rPr>
                      <w:rFonts w:hint="eastAsia" w:cs="Times New Roman"/>
                      <w:color w:val="auto"/>
                      <w:kern w:val="0"/>
                      <w:sz w:val="21"/>
                      <w:szCs w:val="21"/>
                      <w:highlight w:val="none"/>
                      <w:u w:val="wave"/>
                      <w:lang w:val="en-US" w:eastAsia="zh-CN"/>
                    </w:rPr>
                    <w:t>0.56</w:t>
                  </w:r>
                </w:p>
              </w:tc>
              <w:tc>
                <w:tcPr>
                  <w:tcW w:w="678" w:type="pct"/>
                  <w:tcBorders>
                    <w:tl2br w:val="nil"/>
                    <w:tr2bl w:val="nil"/>
                  </w:tcBorders>
                  <w:noWrap w:val="0"/>
                  <w:tcMar>
                    <w:top w:w="13" w:type="dxa"/>
                    <w:left w:w="13" w:type="dxa"/>
                    <w:bottom w:w="0" w:type="dxa"/>
                    <w:right w:w="13" w:type="dxa"/>
                  </w:tcMar>
                  <w:vAlign w:val="center"/>
                </w:tcPr>
                <w:p w14:paraId="7CE6D5A5">
                  <w:pPr>
                    <w:adjustRightInd w:val="0"/>
                    <w:snapToGrid w:val="0"/>
                    <w:spacing w:before="24" w:beforeLines="10" w:after="24" w:afterLines="10" w:line="240" w:lineRule="auto"/>
                    <w:jc w:val="center"/>
                    <w:rPr>
                      <w:rFonts w:hint="eastAsia" w:ascii="Times New Roman" w:hAnsi="Times New Roman" w:eastAsia="宋体" w:cs="Times New Roman"/>
                      <w:color w:val="auto"/>
                      <w:kern w:val="0"/>
                      <w:sz w:val="21"/>
                      <w:szCs w:val="21"/>
                      <w:highlight w:val="none"/>
                      <w:u w:val="wave"/>
                      <w:lang w:val="en-US" w:eastAsia="zh-CN"/>
                    </w:rPr>
                  </w:pPr>
                  <w:r>
                    <w:rPr>
                      <w:rFonts w:hint="eastAsia" w:cs="Times New Roman"/>
                      <w:color w:val="auto"/>
                      <w:kern w:val="0"/>
                      <w:sz w:val="21"/>
                      <w:szCs w:val="21"/>
                      <w:highlight w:val="none"/>
                      <w:u w:val="wave"/>
                      <w:lang w:val="en-US" w:eastAsia="zh-CN"/>
                    </w:rPr>
                    <w:t>0.24</w:t>
                  </w:r>
                </w:p>
              </w:tc>
              <w:tc>
                <w:tcPr>
                  <w:tcW w:w="690" w:type="pct"/>
                  <w:tcBorders>
                    <w:tl2br w:val="nil"/>
                    <w:tr2bl w:val="nil"/>
                  </w:tcBorders>
                  <w:noWrap w:val="0"/>
                  <w:tcMar>
                    <w:top w:w="13" w:type="dxa"/>
                    <w:left w:w="13" w:type="dxa"/>
                    <w:bottom w:w="0" w:type="dxa"/>
                    <w:right w:w="13" w:type="dxa"/>
                  </w:tcMar>
                  <w:vAlign w:val="center"/>
                </w:tcPr>
                <w:p w14:paraId="12D3350F">
                  <w:pPr>
                    <w:adjustRightInd w:val="0"/>
                    <w:snapToGrid w:val="0"/>
                    <w:spacing w:before="24" w:beforeLines="10" w:after="24" w:afterLines="10" w:line="240" w:lineRule="auto"/>
                    <w:jc w:val="center"/>
                    <w:rPr>
                      <w:rFonts w:hint="eastAsia" w:ascii="Times New Roman" w:hAnsi="Times New Roman" w:eastAsia="宋体" w:cs="Times New Roman"/>
                      <w:color w:val="auto"/>
                      <w:kern w:val="0"/>
                      <w:sz w:val="21"/>
                      <w:szCs w:val="21"/>
                      <w:highlight w:val="none"/>
                      <w:u w:val="wave"/>
                      <w:lang w:val="en-US" w:eastAsia="zh-CN"/>
                    </w:rPr>
                  </w:pPr>
                  <w:r>
                    <w:rPr>
                      <w:rFonts w:hint="eastAsia" w:cs="Times New Roman"/>
                      <w:color w:val="auto"/>
                      <w:kern w:val="0"/>
                      <w:sz w:val="21"/>
                      <w:szCs w:val="21"/>
                      <w:highlight w:val="none"/>
                      <w:u w:val="wave"/>
                      <w:lang w:val="en-US" w:eastAsia="zh-CN"/>
                    </w:rPr>
                    <w:t>0.8</w:t>
                  </w:r>
                </w:p>
              </w:tc>
            </w:tr>
            <w:tr w14:paraId="778C81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596" w:type="pct"/>
                  <w:gridSpan w:val="2"/>
                  <w:tcBorders>
                    <w:tl2br w:val="nil"/>
                    <w:tr2bl w:val="nil"/>
                  </w:tcBorders>
                  <w:noWrap w:val="0"/>
                  <w:tcMar>
                    <w:top w:w="13" w:type="dxa"/>
                    <w:left w:w="13" w:type="dxa"/>
                    <w:bottom w:w="0" w:type="dxa"/>
                    <w:right w:w="13" w:type="dxa"/>
                  </w:tcMar>
                  <w:vAlign w:val="center"/>
                </w:tcPr>
                <w:p w14:paraId="4872E584">
                  <w:pPr>
                    <w:adjustRightInd w:val="0"/>
                    <w:snapToGrid w:val="0"/>
                    <w:spacing w:before="24" w:beforeLines="10" w:after="24" w:afterLines="10" w:line="240" w:lineRule="auto"/>
                    <w:jc w:val="center"/>
                    <w:rPr>
                      <w:rFonts w:hint="eastAsia" w:ascii="Times New Roman" w:hAnsi="Times New Roman" w:eastAsia="宋体" w:cs="Times New Roman"/>
                      <w:color w:val="auto"/>
                      <w:kern w:val="0"/>
                      <w:sz w:val="21"/>
                      <w:szCs w:val="21"/>
                      <w:u w:val="wave"/>
                      <w:lang w:val="en-US" w:eastAsia="zh-CN"/>
                    </w:rPr>
                  </w:pPr>
                  <w:r>
                    <w:rPr>
                      <w:rFonts w:hint="eastAsia" w:ascii="Times New Roman" w:hAnsi="Times New Roman" w:eastAsia="宋体" w:cs="Times New Roman"/>
                      <w:color w:val="auto"/>
                      <w:kern w:val="0"/>
                      <w:sz w:val="21"/>
                      <w:szCs w:val="21"/>
                      <w:u w:val="wave"/>
                      <w:lang w:val="en-US" w:eastAsia="zh-CN"/>
                    </w:rPr>
                    <w:t>集电线路</w:t>
                  </w:r>
                  <w:r>
                    <w:rPr>
                      <w:rFonts w:hint="eastAsia" w:cs="Times New Roman"/>
                      <w:color w:val="auto"/>
                      <w:kern w:val="0"/>
                      <w:sz w:val="21"/>
                      <w:szCs w:val="21"/>
                      <w:u w:val="wave"/>
                      <w:lang w:val="en-US" w:eastAsia="zh-CN"/>
                    </w:rPr>
                    <w:t>区</w:t>
                  </w:r>
                </w:p>
              </w:tc>
              <w:tc>
                <w:tcPr>
                  <w:tcW w:w="678" w:type="pct"/>
                  <w:tcBorders>
                    <w:tl2br w:val="nil"/>
                    <w:tr2bl w:val="nil"/>
                  </w:tcBorders>
                  <w:noWrap w:val="0"/>
                  <w:tcMar>
                    <w:top w:w="13" w:type="dxa"/>
                    <w:left w:w="13" w:type="dxa"/>
                    <w:bottom w:w="0" w:type="dxa"/>
                    <w:right w:w="13" w:type="dxa"/>
                  </w:tcMar>
                  <w:vAlign w:val="center"/>
                </w:tcPr>
                <w:p w14:paraId="0F12A58D">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wave"/>
                      <w:lang w:val="en-US" w:eastAsia="zh-CN"/>
                    </w:rPr>
                  </w:pPr>
                </w:p>
              </w:tc>
              <w:tc>
                <w:tcPr>
                  <w:tcW w:w="679" w:type="pct"/>
                  <w:tcBorders>
                    <w:tl2br w:val="nil"/>
                    <w:tr2bl w:val="nil"/>
                  </w:tcBorders>
                  <w:noWrap w:val="0"/>
                  <w:tcMar>
                    <w:top w:w="13" w:type="dxa"/>
                    <w:left w:w="13" w:type="dxa"/>
                    <w:bottom w:w="0" w:type="dxa"/>
                    <w:right w:w="13" w:type="dxa"/>
                  </w:tcMar>
                  <w:vAlign w:val="center"/>
                </w:tcPr>
                <w:p w14:paraId="0AAF93C7">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wave"/>
                      <w:lang w:val="en-US" w:eastAsia="zh-CN"/>
                    </w:rPr>
                  </w:pPr>
                  <w:r>
                    <w:rPr>
                      <w:rFonts w:hint="eastAsia" w:cs="Times New Roman"/>
                      <w:color w:val="auto"/>
                      <w:kern w:val="0"/>
                      <w:sz w:val="21"/>
                      <w:szCs w:val="21"/>
                      <w:u w:val="wave"/>
                      <w:lang w:val="en-US" w:eastAsia="zh-CN"/>
                    </w:rPr>
                    <w:t>2.4</w:t>
                  </w:r>
                </w:p>
              </w:tc>
              <w:tc>
                <w:tcPr>
                  <w:tcW w:w="678" w:type="pct"/>
                  <w:tcBorders>
                    <w:tl2br w:val="nil"/>
                    <w:tr2bl w:val="nil"/>
                  </w:tcBorders>
                  <w:noWrap w:val="0"/>
                  <w:tcMar>
                    <w:top w:w="13" w:type="dxa"/>
                    <w:left w:w="13" w:type="dxa"/>
                    <w:bottom w:w="0" w:type="dxa"/>
                    <w:right w:w="13" w:type="dxa"/>
                  </w:tcMar>
                  <w:vAlign w:val="center"/>
                </w:tcPr>
                <w:p w14:paraId="73A9A547">
                  <w:pPr>
                    <w:adjustRightInd w:val="0"/>
                    <w:snapToGrid w:val="0"/>
                    <w:spacing w:before="24" w:beforeLines="10" w:after="24" w:afterLines="10" w:line="240" w:lineRule="auto"/>
                    <w:jc w:val="center"/>
                    <w:rPr>
                      <w:rFonts w:hint="default" w:cs="Times New Roman"/>
                      <w:color w:val="auto"/>
                      <w:kern w:val="0"/>
                      <w:sz w:val="21"/>
                      <w:szCs w:val="21"/>
                      <w:highlight w:val="none"/>
                      <w:u w:val="wave"/>
                      <w:lang w:val="en-US" w:eastAsia="zh-CN"/>
                    </w:rPr>
                  </w:pPr>
                  <w:r>
                    <w:rPr>
                      <w:rFonts w:hint="eastAsia" w:cs="Times New Roman"/>
                      <w:color w:val="auto"/>
                      <w:kern w:val="0"/>
                      <w:sz w:val="21"/>
                      <w:szCs w:val="21"/>
                      <w:highlight w:val="none"/>
                      <w:u w:val="wave"/>
                      <w:lang w:val="en-US" w:eastAsia="zh-CN"/>
                    </w:rPr>
                    <w:t>5.04</w:t>
                  </w:r>
                </w:p>
              </w:tc>
              <w:tc>
                <w:tcPr>
                  <w:tcW w:w="678" w:type="pct"/>
                  <w:tcBorders>
                    <w:tl2br w:val="nil"/>
                    <w:tr2bl w:val="nil"/>
                  </w:tcBorders>
                  <w:noWrap w:val="0"/>
                  <w:tcMar>
                    <w:top w:w="13" w:type="dxa"/>
                    <w:left w:w="13" w:type="dxa"/>
                    <w:bottom w:w="0" w:type="dxa"/>
                    <w:right w:w="13" w:type="dxa"/>
                  </w:tcMar>
                  <w:vAlign w:val="center"/>
                </w:tcPr>
                <w:p w14:paraId="71ACC2D7">
                  <w:pPr>
                    <w:adjustRightInd w:val="0"/>
                    <w:snapToGrid w:val="0"/>
                    <w:spacing w:before="24" w:beforeLines="10" w:after="24" w:afterLines="10" w:line="240" w:lineRule="auto"/>
                    <w:jc w:val="center"/>
                    <w:rPr>
                      <w:rFonts w:hint="default" w:cs="Times New Roman"/>
                      <w:color w:val="auto"/>
                      <w:kern w:val="0"/>
                      <w:sz w:val="21"/>
                      <w:szCs w:val="21"/>
                      <w:highlight w:val="none"/>
                      <w:u w:val="wave"/>
                      <w:lang w:val="en-US" w:eastAsia="zh-CN"/>
                    </w:rPr>
                  </w:pPr>
                  <w:r>
                    <w:rPr>
                      <w:rFonts w:hint="eastAsia" w:cs="Times New Roman"/>
                      <w:color w:val="auto"/>
                      <w:kern w:val="0"/>
                      <w:sz w:val="21"/>
                      <w:szCs w:val="21"/>
                      <w:highlight w:val="none"/>
                      <w:u w:val="wave"/>
                      <w:lang w:val="en-US" w:eastAsia="zh-CN"/>
                    </w:rPr>
                    <w:t>2.16</w:t>
                  </w:r>
                </w:p>
              </w:tc>
              <w:tc>
                <w:tcPr>
                  <w:tcW w:w="690" w:type="pct"/>
                  <w:tcBorders>
                    <w:tl2br w:val="nil"/>
                    <w:tr2bl w:val="nil"/>
                  </w:tcBorders>
                  <w:noWrap w:val="0"/>
                  <w:tcMar>
                    <w:top w:w="13" w:type="dxa"/>
                    <w:left w:w="13" w:type="dxa"/>
                    <w:bottom w:w="0" w:type="dxa"/>
                    <w:right w:w="13" w:type="dxa"/>
                  </w:tcMar>
                  <w:vAlign w:val="center"/>
                </w:tcPr>
                <w:p w14:paraId="2C483692">
                  <w:pPr>
                    <w:adjustRightInd w:val="0"/>
                    <w:snapToGrid w:val="0"/>
                    <w:spacing w:before="24" w:beforeLines="10" w:after="24" w:afterLines="10" w:line="240" w:lineRule="auto"/>
                    <w:jc w:val="center"/>
                    <w:rPr>
                      <w:rFonts w:hint="default" w:cs="Times New Roman"/>
                      <w:color w:val="auto"/>
                      <w:kern w:val="0"/>
                      <w:sz w:val="21"/>
                      <w:szCs w:val="21"/>
                      <w:highlight w:val="none"/>
                      <w:u w:val="wave"/>
                      <w:lang w:val="en-US" w:eastAsia="zh-CN"/>
                    </w:rPr>
                  </w:pPr>
                  <w:r>
                    <w:rPr>
                      <w:rFonts w:hint="eastAsia" w:cs="Times New Roman"/>
                      <w:color w:val="auto"/>
                      <w:kern w:val="0"/>
                      <w:sz w:val="21"/>
                      <w:szCs w:val="21"/>
                      <w:highlight w:val="none"/>
                      <w:u w:val="wave"/>
                      <w:lang w:val="en-US" w:eastAsia="zh-CN"/>
                    </w:rPr>
                    <w:t>7.20</w:t>
                  </w:r>
                </w:p>
              </w:tc>
            </w:tr>
            <w:tr w14:paraId="00CD54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596" w:type="pct"/>
                  <w:gridSpan w:val="2"/>
                  <w:tcBorders>
                    <w:tl2br w:val="nil"/>
                    <w:tr2bl w:val="nil"/>
                  </w:tcBorders>
                  <w:noWrap w:val="0"/>
                  <w:tcMar>
                    <w:top w:w="13" w:type="dxa"/>
                    <w:left w:w="13" w:type="dxa"/>
                    <w:bottom w:w="0" w:type="dxa"/>
                    <w:right w:w="13" w:type="dxa"/>
                  </w:tcMar>
                  <w:vAlign w:val="center"/>
                </w:tcPr>
                <w:p w14:paraId="3B268B41">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wave"/>
                      <w:lang w:val="en-US" w:eastAsia="zh-CN"/>
                    </w:rPr>
                  </w:pPr>
                  <w:r>
                    <w:rPr>
                      <w:rFonts w:hint="eastAsia" w:cs="Times New Roman"/>
                      <w:color w:val="auto"/>
                      <w:kern w:val="0"/>
                      <w:sz w:val="21"/>
                      <w:szCs w:val="21"/>
                      <w:u w:val="wave"/>
                      <w:lang w:val="en-US" w:eastAsia="zh-CN"/>
                    </w:rPr>
                    <w:t>施工生产区</w:t>
                  </w:r>
                </w:p>
              </w:tc>
              <w:tc>
                <w:tcPr>
                  <w:tcW w:w="678" w:type="pct"/>
                  <w:tcBorders>
                    <w:tl2br w:val="nil"/>
                    <w:tr2bl w:val="nil"/>
                  </w:tcBorders>
                  <w:noWrap w:val="0"/>
                  <w:tcMar>
                    <w:top w:w="13" w:type="dxa"/>
                    <w:left w:w="13" w:type="dxa"/>
                    <w:bottom w:w="0" w:type="dxa"/>
                    <w:right w:w="13" w:type="dxa"/>
                  </w:tcMar>
                  <w:vAlign w:val="center"/>
                </w:tcPr>
                <w:p w14:paraId="58D5F4BD">
                  <w:pPr>
                    <w:adjustRightInd w:val="0"/>
                    <w:snapToGrid w:val="0"/>
                    <w:spacing w:before="24" w:beforeLines="10" w:after="24" w:afterLines="10" w:line="240" w:lineRule="auto"/>
                    <w:jc w:val="center"/>
                    <w:rPr>
                      <w:rFonts w:hint="eastAsia" w:cs="Times New Roman"/>
                      <w:color w:val="auto"/>
                      <w:kern w:val="0"/>
                      <w:sz w:val="21"/>
                      <w:szCs w:val="21"/>
                      <w:u w:val="wave"/>
                      <w:lang w:val="en-US" w:eastAsia="zh-CN"/>
                    </w:rPr>
                  </w:pPr>
                </w:p>
              </w:tc>
              <w:tc>
                <w:tcPr>
                  <w:tcW w:w="679" w:type="pct"/>
                  <w:tcBorders>
                    <w:tl2br w:val="nil"/>
                    <w:tr2bl w:val="nil"/>
                  </w:tcBorders>
                  <w:noWrap w:val="0"/>
                  <w:tcMar>
                    <w:top w:w="13" w:type="dxa"/>
                    <w:left w:w="13" w:type="dxa"/>
                    <w:bottom w:w="0" w:type="dxa"/>
                    <w:right w:w="13" w:type="dxa"/>
                  </w:tcMar>
                  <w:vAlign w:val="center"/>
                </w:tcPr>
                <w:p w14:paraId="779C3BBF">
                  <w:pPr>
                    <w:adjustRightInd w:val="0"/>
                    <w:snapToGrid w:val="0"/>
                    <w:spacing w:before="24" w:beforeLines="10" w:after="24" w:afterLines="10" w:line="240" w:lineRule="auto"/>
                    <w:jc w:val="center"/>
                    <w:rPr>
                      <w:rFonts w:hint="default" w:cs="Times New Roman"/>
                      <w:color w:val="auto"/>
                      <w:kern w:val="0"/>
                      <w:sz w:val="21"/>
                      <w:szCs w:val="21"/>
                      <w:u w:val="wave"/>
                      <w:lang w:val="en-US" w:eastAsia="zh-CN"/>
                    </w:rPr>
                  </w:pPr>
                  <w:r>
                    <w:rPr>
                      <w:rFonts w:hint="eastAsia" w:cs="Times New Roman"/>
                      <w:color w:val="auto"/>
                      <w:kern w:val="0"/>
                      <w:sz w:val="21"/>
                      <w:szCs w:val="21"/>
                      <w:u w:val="wave"/>
                      <w:lang w:val="en-US" w:eastAsia="zh-CN"/>
                    </w:rPr>
                    <w:t>0.4</w:t>
                  </w:r>
                </w:p>
              </w:tc>
              <w:tc>
                <w:tcPr>
                  <w:tcW w:w="678" w:type="pct"/>
                  <w:tcBorders>
                    <w:tl2br w:val="nil"/>
                    <w:tr2bl w:val="nil"/>
                  </w:tcBorders>
                  <w:noWrap w:val="0"/>
                  <w:tcMar>
                    <w:top w:w="13" w:type="dxa"/>
                    <w:left w:w="13" w:type="dxa"/>
                    <w:bottom w:w="0" w:type="dxa"/>
                    <w:right w:w="13" w:type="dxa"/>
                  </w:tcMar>
                  <w:vAlign w:val="center"/>
                </w:tcPr>
                <w:p w14:paraId="7BF87CDF">
                  <w:pPr>
                    <w:adjustRightInd w:val="0"/>
                    <w:snapToGrid w:val="0"/>
                    <w:spacing w:before="24" w:beforeLines="10" w:after="24" w:afterLines="10" w:line="240" w:lineRule="auto"/>
                    <w:jc w:val="center"/>
                    <w:rPr>
                      <w:rFonts w:hint="default" w:cs="Times New Roman"/>
                      <w:color w:val="auto"/>
                      <w:kern w:val="0"/>
                      <w:sz w:val="21"/>
                      <w:szCs w:val="21"/>
                      <w:highlight w:val="none"/>
                      <w:u w:val="wave"/>
                      <w:lang w:val="en-US" w:eastAsia="zh-CN"/>
                    </w:rPr>
                  </w:pPr>
                  <w:r>
                    <w:rPr>
                      <w:rFonts w:hint="eastAsia" w:cs="Times New Roman"/>
                      <w:color w:val="auto"/>
                      <w:kern w:val="0"/>
                      <w:sz w:val="21"/>
                      <w:szCs w:val="21"/>
                      <w:highlight w:val="none"/>
                      <w:u w:val="wave"/>
                      <w:lang w:val="en-US" w:eastAsia="zh-CN"/>
                    </w:rPr>
                    <w:t>1.68</w:t>
                  </w:r>
                </w:p>
              </w:tc>
              <w:tc>
                <w:tcPr>
                  <w:tcW w:w="678" w:type="pct"/>
                  <w:tcBorders>
                    <w:tl2br w:val="nil"/>
                    <w:tr2bl w:val="nil"/>
                  </w:tcBorders>
                  <w:noWrap w:val="0"/>
                  <w:tcMar>
                    <w:top w:w="13" w:type="dxa"/>
                    <w:left w:w="13" w:type="dxa"/>
                    <w:bottom w:w="0" w:type="dxa"/>
                    <w:right w:w="13" w:type="dxa"/>
                  </w:tcMar>
                  <w:vAlign w:val="center"/>
                </w:tcPr>
                <w:p w14:paraId="4528909B">
                  <w:pPr>
                    <w:adjustRightInd w:val="0"/>
                    <w:snapToGrid w:val="0"/>
                    <w:spacing w:before="24" w:beforeLines="10" w:after="24" w:afterLines="10" w:line="240" w:lineRule="auto"/>
                    <w:jc w:val="center"/>
                    <w:rPr>
                      <w:rFonts w:hint="eastAsia" w:cs="Times New Roman"/>
                      <w:color w:val="auto"/>
                      <w:kern w:val="0"/>
                      <w:sz w:val="21"/>
                      <w:szCs w:val="21"/>
                      <w:highlight w:val="none"/>
                      <w:u w:val="wave"/>
                      <w:lang w:val="en-US" w:eastAsia="zh-CN"/>
                    </w:rPr>
                  </w:pPr>
                  <w:r>
                    <w:rPr>
                      <w:rFonts w:hint="eastAsia" w:cs="Times New Roman"/>
                      <w:color w:val="auto"/>
                      <w:kern w:val="0"/>
                      <w:sz w:val="21"/>
                      <w:szCs w:val="21"/>
                      <w:highlight w:val="none"/>
                      <w:u w:val="wave"/>
                      <w:lang w:val="en-US" w:eastAsia="zh-CN"/>
                    </w:rPr>
                    <w:t>0.72</w:t>
                  </w:r>
                </w:p>
              </w:tc>
              <w:tc>
                <w:tcPr>
                  <w:tcW w:w="690" w:type="pct"/>
                  <w:tcBorders>
                    <w:tl2br w:val="nil"/>
                    <w:tr2bl w:val="nil"/>
                  </w:tcBorders>
                  <w:noWrap w:val="0"/>
                  <w:tcMar>
                    <w:top w:w="13" w:type="dxa"/>
                    <w:left w:w="13" w:type="dxa"/>
                    <w:bottom w:w="0" w:type="dxa"/>
                    <w:right w:w="13" w:type="dxa"/>
                  </w:tcMar>
                  <w:vAlign w:val="center"/>
                </w:tcPr>
                <w:p w14:paraId="663C6E24">
                  <w:pPr>
                    <w:adjustRightInd w:val="0"/>
                    <w:snapToGrid w:val="0"/>
                    <w:spacing w:before="24" w:beforeLines="10" w:after="24" w:afterLines="10" w:line="240" w:lineRule="auto"/>
                    <w:jc w:val="center"/>
                    <w:rPr>
                      <w:rFonts w:hint="eastAsia" w:cs="Times New Roman"/>
                      <w:color w:val="auto"/>
                      <w:kern w:val="0"/>
                      <w:sz w:val="21"/>
                      <w:szCs w:val="21"/>
                      <w:highlight w:val="none"/>
                      <w:u w:val="wave"/>
                      <w:lang w:val="en-US" w:eastAsia="zh-CN"/>
                    </w:rPr>
                  </w:pPr>
                  <w:r>
                    <w:rPr>
                      <w:rFonts w:hint="eastAsia" w:cs="Times New Roman"/>
                      <w:color w:val="auto"/>
                      <w:kern w:val="0"/>
                      <w:sz w:val="21"/>
                      <w:szCs w:val="21"/>
                      <w:highlight w:val="none"/>
                      <w:u w:val="wave"/>
                      <w:lang w:val="en-US" w:eastAsia="zh-CN"/>
                    </w:rPr>
                    <w:t>2.4</w:t>
                  </w:r>
                </w:p>
              </w:tc>
            </w:tr>
            <w:tr w14:paraId="60E2D2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596" w:type="pct"/>
                  <w:gridSpan w:val="2"/>
                  <w:tcBorders>
                    <w:tl2br w:val="nil"/>
                    <w:tr2bl w:val="nil"/>
                  </w:tcBorders>
                  <w:noWrap w:val="0"/>
                  <w:tcMar>
                    <w:top w:w="13" w:type="dxa"/>
                    <w:left w:w="13" w:type="dxa"/>
                    <w:bottom w:w="0" w:type="dxa"/>
                    <w:right w:w="13" w:type="dxa"/>
                  </w:tcMar>
                  <w:vAlign w:val="center"/>
                </w:tcPr>
                <w:p w14:paraId="204B27D4">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wave"/>
                      <w:lang w:val="en-US" w:eastAsia="zh-CN"/>
                    </w:rPr>
                  </w:pPr>
                  <w:r>
                    <w:rPr>
                      <w:rFonts w:hint="eastAsia" w:cs="Times New Roman"/>
                      <w:color w:val="auto"/>
                      <w:kern w:val="0"/>
                      <w:sz w:val="21"/>
                      <w:szCs w:val="21"/>
                      <w:u w:val="wave"/>
                      <w:lang w:val="en-US" w:eastAsia="zh-CN"/>
                    </w:rPr>
                    <w:t>弃渣场区</w:t>
                  </w:r>
                </w:p>
              </w:tc>
              <w:tc>
                <w:tcPr>
                  <w:tcW w:w="678" w:type="pct"/>
                  <w:tcBorders>
                    <w:tl2br w:val="nil"/>
                    <w:tr2bl w:val="nil"/>
                  </w:tcBorders>
                  <w:noWrap w:val="0"/>
                  <w:tcMar>
                    <w:top w:w="13" w:type="dxa"/>
                    <w:left w:w="13" w:type="dxa"/>
                    <w:bottom w:w="0" w:type="dxa"/>
                    <w:right w:w="13" w:type="dxa"/>
                  </w:tcMar>
                  <w:vAlign w:val="center"/>
                </w:tcPr>
                <w:p w14:paraId="2D089ED8">
                  <w:pPr>
                    <w:adjustRightInd w:val="0"/>
                    <w:snapToGrid w:val="0"/>
                    <w:spacing w:before="24" w:beforeLines="10" w:after="24" w:afterLines="10" w:line="240" w:lineRule="auto"/>
                    <w:jc w:val="center"/>
                    <w:rPr>
                      <w:rFonts w:hint="eastAsia" w:ascii="Times New Roman" w:hAnsi="Times New Roman" w:eastAsia="宋体" w:cs="Times New Roman"/>
                      <w:color w:val="auto"/>
                      <w:kern w:val="0"/>
                      <w:sz w:val="21"/>
                      <w:szCs w:val="21"/>
                      <w:u w:val="wave"/>
                      <w:lang w:val="en-US" w:eastAsia="zh-CN"/>
                    </w:rPr>
                  </w:pPr>
                </w:p>
              </w:tc>
              <w:tc>
                <w:tcPr>
                  <w:tcW w:w="679" w:type="pct"/>
                  <w:tcBorders>
                    <w:tl2br w:val="nil"/>
                    <w:tr2bl w:val="nil"/>
                  </w:tcBorders>
                  <w:noWrap w:val="0"/>
                  <w:tcMar>
                    <w:top w:w="13" w:type="dxa"/>
                    <w:left w:w="13" w:type="dxa"/>
                    <w:bottom w:w="0" w:type="dxa"/>
                    <w:right w:w="13" w:type="dxa"/>
                  </w:tcMar>
                  <w:vAlign w:val="center"/>
                </w:tcPr>
                <w:p w14:paraId="15AE7EE9">
                  <w:pPr>
                    <w:adjustRightInd w:val="0"/>
                    <w:snapToGrid w:val="0"/>
                    <w:spacing w:before="24" w:beforeLines="10" w:after="24" w:afterLines="10" w:line="240" w:lineRule="auto"/>
                    <w:jc w:val="center"/>
                    <w:rPr>
                      <w:rFonts w:hint="default" w:cs="Times New Roman"/>
                      <w:color w:val="auto"/>
                      <w:kern w:val="0"/>
                      <w:sz w:val="21"/>
                      <w:szCs w:val="21"/>
                      <w:u w:val="wave"/>
                      <w:lang w:val="en-US" w:eastAsia="zh-CN"/>
                    </w:rPr>
                  </w:pPr>
                  <w:r>
                    <w:rPr>
                      <w:rFonts w:hint="eastAsia" w:cs="Times New Roman"/>
                      <w:color w:val="auto"/>
                      <w:kern w:val="0"/>
                      <w:sz w:val="21"/>
                      <w:szCs w:val="21"/>
                      <w:u w:val="wave"/>
                      <w:lang w:val="en-US" w:eastAsia="zh-CN"/>
                    </w:rPr>
                    <w:t>7.20</w:t>
                  </w:r>
                </w:p>
              </w:tc>
              <w:tc>
                <w:tcPr>
                  <w:tcW w:w="678" w:type="pct"/>
                  <w:tcBorders>
                    <w:tl2br w:val="nil"/>
                    <w:tr2bl w:val="nil"/>
                  </w:tcBorders>
                  <w:noWrap w:val="0"/>
                  <w:tcMar>
                    <w:top w:w="13" w:type="dxa"/>
                    <w:left w:w="13" w:type="dxa"/>
                    <w:bottom w:w="0" w:type="dxa"/>
                    <w:right w:w="13" w:type="dxa"/>
                  </w:tcMar>
                  <w:vAlign w:val="center"/>
                </w:tcPr>
                <w:p w14:paraId="17A51669">
                  <w:pPr>
                    <w:adjustRightInd w:val="0"/>
                    <w:snapToGrid w:val="0"/>
                    <w:spacing w:before="24" w:beforeLines="10" w:after="24" w:afterLines="10" w:line="240" w:lineRule="auto"/>
                    <w:jc w:val="center"/>
                    <w:rPr>
                      <w:rFonts w:hint="default" w:cs="Times New Roman"/>
                      <w:color w:val="auto"/>
                      <w:kern w:val="0"/>
                      <w:sz w:val="21"/>
                      <w:szCs w:val="21"/>
                      <w:highlight w:val="none"/>
                      <w:u w:val="wave"/>
                      <w:lang w:val="en-US" w:eastAsia="zh-CN"/>
                    </w:rPr>
                  </w:pPr>
                  <w:r>
                    <w:rPr>
                      <w:rFonts w:hint="eastAsia" w:cs="Times New Roman"/>
                      <w:color w:val="auto"/>
                      <w:kern w:val="0"/>
                      <w:sz w:val="21"/>
                      <w:szCs w:val="21"/>
                      <w:highlight w:val="none"/>
                      <w:u w:val="wave"/>
                      <w:lang w:val="en-US" w:eastAsia="zh-CN"/>
                    </w:rPr>
                    <w:t>0.28</w:t>
                  </w:r>
                </w:p>
              </w:tc>
              <w:tc>
                <w:tcPr>
                  <w:tcW w:w="678" w:type="pct"/>
                  <w:tcBorders>
                    <w:tl2br w:val="nil"/>
                    <w:tr2bl w:val="nil"/>
                  </w:tcBorders>
                  <w:noWrap w:val="0"/>
                  <w:tcMar>
                    <w:top w:w="13" w:type="dxa"/>
                    <w:left w:w="13" w:type="dxa"/>
                    <w:bottom w:w="0" w:type="dxa"/>
                    <w:right w:w="13" w:type="dxa"/>
                  </w:tcMar>
                  <w:vAlign w:val="center"/>
                </w:tcPr>
                <w:p w14:paraId="7CD3AFB8">
                  <w:pPr>
                    <w:adjustRightInd w:val="0"/>
                    <w:snapToGrid w:val="0"/>
                    <w:spacing w:before="24" w:beforeLines="10" w:after="24" w:afterLines="10" w:line="240" w:lineRule="auto"/>
                    <w:jc w:val="center"/>
                    <w:rPr>
                      <w:rFonts w:hint="default" w:cs="Times New Roman"/>
                      <w:color w:val="auto"/>
                      <w:kern w:val="0"/>
                      <w:sz w:val="21"/>
                      <w:szCs w:val="21"/>
                      <w:highlight w:val="none"/>
                      <w:u w:val="wave"/>
                      <w:lang w:val="en-US" w:eastAsia="zh-CN"/>
                    </w:rPr>
                  </w:pPr>
                  <w:r>
                    <w:rPr>
                      <w:rFonts w:hint="eastAsia" w:cs="Times New Roman"/>
                      <w:color w:val="auto"/>
                      <w:kern w:val="0"/>
                      <w:sz w:val="21"/>
                      <w:szCs w:val="21"/>
                      <w:highlight w:val="none"/>
                      <w:u w:val="wave"/>
                      <w:lang w:val="en-US" w:eastAsia="zh-CN"/>
                    </w:rPr>
                    <w:t>0.12</w:t>
                  </w:r>
                </w:p>
              </w:tc>
              <w:tc>
                <w:tcPr>
                  <w:tcW w:w="690" w:type="pct"/>
                  <w:tcBorders>
                    <w:tl2br w:val="nil"/>
                    <w:tr2bl w:val="nil"/>
                  </w:tcBorders>
                  <w:noWrap w:val="0"/>
                  <w:tcMar>
                    <w:top w:w="13" w:type="dxa"/>
                    <w:left w:w="13" w:type="dxa"/>
                    <w:bottom w:w="0" w:type="dxa"/>
                    <w:right w:w="13" w:type="dxa"/>
                  </w:tcMar>
                  <w:vAlign w:val="center"/>
                </w:tcPr>
                <w:p w14:paraId="75A2E3C4">
                  <w:pPr>
                    <w:adjustRightInd w:val="0"/>
                    <w:snapToGrid w:val="0"/>
                    <w:spacing w:before="24" w:beforeLines="10" w:after="24" w:afterLines="10" w:line="240" w:lineRule="auto"/>
                    <w:jc w:val="center"/>
                    <w:rPr>
                      <w:rFonts w:hint="default" w:cs="Times New Roman"/>
                      <w:color w:val="auto"/>
                      <w:kern w:val="0"/>
                      <w:sz w:val="21"/>
                      <w:szCs w:val="21"/>
                      <w:highlight w:val="none"/>
                      <w:u w:val="wave"/>
                      <w:lang w:val="en-US" w:eastAsia="zh-CN"/>
                    </w:rPr>
                  </w:pPr>
                  <w:r>
                    <w:rPr>
                      <w:rFonts w:hint="eastAsia" w:cs="Times New Roman"/>
                      <w:color w:val="auto"/>
                      <w:kern w:val="0"/>
                      <w:sz w:val="21"/>
                      <w:szCs w:val="21"/>
                      <w:highlight w:val="none"/>
                      <w:u w:val="wave"/>
                      <w:lang w:val="en-US" w:eastAsia="zh-CN"/>
                    </w:rPr>
                    <w:t>0.4</w:t>
                  </w:r>
                </w:p>
              </w:tc>
            </w:tr>
            <w:tr w14:paraId="4D26BC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596" w:type="pct"/>
                  <w:gridSpan w:val="2"/>
                  <w:tcBorders>
                    <w:tl2br w:val="nil"/>
                    <w:tr2bl w:val="nil"/>
                  </w:tcBorders>
                  <w:noWrap w:val="0"/>
                  <w:tcMar>
                    <w:top w:w="13" w:type="dxa"/>
                    <w:left w:w="13" w:type="dxa"/>
                    <w:bottom w:w="0" w:type="dxa"/>
                    <w:right w:w="13" w:type="dxa"/>
                  </w:tcMar>
                  <w:vAlign w:val="center"/>
                </w:tcPr>
                <w:p w14:paraId="0AC42A57">
                  <w:pPr>
                    <w:adjustRightInd w:val="0"/>
                    <w:snapToGrid w:val="0"/>
                    <w:spacing w:before="24" w:beforeLines="10" w:after="24" w:afterLines="10" w:line="240" w:lineRule="auto"/>
                    <w:jc w:val="center"/>
                    <w:rPr>
                      <w:rFonts w:hint="eastAsia" w:ascii="Times New Roman" w:hAnsi="Times New Roman" w:eastAsia="宋体" w:cs="Times New Roman"/>
                      <w:color w:val="auto"/>
                      <w:kern w:val="0"/>
                      <w:sz w:val="21"/>
                      <w:szCs w:val="21"/>
                      <w:u w:val="wave"/>
                      <w:lang w:val="en-US" w:eastAsia="zh-CN"/>
                    </w:rPr>
                  </w:pPr>
                  <w:r>
                    <w:rPr>
                      <w:rFonts w:hint="eastAsia" w:ascii="Times New Roman" w:hAnsi="Times New Roman" w:eastAsia="宋体" w:cs="Times New Roman"/>
                      <w:color w:val="auto"/>
                      <w:kern w:val="0"/>
                      <w:sz w:val="21"/>
                      <w:szCs w:val="21"/>
                      <w:u w:val="wave"/>
                      <w:lang w:val="en-US" w:eastAsia="zh-CN"/>
                    </w:rPr>
                    <w:t>合  计</w:t>
                  </w:r>
                </w:p>
              </w:tc>
              <w:tc>
                <w:tcPr>
                  <w:tcW w:w="678" w:type="pct"/>
                  <w:tcBorders>
                    <w:tl2br w:val="nil"/>
                    <w:tr2bl w:val="nil"/>
                  </w:tcBorders>
                  <w:noWrap w:val="0"/>
                  <w:tcMar>
                    <w:top w:w="13" w:type="dxa"/>
                    <w:left w:w="13" w:type="dxa"/>
                    <w:bottom w:w="0" w:type="dxa"/>
                    <w:right w:w="13" w:type="dxa"/>
                  </w:tcMar>
                  <w:vAlign w:val="center"/>
                </w:tcPr>
                <w:p w14:paraId="4126B282">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wave"/>
                      <w:lang w:val="en-US" w:eastAsia="zh-CN"/>
                    </w:rPr>
                  </w:pPr>
                  <w:r>
                    <w:rPr>
                      <w:rFonts w:hint="eastAsia" w:cs="Times New Roman"/>
                      <w:color w:val="auto"/>
                      <w:kern w:val="0"/>
                      <w:sz w:val="21"/>
                      <w:szCs w:val="21"/>
                      <w:u w:val="wave"/>
                      <w:lang w:val="en-US" w:eastAsia="zh-CN"/>
                    </w:rPr>
                    <w:t>1.61</w:t>
                  </w:r>
                </w:p>
              </w:tc>
              <w:tc>
                <w:tcPr>
                  <w:tcW w:w="679" w:type="pct"/>
                  <w:tcBorders>
                    <w:tl2br w:val="nil"/>
                    <w:tr2bl w:val="nil"/>
                  </w:tcBorders>
                  <w:noWrap w:val="0"/>
                  <w:tcMar>
                    <w:top w:w="13" w:type="dxa"/>
                    <w:left w:w="13" w:type="dxa"/>
                    <w:bottom w:w="0" w:type="dxa"/>
                    <w:right w:w="13" w:type="dxa"/>
                  </w:tcMar>
                  <w:vAlign w:val="center"/>
                </w:tcPr>
                <w:p w14:paraId="77C33D63">
                  <w:pPr>
                    <w:adjustRightInd w:val="0"/>
                    <w:snapToGrid w:val="0"/>
                    <w:spacing w:before="24" w:beforeLines="10" w:after="24" w:afterLines="10" w:line="240" w:lineRule="auto"/>
                    <w:jc w:val="center"/>
                    <w:rPr>
                      <w:rFonts w:hint="default" w:ascii="Times New Roman" w:hAnsi="Times New Roman" w:eastAsia="宋体" w:cs="Times New Roman"/>
                      <w:color w:val="auto"/>
                      <w:kern w:val="0"/>
                      <w:sz w:val="21"/>
                      <w:szCs w:val="21"/>
                      <w:u w:val="wave"/>
                      <w:lang w:val="en-US" w:eastAsia="zh-CN"/>
                    </w:rPr>
                  </w:pPr>
                  <w:r>
                    <w:rPr>
                      <w:rFonts w:hint="eastAsia" w:cs="Times New Roman"/>
                      <w:color w:val="auto"/>
                      <w:kern w:val="0"/>
                      <w:sz w:val="21"/>
                      <w:szCs w:val="21"/>
                      <w:u w:val="wave"/>
                      <w:lang w:val="en-US" w:eastAsia="zh-CN"/>
                    </w:rPr>
                    <w:t>42.4</w:t>
                  </w:r>
                </w:p>
              </w:tc>
              <w:tc>
                <w:tcPr>
                  <w:tcW w:w="678" w:type="pct"/>
                  <w:tcBorders>
                    <w:tl2br w:val="nil"/>
                    <w:tr2bl w:val="nil"/>
                  </w:tcBorders>
                  <w:noWrap w:val="0"/>
                  <w:tcMar>
                    <w:top w:w="13" w:type="dxa"/>
                    <w:left w:w="13" w:type="dxa"/>
                    <w:bottom w:w="0" w:type="dxa"/>
                    <w:right w:w="13" w:type="dxa"/>
                  </w:tcMar>
                  <w:vAlign w:val="center"/>
                </w:tcPr>
                <w:p w14:paraId="6A01E57B">
                  <w:pPr>
                    <w:adjustRightInd w:val="0"/>
                    <w:snapToGrid w:val="0"/>
                    <w:spacing w:before="24" w:beforeLines="10" w:after="24" w:afterLines="10" w:line="240" w:lineRule="auto"/>
                    <w:jc w:val="center"/>
                    <w:rPr>
                      <w:rFonts w:hint="default" w:cs="Times New Roman"/>
                      <w:color w:val="auto"/>
                      <w:kern w:val="0"/>
                      <w:sz w:val="21"/>
                      <w:szCs w:val="21"/>
                      <w:highlight w:val="none"/>
                      <w:u w:val="wave"/>
                      <w:lang w:val="en-US" w:eastAsia="zh-CN"/>
                    </w:rPr>
                  </w:pPr>
                  <w:r>
                    <w:rPr>
                      <w:rFonts w:hint="eastAsia" w:cs="Times New Roman"/>
                      <w:color w:val="auto"/>
                      <w:kern w:val="0"/>
                      <w:sz w:val="21"/>
                      <w:szCs w:val="21"/>
                      <w:highlight w:val="none"/>
                      <w:u w:val="wave"/>
                      <w:lang w:val="en-US" w:eastAsia="zh-CN"/>
                    </w:rPr>
                    <w:t>30.81</w:t>
                  </w:r>
                </w:p>
              </w:tc>
              <w:tc>
                <w:tcPr>
                  <w:tcW w:w="678" w:type="pct"/>
                  <w:tcBorders>
                    <w:tl2br w:val="nil"/>
                    <w:tr2bl w:val="nil"/>
                  </w:tcBorders>
                  <w:noWrap w:val="0"/>
                  <w:tcMar>
                    <w:top w:w="13" w:type="dxa"/>
                    <w:left w:w="13" w:type="dxa"/>
                    <w:bottom w:w="0" w:type="dxa"/>
                    <w:right w:w="13" w:type="dxa"/>
                  </w:tcMar>
                  <w:vAlign w:val="center"/>
                </w:tcPr>
                <w:p w14:paraId="7E64F911">
                  <w:pPr>
                    <w:adjustRightInd w:val="0"/>
                    <w:snapToGrid w:val="0"/>
                    <w:spacing w:before="24" w:beforeLines="10" w:after="24" w:afterLines="10" w:line="240" w:lineRule="auto"/>
                    <w:jc w:val="center"/>
                    <w:rPr>
                      <w:rFonts w:hint="default" w:cs="Times New Roman"/>
                      <w:color w:val="auto"/>
                      <w:kern w:val="0"/>
                      <w:sz w:val="21"/>
                      <w:szCs w:val="21"/>
                      <w:highlight w:val="none"/>
                      <w:u w:val="wave"/>
                      <w:lang w:val="en-US" w:eastAsia="zh-CN"/>
                    </w:rPr>
                  </w:pPr>
                  <w:r>
                    <w:rPr>
                      <w:rFonts w:hint="eastAsia" w:cs="Times New Roman"/>
                      <w:color w:val="auto"/>
                      <w:kern w:val="0"/>
                      <w:sz w:val="21"/>
                      <w:szCs w:val="21"/>
                      <w:highlight w:val="none"/>
                      <w:u w:val="wave"/>
                      <w:lang w:val="en-US" w:eastAsia="zh-CN"/>
                    </w:rPr>
                    <w:t>13.20</w:t>
                  </w:r>
                </w:p>
              </w:tc>
              <w:tc>
                <w:tcPr>
                  <w:tcW w:w="690" w:type="pct"/>
                  <w:tcBorders>
                    <w:tl2br w:val="nil"/>
                    <w:tr2bl w:val="nil"/>
                  </w:tcBorders>
                  <w:noWrap w:val="0"/>
                  <w:tcMar>
                    <w:top w:w="13" w:type="dxa"/>
                    <w:left w:w="13" w:type="dxa"/>
                    <w:bottom w:w="0" w:type="dxa"/>
                    <w:right w:w="13" w:type="dxa"/>
                  </w:tcMar>
                  <w:vAlign w:val="center"/>
                </w:tcPr>
                <w:p w14:paraId="374C49A0">
                  <w:pPr>
                    <w:adjustRightInd w:val="0"/>
                    <w:snapToGrid w:val="0"/>
                    <w:spacing w:before="24" w:beforeLines="10" w:after="24" w:afterLines="10" w:line="240" w:lineRule="auto"/>
                    <w:jc w:val="center"/>
                    <w:rPr>
                      <w:rFonts w:hint="default" w:cs="Times New Roman"/>
                      <w:color w:val="auto"/>
                      <w:kern w:val="0"/>
                      <w:sz w:val="21"/>
                      <w:szCs w:val="21"/>
                      <w:highlight w:val="none"/>
                      <w:u w:val="wave"/>
                      <w:lang w:val="en-US" w:eastAsia="zh-CN"/>
                    </w:rPr>
                  </w:pPr>
                  <w:r>
                    <w:rPr>
                      <w:rFonts w:hint="eastAsia" w:cs="Times New Roman"/>
                      <w:color w:val="auto"/>
                      <w:kern w:val="0"/>
                      <w:sz w:val="21"/>
                      <w:szCs w:val="21"/>
                      <w:highlight w:val="none"/>
                      <w:u w:val="wave"/>
                      <w:lang w:val="en-US" w:eastAsia="zh-CN"/>
                    </w:rPr>
                    <w:t>44.01</w:t>
                  </w:r>
                </w:p>
              </w:tc>
            </w:tr>
          </w:tbl>
          <w:p w14:paraId="6B307C8B">
            <w:pPr>
              <w:spacing w:before="120" w:beforeLines="50"/>
              <w:ind w:firstLine="480" w:firstLineChars="200"/>
              <w:rPr>
                <w:rFonts w:hint="eastAsia"/>
                <w:color w:val="auto"/>
                <w:u w:val="wave"/>
              </w:rPr>
            </w:pPr>
            <w:r>
              <w:rPr>
                <w:rFonts w:hint="eastAsia"/>
                <w:color w:val="auto"/>
                <w:u w:val="wave"/>
              </w:rPr>
              <w:t>本工程建设占地共计</w:t>
            </w:r>
            <w:r>
              <w:rPr>
                <w:rFonts w:hint="eastAsia"/>
                <w:color w:val="auto"/>
                <w:u w:val="wave"/>
                <w:lang w:val="en-US" w:eastAsia="zh-CN"/>
              </w:rPr>
              <w:t>44.01</w:t>
            </w:r>
            <w:r>
              <w:rPr>
                <w:rFonts w:hint="eastAsia"/>
                <w:color w:val="auto"/>
                <w:u w:val="wave"/>
              </w:rPr>
              <w:t>hm</w:t>
            </w:r>
            <w:r>
              <w:rPr>
                <w:rFonts w:hint="eastAsia"/>
                <w:color w:val="auto"/>
                <w:u w:val="wave"/>
                <w:vertAlign w:val="superscript"/>
              </w:rPr>
              <w:t>2</w:t>
            </w:r>
            <w:r>
              <w:rPr>
                <w:rFonts w:hint="eastAsia"/>
                <w:color w:val="auto"/>
                <w:u w:val="wave"/>
              </w:rPr>
              <w:t>，其中林地</w:t>
            </w:r>
            <w:r>
              <w:rPr>
                <w:rFonts w:hint="eastAsia"/>
                <w:u w:val="wave"/>
                <w:lang w:val="en-US" w:eastAsia="zh-CN"/>
              </w:rPr>
              <w:t>30.81</w:t>
            </w:r>
            <w:r>
              <w:rPr>
                <w:rFonts w:hint="eastAsia"/>
                <w:color w:val="auto"/>
                <w:u w:val="wave"/>
              </w:rPr>
              <w:t>hm</w:t>
            </w:r>
            <w:r>
              <w:rPr>
                <w:rFonts w:hint="eastAsia"/>
                <w:color w:val="auto"/>
                <w:u w:val="wave"/>
                <w:vertAlign w:val="superscript"/>
              </w:rPr>
              <w:t>2</w:t>
            </w:r>
            <w:r>
              <w:rPr>
                <w:rFonts w:hint="eastAsia"/>
                <w:color w:val="auto"/>
                <w:u w:val="wave"/>
              </w:rPr>
              <w:t>、草地</w:t>
            </w:r>
            <w:r>
              <w:rPr>
                <w:rFonts w:hint="eastAsia"/>
                <w:color w:val="auto"/>
                <w:u w:val="wave"/>
                <w:lang w:val="en-US" w:eastAsia="zh-CN"/>
              </w:rPr>
              <w:t>13.20</w:t>
            </w:r>
            <w:r>
              <w:rPr>
                <w:rFonts w:hint="eastAsia"/>
                <w:color w:val="auto"/>
                <w:u w:val="wave"/>
              </w:rPr>
              <w:t>hm</w:t>
            </w:r>
            <w:r>
              <w:rPr>
                <w:rFonts w:hint="eastAsia"/>
                <w:color w:val="auto"/>
                <w:u w:val="wave"/>
                <w:vertAlign w:val="superscript"/>
              </w:rPr>
              <w:t>2</w:t>
            </w:r>
            <w:r>
              <w:rPr>
                <w:rFonts w:hint="eastAsia"/>
                <w:color w:val="auto"/>
                <w:u w:val="wave"/>
              </w:rPr>
              <w:t>，分别占总面积的</w:t>
            </w:r>
            <w:r>
              <w:rPr>
                <w:rFonts w:hint="eastAsia"/>
                <w:color w:val="auto"/>
                <w:u w:val="wave"/>
                <w:lang w:val="en-US" w:eastAsia="zh-CN"/>
              </w:rPr>
              <w:t>70</w:t>
            </w:r>
            <w:r>
              <w:rPr>
                <w:rFonts w:hint="eastAsia"/>
                <w:color w:val="auto"/>
                <w:u w:val="wave"/>
              </w:rPr>
              <w:t>%、</w:t>
            </w:r>
            <w:r>
              <w:rPr>
                <w:rFonts w:hint="eastAsia"/>
                <w:color w:val="auto"/>
                <w:u w:val="wave"/>
                <w:lang w:val="en-US" w:eastAsia="zh-CN"/>
              </w:rPr>
              <w:t>30</w:t>
            </w:r>
            <w:r>
              <w:rPr>
                <w:rFonts w:hint="eastAsia"/>
                <w:color w:val="auto"/>
                <w:u w:val="wave"/>
              </w:rPr>
              <w:t>%。从这些指标可看出，项目区工程占地主要为林地，林地资源丰富，不占用耕地，没有基本农田，无水土保持制约性因素。</w:t>
            </w:r>
          </w:p>
          <w:p w14:paraId="10441F6B">
            <w:pPr>
              <w:spacing w:before="120" w:beforeLines="50"/>
              <w:ind w:firstLine="480" w:firstLineChars="200"/>
              <w:rPr>
                <w:color w:val="auto"/>
                <w:u w:val="none"/>
              </w:rPr>
            </w:pPr>
            <w:r>
              <w:rPr>
                <w:color w:val="auto"/>
                <w:u w:val="none"/>
              </w:rPr>
              <w:t>（2）房屋拆迁</w:t>
            </w:r>
          </w:p>
          <w:p w14:paraId="0F901B06">
            <w:pPr>
              <w:ind w:firstLine="480" w:firstLineChars="200"/>
              <w:rPr>
                <w:rFonts w:hint="default" w:eastAsia="宋体"/>
                <w:color w:val="auto"/>
                <w:u w:val="none"/>
                <w:lang w:val="en-US" w:eastAsia="zh-CN"/>
              </w:rPr>
            </w:pPr>
            <w:r>
              <w:rPr>
                <w:rFonts w:hint="eastAsia"/>
                <w:color w:val="auto"/>
                <w:u w:val="none"/>
                <w:lang w:val="en-US" w:eastAsia="zh-CN"/>
              </w:rPr>
              <w:t>华电通道太平山</w:t>
            </w:r>
            <w:r>
              <w:rPr>
                <w:rFonts w:hint="eastAsia"/>
                <w:color w:val="auto"/>
                <w:u w:val="none"/>
                <w:lang w:eastAsia="zh-CN"/>
              </w:rPr>
              <w:t>风电场</w:t>
            </w:r>
            <w:r>
              <w:rPr>
                <w:color w:val="auto"/>
                <w:u w:val="none"/>
              </w:rPr>
              <w:t>项目选址范围内无居民房屋等建筑设施，不涉及房屋拆迁</w:t>
            </w:r>
            <w:r>
              <w:rPr>
                <w:rFonts w:hint="eastAsia"/>
                <w:color w:val="auto"/>
                <w:lang w:val="en-US" w:eastAsia="zh-CN"/>
              </w:rPr>
              <w:t>。</w:t>
            </w:r>
          </w:p>
          <w:p w14:paraId="70FD445F">
            <w:pPr>
              <w:numPr>
                <w:ilvl w:val="3"/>
                <w:numId w:val="0"/>
              </w:numPr>
              <w:adjustRightInd w:val="0"/>
              <w:outlineLvl w:val="3"/>
              <w:rPr>
                <w:b/>
                <w:color w:val="auto"/>
                <w:u w:val="none"/>
              </w:rPr>
            </w:pPr>
            <w:r>
              <w:rPr>
                <w:b/>
                <w:color w:val="auto"/>
                <w:u w:val="none"/>
              </w:rPr>
              <w:t>2.2.</w:t>
            </w:r>
            <w:r>
              <w:rPr>
                <w:rFonts w:hint="eastAsia"/>
                <w:b/>
                <w:color w:val="auto"/>
                <w:u w:val="none"/>
                <w:lang w:val="en-US" w:eastAsia="zh-CN"/>
              </w:rPr>
              <w:t>3</w:t>
            </w:r>
            <w:r>
              <w:rPr>
                <w:b/>
                <w:color w:val="auto"/>
                <w:u w:val="none"/>
              </w:rPr>
              <w:t>土石方平衡与弃渣规划</w:t>
            </w:r>
          </w:p>
          <w:p w14:paraId="12182C07">
            <w:pPr>
              <w:ind w:firstLine="480" w:firstLineChars="200"/>
              <w:rPr>
                <w:color w:val="auto"/>
                <w:u w:val="none"/>
              </w:rPr>
            </w:pPr>
            <w:r>
              <w:rPr>
                <w:color w:val="auto"/>
                <w:u w:val="none"/>
              </w:rPr>
              <w:t>（1）土石方平衡</w:t>
            </w:r>
          </w:p>
          <w:p w14:paraId="588692C6">
            <w:pPr>
              <w:ind w:firstLine="480" w:firstLineChars="200"/>
              <w:rPr>
                <w:color w:val="auto"/>
                <w:u w:val="wave"/>
              </w:rPr>
            </w:pPr>
            <w:r>
              <w:rPr>
                <w:color w:val="auto"/>
                <w:u w:val="wave"/>
              </w:rPr>
              <w:t>根据《</w:t>
            </w:r>
            <w:r>
              <w:rPr>
                <w:rFonts w:hint="eastAsia"/>
                <w:color w:val="auto"/>
                <w:u w:val="wave"/>
                <w:lang w:val="en-US" w:eastAsia="zh-CN"/>
              </w:rPr>
              <w:t>湖南华电通道太平山</w:t>
            </w:r>
            <w:r>
              <w:rPr>
                <w:rFonts w:hint="eastAsia"/>
                <w:color w:val="auto"/>
                <w:u w:val="wave"/>
                <w:lang w:eastAsia="zh-CN"/>
              </w:rPr>
              <w:t>风电场</w:t>
            </w:r>
            <w:r>
              <w:rPr>
                <w:color w:val="auto"/>
                <w:u w:val="wave"/>
              </w:rPr>
              <w:t>水土保持方案报告书》，结合项目实际建设情况，</w:t>
            </w:r>
            <w:r>
              <w:rPr>
                <w:rFonts w:hint="eastAsia"/>
                <w:color w:val="auto"/>
                <w:u w:val="wave"/>
              </w:rPr>
              <w:t>本工程土石方总量本工程土石方开挖总量</w:t>
            </w:r>
            <w:r>
              <w:rPr>
                <w:rFonts w:hint="eastAsia"/>
                <w:color w:val="auto"/>
                <w:u w:val="wave"/>
                <w:lang w:val="en-US" w:eastAsia="zh-CN"/>
              </w:rPr>
              <w:t>171.79</w:t>
            </w:r>
            <w:r>
              <w:rPr>
                <w:rFonts w:hint="eastAsia"/>
                <w:color w:val="auto"/>
                <w:u w:val="wave"/>
              </w:rPr>
              <w:t>万m</w:t>
            </w:r>
            <w:r>
              <w:rPr>
                <w:rFonts w:hint="eastAsia"/>
                <w:color w:val="auto"/>
                <w:u w:val="wave"/>
                <w:vertAlign w:val="superscript"/>
              </w:rPr>
              <w:t>3</w:t>
            </w:r>
            <w:r>
              <w:rPr>
                <w:rFonts w:hint="eastAsia"/>
                <w:color w:val="auto"/>
                <w:u w:val="wave"/>
              </w:rPr>
              <w:t>，回填总量</w:t>
            </w:r>
            <w:r>
              <w:rPr>
                <w:rFonts w:hint="eastAsia"/>
                <w:color w:val="auto"/>
                <w:u w:val="wave"/>
                <w:lang w:val="en-US" w:eastAsia="zh-CN"/>
              </w:rPr>
              <w:t>112.58</w:t>
            </w:r>
            <w:r>
              <w:rPr>
                <w:rFonts w:hint="eastAsia"/>
                <w:color w:val="auto"/>
                <w:u w:val="wave"/>
              </w:rPr>
              <w:t>万m</w:t>
            </w:r>
            <w:r>
              <w:rPr>
                <w:rFonts w:hint="eastAsia"/>
                <w:color w:val="auto"/>
                <w:u w:val="wave"/>
                <w:vertAlign w:val="superscript"/>
              </w:rPr>
              <w:t>3</w:t>
            </w:r>
            <w:r>
              <w:rPr>
                <w:rFonts w:hint="eastAsia"/>
                <w:color w:val="auto"/>
                <w:u w:val="wave"/>
              </w:rPr>
              <w:t>，弃渣</w:t>
            </w:r>
            <w:r>
              <w:rPr>
                <w:rFonts w:hint="eastAsia"/>
                <w:color w:val="auto"/>
                <w:u w:val="wave"/>
                <w:lang w:val="en-US" w:eastAsia="zh-CN"/>
              </w:rPr>
              <w:t>59.21</w:t>
            </w:r>
            <w:r>
              <w:rPr>
                <w:rFonts w:hint="eastAsia"/>
                <w:color w:val="auto"/>
                <w:u w:val="wave"/>
              </w:rPr>
              <w:t>万m</w:t>
            </w:r>
            <w:r>
              <w:rPr>
                <w:rFonts w:hint="eastAsia"/>
                <w:color w:val="auto"/>
                <w:u w:val="wave"/>
                <w:vertAlign w:val="superscript"/>
              </w:rPr>
              <w:t>3</w:t>
            </w:r>
            <w:r>
              <w:rPr>
                <w:rFonts w:hint="eastAsia"/>
                <w:color w:val="auto"/>
                <w:u w:val="wave"/>
              </w:rPr>
              <w:t>，</w:t>
            </w:r>
            <w:r>
              <w:rPr>
                <w:color w:val="auto"/>
                <w:u w:val="wave"/>
              </w:rPr>
              <w:t>各区土石方数量分析如下：</w:t>
            </w:r>
          </w:p>
          <w:p w14:paraId="4056911B">
            <w:pPr>
              <w:pStyle w:val="89"/>
              <w:spacing w:line="240" w:lineRule="auto"/>
              <w:ind w:firstLine="2741" w:firstLineChars="1300"/>
              <w:jc w:val="both"/>
              <w:rPr>
                <w:color w:val="auto"/>
                <w:kern w:val="2"/>
                <w:u w:val="wave"/>
              </w:rPr>
            </w:pPr>
            <w:r>
              <w:rPr>
                <w:color w:val="auto"/>
                <w:u w:val="wave"/>
              </w:rPr>
              <w:drawing>
                <wp:anchor distT="0" distB="0" distL="114300" distR="114300" simplePos="0" relativeHeight="251684864" behindDoc="0" locked="0" layoutInCell="1" allowOverlap="1">
                  <wp:simplePos x="0" y="0"/>
                  <wp:positionH relativeFrom="column">
                    <wp:posOffset>-31750</wp:posOffset>
                  </wp:positionH>
                  <wp:positionV relativeFrom="paragraph">
                    <wp:posOffset>156845</wp:posOffset>
                  </wp:positionV>
                  <wp:extent cx="5057775" cy="2248535"/>
                  <wp:effectExtent l="0" t="0" r="9525" b="18415"/>
                  <wp:wrapNone/>
                  <wp:docPr id="22" name="图片 22" descr="1741491858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741491858740"/>
                          <pic:cNvPicPr>
                            <a:picLocks noChangeAspect="1"/>
                          </pic:cNvPicPr>
                        </pic:nvPicPr>
                        <pic:blipFill>
                          <a:blip r:embed="rId25"/>
                          <a:stretch>
                            <a:fillRect/>
                          </a:stretch>
                        </pic:blipFill>
                        <pic:spPr>
                          <a:xfrm>
                            <a:off x="0" y="0"/>
                            <a:ext cx="5057775" cy="2248535"/>
                          </a:xfrm>
                          <a:prstGeom prst="rect">
                            <a:avLst/>
                          </a:prstGeom>
                        </pic:spPr>
                      </pic:pic>
                    </a:graphicData>
                  </a:graphic>
                </wp:anchor>
              </w:drawing>
            </w:r>
            <w:r>
              <w:rPr>
                <w:color w:val="auto"/>
                <w:kern w:val="2"/>
                <w:u w:val="wave"/>
              </w:rPr>
              <w:t>表</w:t>
            </w:r>
            <w:r>
              <w:rPr>
                <w:rFonts w:hint="eastAsia"/>
                <w:color w:val="auto"/>
                <w:kern w:val="2"/>
                <w:u w:val="wave"/>
              </w:rPr>
              <w:t>2.</w:t>
            </w:r>
            <w:r>
              <w:rPr>
                <w:color w:val="auto"/>
                <w:kern w:val="2"/>
                <w:u w:val="wave"/>
              </w:rPr>
              <w:t>2-</w:t>
            </w:r>
            <w:r>
              <w:rPr>
                <w:rFonts w:hint="eastAsia"/>
                <w:color w:val="auto"/>
                <w:kern w:val="2"/>
                <w:u w:val="wave"/>
                <w:lang w:val="en-US" w:eastAsia="zh-CN"/>
              </w:rPr>
              <w:t>5</w:t>
            </w:r>
            <w:r>
              <w:rPr>
                <w:color w:val="auto"/>
                <w:kern w:val="2"/>
                <w:u w:val="wave"/>
              </w:rPr>
              <w:t xml:space="preserve">  土石方</w:t>
            </w:r>
            <w:r>
              <w:rPr>
                <w:rFonts w:hint="eastAsia"/>
                <w:color w:val="auto"/>
                <w:kern w:val="2"/>
                <w:u w:val="wave"/>
                <w:lang w:val="en-US" w:eastAsia="zh-CN"/>
              </w:rPr>
              <w:t>工程量</w:t>
            </w:r>
            <w:r>
              <w:rPr>
                <w:color w:val="auto"/>
                <w:kern w:val="2"/>
                <w:u w:val="wave"/>
              </w:rPr>
              <w:t>一览表</w:t>
            </w:r>
          </w:p>
          <w:p w14:paraId="6369DEA1">
            <w:pPr>
              <w:spacing w:before="120" w:beforeLines="50"/>
              <w:ind w:firstLine="480" w:firstLineChars="200"/>
              <w:rPr>
                <w:color w:val="auto"/>
                <w:u w:val="wave"/>
              </w:rPr>
            </w:pPr>
          </w:p>
          <w:p w14:paraId="58F2B0C0">
            <w:pPr>
              <w:spacing w:before="120" w:beforeLines="50"/>
              <w:ind w:firstLine="480" w:firstLineChars="200"/>
              <w:rPr>
                <w:color w:val="auto"/>
                <w:u w:val="wave"/>
              </w:rPr>
            </w:pPr>
            <w:r>
              <w:rPr>
                <w:color w:val="auto"/>
                <w:u w:val="wave"/>
              </w:rPr>
              <w:t>（2）弃渣场规划及设置情况</w:t>
            </w:r>
          </w:p>
          <w:p w14:paraId="0FB2745D">
            <w:pPr>
              <w:autoSpaceDE w:val="0"/>
              <w:autoSpaceDN w:val="0"/>
              <w:ind w:firstLine="480" w:firstLineChars="200"/>
              <w:jc w:val="left"/>
              <w:rPr>
                <w:color w:val="000000" w:themeColor="text1"/>
                <w:kern w:val="0"/>
                <w14:textFill>
                  <w14:solidFill>
                    <w14:schemeClr w14:val="tx1"/>
                  </w14:solidFill>
                </w14:textFill>
              </w:rPr>
            </w:pPr>
            <w:r>
              <w:rPr>
                <w:rFonts w:hint="eastAsia"/>
                <w:color w:val="auto"/>
                <w:kern w:val="0"/>
                <w:u w:val="wave"/>
              </w:rPr>
              <w:t>本项目总弃渣量为</w:t>
            </w:r>
            <w:r>
              <w:rPr>
                <w:rFonts w:hint="eastAsia"/>
                <w:color w:val="auto"/>
                <w:kern w:val="0"/>
                <w:u w:val="wave"/>
                <w:lang w:val="en-US" w:eastAsia="zh-CN"/>
              </w:rPr>
              <w:t>59</w:t>
            </w:r>
            <w:r>
              <w:rPr>
                <w:rFonts w:hint="eastAsia"/>
                <w:color w:val="auto"/>
                <w:kern w:val="0"/>
                <w:lang w:val="en-US" w:eastAsia="zh-CN"/>
              </w:rPr>
              <w:t>.21</w:t>
            </w:r>
            <w:r>
              <w:rPr>
                <w:rFonts w:hint="eastAsia"/>
                <w:color w:val="auto"/>
                <w:kern w:val="0"/>
              </w:rPr>
              <w:t>万m</w:t>
            </w:r>
            <w:r>
              <w:rPr>
                <w:rFonts w:hint="eastAsia"/>
                <w:color w:val="auto"/>
                <w:kern w:val="0"/>
                <w:vertAlign w:val="superscript"/>
              </w:rPr>
              <w:t>3</w:t>
            </w:r>
            <w:r>
              <w:rPr>
                <w:rFonts w:hint="eastAsia"/>
                <w:color w:val="auto"/>
                <w:kern w:val="0"/>
              </w:rPr>
              <w:t>，弃渣场</w:t>
            </w:r>
            <w:r>
              <w:rPr>
                <w:rFonts w:hint="eastAsia"/>
                <w:color w:val="auto"/>
                <w:kern w:val="0"/>
                <w:lang w:val="en-US" w:eastAsia="zh-CN"/>
              </w:rPr>
              <w:t>9</w:t>
            </w:r>
            <w:r>
              <w:rPr>
                <w:rFonts w:hint="eastAsia"/>
                <w:color w:val="auto"/>
                <w:kern w:val="0"/>
              </w:rPr>
              <w:t>处，占地面积</w:t>
            </w:r>
            <w:r>
              <w:rPr>
                <w:rFonts w:hint="eastAsia"/>
                <w:color w:val="auto"/>
                <w:kern w:val="0"/>
                <w:lang w:val="en-US" w:eastAsia="zh-CN"/>
              </w:rPr>
              <w:t>5.96</w:t>
            </w:r>
            <w:r>
              <w:rPr>
                <w:rFonts w:hint="eastAsia"/>
                <w:color w:val="auto"/>
                <w:kern w:val="0"/>
              </w:rPr>
              <w:t>hm</w:t>
            </w:r>
            <w:r>
              <w:rPr>
                <w:rFonts w:hint="eastAsia"/>
                <w:color w:val="auto"/>
                <w:kern w:val="0"/>
                <w:vertAlign w:val="superscript"/>
              </w:rPr>
              <w:t>2</w:t>
            </w:r>
            <w:r>
              <w:rPr>
                <w:color w:val="000000" w:themeColor="text1"/>
                <w:kern w:val="0"/>
                <w14:textFill>
                  <w14:solidFill>
                    <w14:schemeClr w14:val="tx1"/>
                  </w14:solidFill>
                </w14:textFill>
              </w:rPr>
              <w:t>。本项目弃渣场设置情况见表2</w:t>
            </w:r>
            <w:r>
              <w:rPr>
                <w:rFonts w:hint="eastAsia"/>
                <w:color w:val="000000" w:themeColor="text1"/>
                <w:kern w:val="0"/>
                <w14:textFill>
                  <w14:solidFill>
                    <w14:schemeClr w14:val="tx1"/>
                  </w14:solidFill>
                </w14:textFill>
              </w:rPr>
              <w:t>.4-3</w:t>
            </w:r>
            <w:r>
              <w:rPr>
                <w:color w:val="000000" w:themeColor="text1"/>
                <w:kern w:val="0"/>
                <w14:textFill>
                  <w14:solidFill>
                    <w14:schemeClr w14:val="tx1"/>
                  </w14:solidFill>
                </w14:textFill>
              </w:rPr>
              <w:t>。</w:t>
            </w:r>
          </w:p>
          <w:p w14:paraId="3BC691F8">
            <w:pPr>
              <w:ind w:firstLine="480" w:firstLineChars="200"/>
              <w:rPr>
                <w:color w:val="000000" w:themeColor="text1"/>
                <w:highlight w:val="none"/>
                <w14:textFill>
                  <w14:solidFill>
                    <w14:schemeClr w14:val="tx1"/>
                  </w14:solidFill>
                </w14:textFill>
              </w:rPr>
            </w:pPr>
          </w:p>
          <w:p w14:paraId="25A97E21">
            <w:pPr>
              <w:ind w:firstLine="480" w:firstLineChars="200"/>
              <w:rPr>
                <w:color w:val="000000" w:themeColor="text1"/>
                <w:highlight w:val="none"/>
                <w14:textFill>
                  <w14:solidFill>
                    <w14:schemeClr w14:val="tx1"/>
                  </w14:solidFill>
                </w14:textFill>
              </w:rPr>
            </w:pPr>
          </w:p>
          <w:p w14:paraId="5C5F7DCC">
            <w:pPr>
              <w:ind w:firstLine="480" w:firstLineChars="200"/>
              <w:rPr>
                <w:color w:val="000000" w:themeColor="text1"/>
                <w:highlight w:val="none"/>
                <w14:textFill>
                  <w14:solidFill>
                    <w14:schemeClr w14:val="tx1"/>
                  </w14:solidFill>
                </w14:textFill>
              </w:rPr>
            </w:pPr>
          </w:p>
          <w:p w14:paraId="3C3A2E95">
            <w:pPr>
              <w:ind w:firstLine="480" w:firstLineChars="200"/>
              <w:rPr>
                <w:color w:val="000000" w:themeColor="text1"/>
                <w:highlight w:val="none"/>
                <w14:textFill>
                  <w14:solidFill>
                    <w14:schemeClr w14:val="tx1"/>
                  </w14:solidFill>
                </w14:textFill>
              </w:rPr>
            </w:pPr>
          </w:p>
          <w:p w14:paraId="022A7C0E">
            <w:pPr>
              <w:ind w:firstLine="480" w:firstLineChars="200"/>
              <w:rPr>
                <w:color w:val="000000" w:themeColor="text1"/>
                <w:highlight w:val="none"/>
                <w14:textFill>
                  <w14:solidFill>
                    <w14:schemeClr w14:val="tx1"/>
                  </w14:solidFill>
                </w14:textFill>
              </w:rPr>
            </w:pPr>
            <w:r>
              <w:rPr>
                <w:color w:val="auto"/>
              </w:rPr>
              <w:drawing>
                <wp:anchor distT="0" distB="0" distL="114300" distR="114300" simplePos="0" relativeHeight="251685888" behindDoc="0" locked="0" layoutInCell="1" allowOverlap="1">
                  <wp:simplePos x="0" y="0"/>
                  <wp:positionH relativeFrom="column">
                    <wp:posOffset>-32385</wp:posOffset>
                  </wp:positionH>
                  <wp:positionV relativeFrom="paragraph">
                    <wp:posOffset>651510</wp:posOffset>
                  </wp:positionV>
                  <wp:extent cx="5007610" cy="935990"/>
                  <wp:effectExtent l="0" t="0" r="2540" b="16510"/>
                  <wp:wrapTopAndBottom/>
                  <wp:docPr id="55" name="图片 55" descr="1741491939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1741491939054"/>
                          <pic:cNvPicPr>
                            <a:picLocks noChangeAspect="1"/>
                          </pic:cNvPicPr>
                        </pic:nvPicPr>
                        <pic:blipFill>
                          <a:blip r:embed="rId26"/>
                          <a:stretch>
                            <a:fillRect/>
                          </a:stretch>
                        </pic:blipFill>
                        <pic:spPr>
                          <a:xfrm>
                            <a:off x="0" y="0"/>
                            <a:ext cx="5007610" cy="935990"/>
                          </a:xfrm>
                          <a:prstGeom prst="rect">
                            <a:avLst/>
                          </a:prstGeom>
                        </pic:spPr>
                      </pic:pic>
                    </a:graphicData>
                  </a:graphic>
                </wp:anchor>
              </w:drawing>
            </w:r>
            <w:r>
              <w:rPr>
                <w:color w:val="auto"/>
              </w:rPr>
              <w:drawing>
                <wp:anchor distT="0" distB="0" distL="114300" distR="114300" simplePos="0" relativeHeight="251686912" behindDoc="0" locked="0" layoutInCell="1" allowOverlap="1">
                  <wp:simplePos x="0" y="0"/>
                  <wp:positionH relativeFrom="column">
                    <wp:posOffset>-85725</wp:posOffset>
                  </wp:positionH>
                  <wp:positionV relativeFrom="paragraph">
                    <wp:posOffset>16510</wp:posOffset>
                  </wp:positionV>
                  <wp:extent cx="5039360" cy="673735"/>
                  <wp:effectExtent l="0" t="0" r="8890" b="12065"/>
                  <wp:wrapTopAndBottom/>
                  <wp:docPr id="58" name="图片 58" descr="1741491964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1741491964566"/>
                          <pic:cNvPicPr>
                            <a:picLocks noChangeAspect="1"/>
                          </pic:cNvPicPr>
                        </pic:nvPicPr>
                        <pic:blipFill>
                          <a:blip r:embed="rId27"/>
                          <a:stretch>
                            <a:fillRect/>
                          </a:stretch>
                        </pic:blipFill>
                        <pic:spPr>
                          <a:xfrm>
                            <a:off x="0" y="0"/>
                            <a:ext cx="5039360" cy="673735"/>
                          </a:xfrm>
                          <a:prstGeom prst="rect">
                            <a:avLst/>
                          </a:prstGeom>
                        </pic:spPr>
                      </pic:pic>
                    </a:graphicData>
                  </a:graphic>
                </wp:anchor>
              </w:drawing>
            </w:r>
            <w:r>
              <w:rPr>
                <w:color w:val="000000" w:themeColor="text1"/>
                <w:highlight w:val="none"/>
                <w14:textFill>
                  <w14:solidFill>
                    <w14:schemeClr w14:val="tx1"/>
                  </w14:solidFill>
                </w14:textFill>
              </w:rPr>
              <w:t>（3）表土堆场规划及设置情况</w:t>
            </w:r>
          </w:p>
          <w:p w14:paraId="417CF83F">
            <w:pPr>
              <w:pStyle w:val="10"/>
              <w:kinsoku w:val="0"/>
              <w:overflowPunct w:val="0"/>
              <w:spacing w:before="0" w:after="0" w:line="360" w:lineRule="auto"/>
              <w:ind w:right="0" w:firstLine="472" w:firstLineChars="200"/>
              <w:rPr>
                <w:color w:val="FF0000"/>
                <w:sz w:val="24"/>
                <w:szCs w:val="24"/>
              </w:rPr>
            </w:pPr>
            <w:r>
              <w:rPr>
                <w:rFonts w:hint="eastAsia"/>
                <w:color w:val="000000" w:themeColor="text1"/>
                <w:spacing w:val="-2"/>
                <w:sz w:val="24"/>
                <w:szCs w:val="24"/>
                <w14:textFill>
                  <w14:solidFill>
                    <w14:schemeClr w14:val="tx1"/>
                  </w14:solidFill>
                </w14:textFill>
              </w:rPr>
              <w:t>项目区处于中低山丘陵区，植被覆盖较高，风机建设区域植被茂盛，表土剥离条件好，因此本方案拟对工程建设范围内剥离表土，林地平均可剥离表土厚度15cm，草地平均可剥离表土厚度12cm，可剥离表土面积</w:t>
            </w:r>
            <w:r>
              <w:rPr>
                <w:rFonts w:hint="eastAsia"/>
                <w:color w:val="000000" w:themeColor="text1"/>
                <w:spacing w:val="-2"/>
                <w:sz w:val="24"/>
                <w:szCs w:val="24"/>
                <w:lang w:val="en-US" w:eastAsia="zh-CN"/>
                <w14:textFill>
                  <w14:solidFill>
                    <w14:schemeClr w14:val="tx1"/>
                  </w14:solidFill>
                </w14:textFill>
              </w:rPr>
              <w:t>42.77</w:t>
            </w:r>
            <w:r>
              <w:rPr>
                <w:rFonts w:hint="eastAsia"/>
                <w:color w:val="000000" w:themeColor="text1"/>
                <w:spacing w:val="-2"/>
                <w:sz w:val="24"/>
                <w:szCs w:val="24"/>
                <w14:textFill>
                  <w14:solidFill>
                    <w14:schemeClr w14:val="tx1"/>
                  </w14:solidFill>
                </w14:textFill>
              </w:rPr>
              <w:t>hm</w:t>
            </w:r>
            <w:r>
              <w:rPr>
                <w:rFonts w:hint="eastAsia"/>
                <w:color w:val="000000" w:themeColor="text1"/>
                <w:spacing w:val="-2"/>
                <w:sz w:val="24"/>
                <w:szCs w:val="24"/>
                <w:vertAlign w:val="superscript"/>
                <w14:textFill>
                  <w14:solidFill>
                    <w14:schemeClr w14:val="tx1"/>
                  </w14:solidFill>
                </w14:textFill>
              </w:rPr>
              <w:t>2</w:t>
            </w:r>
            <w:r>
              <w:rPr>
                <w:rFonts w:hint="eastAsia"/>
                <w:color w:val="000000" w:themeColor="text1"/>
                <w:spacing w:val="-2"/>
                <w:sz w:val="24"/>
                <w:szCs w:val="24"/>
                <w14:textFill>
                  <w14:solidFill>
                    <w14:schemeClr w14:val="tx1"/>
                  </w14:solidFill>
                </w14:textFill>
              </w:rPr>
              <w:t>，可剥离量</w:t>
            </w:r>
            <w:r>
              <w:rPr>
                <w:rFonts w:hint="eastAsia"/>
                <w:color w:val="000000" w:themeColor="text1"/>
                <w:spacing w:val="-2"/>
                <w:sz w:val="24"/>
                <w:szCs w:val="24"/>
                <w:lang w:val="en-US" w:eastAsia="zh-CN"/>
                <w14:textFill>
                  <w14:solidFill>
                    <w14:schemeClr w14:val="tx1"/>
                  </w14:solidFill>
                </w14:textFill>
              </w:rPr>
              <w:t>6.03</w:t>
            </w:r>
            <w:r>
              <w:rPr>
                <w:rFonts w:hint="eastAsia"/>
                <w:color w:val="000000" w:themeColor="text1"/>
                <w:spacing w:val="-2"/>
                <w:sz w:val="24"/>
                <w:szCs w:val="24"/>
                <w14:textFill>
                  <w14:solidFill>
                    <w14:schemeClr w14:val="tx1"/>
                  </w14:solidFill>
                </w14:textFill>
              </w:rPr>
              <w:t>万m</w:t>
            </w:r>
            <w:r>
              <w:rPr>
                <w:rFonts w:hint="eastAsia"/>
                <w:color w:val="000000" w:themeColor="text1"/>
                <w:spacing w:val="-2"/>
                <w:sz w:val="24"/>
                <w:szCs w:val="24"/>
                <w:vertAlign w:val="superscript"/>
                <w14:textFill>
                  <w14:solidFill>
                    <w14:schemeClr w14:val="tx1"/>
                  </w14:solidFill>
                </w14:textFill>
              </w:rPr>
              <w:t>3</w:t>
            </w:r>
            <w:r>
              <w:rPr>
                <w:rFonts w:hint="eastAsia"/>
                <w:color w:val="000000" w:themeColor="text1"/>
                <w:spacing w:val="-2"/>
                <w:sz w:val="24"/>
                <w:szCs w:val="24"/>
                <w14:textFill>
                  <w14:solidFill>
                    <w14:schemeClr w14:val="tx1"/>
                  </w14:solidFill>
                </w14:textFill>
              </w:rPr>
              <w:t>，规划剥离量</w:t>
            </w:r>
            <w:r>
              <w:rPr>
                <w:rFonts w:hint="eastAsia"/>
                <w:color w:val="000000" w:themeColor="text1"/>
                <w:spacing w:val="-2"/>
                <w:sz w:val="24"/>
                <w:szCs w:val="24"/>
                <w:lang w:val="en-US" w:eastAsia="zh-CN"/>
                <w14:textFill>
                  <w14:solidFill>
                    <w14:schemeClr w14:val="tx1"/>
                  </w14:solidFill>
                </w14:textFill>
              </w:rPr>
              <w:t>6.03</w:t>
            </w:r>
            <w:r>
              <w:rPr>
                <w:rFonts w:hint="eastAsia"/>
                <w:color w:val="000000" w:themeColor="text1"/>
                <w:spacing w:val="-2"/>
                <w:sz w:val="24"/>
                <w:szCs w:val="24"/>
                <w14:textFill>
                  <w14:solidFill>
                    <w14:schemeClr w14:val="tx1"/>
                  </w14:solidFill>
                </w14:textFill>
              </w:rPr>
              <w:t>万m</w:t>
            </w:r>
            <w:r>
              <w:rPr>
                <w:rFonts w:hint="eastAsia"/>
                <w:color w:val="000000" w:themeColor="text1"/>
                <w:spacing w:val="-2"/>
                <w:sz w:val="24"/>
                <w:szCs w:val="24"/>
                <w:vertAlign w:val="superscript"/>
                <w14:textFill>
                  <w14:solidFill>
                    <w14:schemeClr w14:val="tx1"/>
                  </w14:solidFill>
                </w14:textFill>
              </w:rPr>
              <w:t>3</w:t>
            </w:r>
            <w:r>
              <w:rPr>
                <w:rFonts w:hint="eastAsia"/>
                <w:color w:val="000000" w:themeColor="text1"/>
                <w:spacing w:val="-2"/>
                <w:sz w:val="24"/>
                <w:szCs w:val="24"/>
                <w14:textFill>
                  <w14:solidFill>
                    <w14:schemeClr w14:val="tx1"/>
                  </w14:solidFill>
                </w14:textFill>
              </w:rPr>
              <w:t>。表土剥离后集中堆置并保护，后期全部用于植被恢复工作，不外运或弃置。</w:t>
            </w:r>
            <w:r>
              <w:rPr>
                <w:color w:val="000000" w:themeColor="text1"/>
                <w:sz w:val="24"/>
                <w:szCs w:val="24"/>
                <w14:textFill>
                  <w14:solidFill>
                    <w14:schemeClr w14:val="tx1"/>
                  </w14:solidFill>
                </w14:textFill>
              </w:rPr>
              <w:t>表土需求分析表见表</w:t>
            </w:r>
            <w:r>
              <w:rPr>
                <w:rFonts w:hint="eastAsia"/>
                <w:color w:val="000000" w:themeColor="text1"/>
                <w:sz w:val="24"/>
                <w:szCs w:val="24"/>
                <w14:textFill>
                  <w14:solidFill>
                    <w14:schemeClr w14:val="tx1"/>
                  </w14:solidFill>
                </w14:textFill>
              </w:rPr>
              <w:t>2.</w:t>
            </w:r>
            <w:r>
              <w:rPr>
                <w:color w:val="000000" w:themeColor="text1"/>
                <w:sz w:val="24"/>
                <w:szCs w:val="24"/>
                <w14:textFill>
                  <w14:solidFill>
                    <w14:schemeClr w14:val="tx1"/>
                  </w14:solidFill>
                </w14:textFill>
              </w:rPr>
              <w:t>2-</w:t>
            </w:r>
            <w:r>
              <w:rPr>
                <w:rFonts w:hint="eastAsia"/>
                <w:color w:val="000000" w:themeColor="text1"/>
                <w:sz w:val="24"/>
                <w:szCs w:val="24"/>
                <w:lang w:val="en-US" w:eastAsia="zh-CN"/>
                <w14:textFill>
                  <w14:solidFill>
                    <w14:schemeClr w14:val="tx1"/>
                  </w14:solidFill>
                </w14:textFill>
              </w:rPr>
              <w:t>6</w:t>
            </w:r>
            <w:r>
              <w:rPr>
                <w:color w:val="000000" w:themeColor="text1"/>
                <w:sz w:val="24"/>
                <w:szCs w:val="24"/>
                <w14:textFill>
                  <w14:solidFill>
                    <w14:schemeClr w14:val="tx1"/>
                  </w14:solidFill>
                </w14:textFill>
              </w:rPr>
              <w:t>。</w:t>
            </w:r>
          </w:p>
          <w:p w14:paraId="2E42829F">
            <w:pPr>
              <w:pStyle w:val="89"/>
              <w:spacing w:line="240" w:lineRule="auto"/>
              <w:ind w:firstLine="2319" w:firstLineChars="1100"/>
              <w:jc w:val="both"/>
              <w:rPr>
                <w:color w:val="000000" w:themeColor="text1"/>
                <w:u w:val="none"/>
                <w14:textFill>
                  <w14:solidFill>
                    <w14:schemeClr w14:val="tx1"/>
                  </w14:solidFill>
                </w14:textFill>
              </w:rPr>
            </w:pPr>
            <w:r>
              <w:rPr>
                <w:color w:val="000000" w:themeColor="text1"/>
                <w:u w:val="none"/>
                <w14:textFill>
                  <w14:solidFill>
                    <w14:schemeClr w14:val="tx1"/>
                  </w14:solidFill>
                </w14:textFill>
              </w:rPr>
              <w:t>表</w:t>
            </w:r>
            <w:r>
              <w:rPr>
                <w:rFonts w:hint="eastAsia"/>
                <w:color w:val="000000" w:themeColor="text1"/>
                <w:u w:val="none"/>
                <w14:textFill>
                  <w14:solidFill>
                    <w14:schemeClr w14:val="tx1"/>
                  </w14:solidFill>
                </w14:textFill>
              </w:rPr>
              <w:t>2.</w:t>
            </w:r>
            <w:r>
              <w:rPr>
                <w:color w:val="000000" w:themeColor="text1"/>
                <w:u w:val="none"/>
                <w14:textFill>
                  <w14:solidFill>
                    <w14:schemeClr w14:val="tx1"/>
                  </w14:solidFill>
                </w14:textFill>
              </w:rPr>
              <w:t>2-</w:t>
            </w:r>
            <w:r>
              <w:rPr>
                <w:rFonts w:hint="eastAsia"/>
                <w:color w:val="000000" w:themeColor="text1"/>
                <w:u w:val="none"/>
                <w:lang w:val="en-US" w:eastAsia="zh-CN"/>
                <w14:textFill>
                  <w14:solidFill>
                    <w14:schemeClr w14:val="tx1"/>
                  </w14:solidFill>
                </w14:textFill>
              </w:rPr>
              <w:t>6</w:t>
            </w:r>
            <w:r>
              <w:rPr>
                <w:color w:val="000000" w:themeColor="text1"/>
                <w:u w:val="none"/>
                <w14:textFill>
                  <w14:solidFill>
                    <w14:schemeClr w14:val="tx1"/>
                  </w14:solidFill>
                </w14:textFill>
              </w:rPr>
              <w:t xml:space="preserve"> </w:t>
            </w:r>
            <w:r>
              <w:rPr>
                <w:rFonts w:hint="eastAsia"/>
                <w:color w:val="000000" w:themeColor="text1"/>
                <w:u w:val="none"/>
                <w14:textFill>
                  <w14:solidFill>
                    <w14:schemeClr w14:val="tx1"/>
                  </w14:solidFill>
                </w14:textFill>
              </w:rPr>
              <w:t>表土平衡及保护方案一览表</w:t>
            </w:r>
            <w:r>
              <w:rPr>
                <w:rFonts w:hint="eastAsia" w:ascii="Times New Roman" w:hAnsi="Times New Roman"/>
                <w:b/>
                <w:bCs/>
                <w:color w:val="000000" w:themeColor="text1"/>
                <w:sz w:val="21"/>
                <w:szCs w:val="21"/>
                <w:u w:val="none"/>
                <w:lang w:val="en-US" w:eastAsia="zh-CN"/>
                <w14:textFill>
                  <w14:solidFill>
                    <w14:schemeClr w14:val="tx1"/>
                  </w14:solidFill>
                </w14:textFill>
              </w:rPr>
              <w:t>（</w:t>
            </w:r>
            <w:r>
              <w:rPr>
                <w:rFonts w:hint="eastAsia" w:ascii="Times New Roman" w:hAnsi="Times New Roman"/>
                <w:b/>
                <w:bCs/>
                <w:color w:val="000000" w:themeColor="text1"/>
                <w:sz w:val="21"/>
                <w:szCs w:val="21"/>
                <w:u w:val="none"/>
                <w14:textFill>
                  <w14:solidFill>
                    <w14:schemeClr w14:val="tx1"/>
                  </w14:solidFill>
                </w14:textFill>
              </w:rPr>
              <w:t>万m</w:t>
            </w:r>
            <w:r>
              <w:rPr>
                <w:rFonts w:hint="eastAsia" w:ascii="Times New Roman" w:hAnsi="Times New Roman"/>
                <w:b/>
                <w:bCs/>
                <w:color w:val="000000" w:themeColor="text1"/>
                <w:sz w:val="21"/>
                <w:szCs w:val="21"/>
                <w:u w:val="none"/>
                <w:vertAlign w:val="superscript"/>
                <w14:textFill>
                  <w14:solidFill>
                    <w14:schemeClr w14:val="tx1"/>
                  </w14:solidFill>
                </w14:textFill>
              </w:rPr>
              <w:t>3</w:t>
            </w:r>
            <w:r>
              <w:rPr>
                <w:rFonts w:hint="eastAsia" w:ascii="Times New Roman" w:hAnsi="Times New Roman"/>
                <w:b/>
                <w:bCs/>
                <w:color w:val="000000" w:themeColor="text1"/>
                <w:sz w:val="21"/>
                <w:szCs w:val="21"/>
                <w:u w:val="none"/>
                <w:lang w:val="en-US" w:eastAsia="zh-CN"/>
                <w14:textFill>
                  <w14:solidFill>
                    <w14:schemeClr w14:val="tx1"/>
                  </w14:solidFill>
                </w14:textFill>
              </w:rPr>
              <w:t>）</w:t>
            </w:r>
          </w:p>
          <w:tbl>
            <w:tblPr>
              <w:tblStyle w:val="27"/>
              <w:tblW w:w="7827" w:type="dxa"/>
              <w:tblInd w:w="-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5"/>
              <w:gridCol w:w="1391"/>
              <w:gridCol w:w="869"/>
              <w:gridCol w:w="793"/>
              <w:gridCol w:w="747"/>
              <w:gridCol w:w="725"/>
              <w:gridCol w:w="1966"/>
              <w:gridCol w:w="871"/>
            </w:tblGrid>
            <w:tr w14:paraId="06492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trPr>
              <w:tc>
                <w:tcPr>
                  <w:tcW w:w="465" w:type="dxa"/>
                  <w:vAlign w:val="center"/>
                </w:tcPr>
                <w:p w14:paraId="47ACE465">
                  <w:pPr>
                    <w:pStyle w:val="23"/>
                    <w:widowControl w:val="0"/>
                    <w:spacing w:before="0" w:beforeAutospacing="0" w:after="0" w:afterAutospacing="0" w:line="240" w:lineRule="auto"/>
                    <w:jc w:val="center"/>
                    <w:rPr>
                      <w:rFonts w:hint="eastAsia" w:ascii="Times New Roman" w:hAnsi="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b w:val="0"/>
                      <w:bCs w:val="0"/>
                      <w:color w:val="000000" w:themeColor="text1"/>
                      <w:sz w:val="21"/>
                      <w:szCs w:val="21"/>
                      <w:highlight w:val="none"/>
                      <w:u w:val="none"/>
                      <w:lang w:val="en-US" w:eastAsia="zh-CN"/>
                      <w14:textFill>
                        <w14:solidFill>
                          <w14:schemeClr w14:val="tx1"/>
                        </w14:solidFill>
                      </w14:textFill>
                    </w:rPr>
                    <w:t>序号</w:t>
                  </w:r>
                </w:p>
              </w:tc>
              <w:tc>
                <w:tcPr>
                  <w:tcW w:w="1391" w:type="dxa"/>
                  <w:vAlign w:val="center"/>
                </w:tcPr>
                <w:p w14:paraId="5E0355FA">
                  <w:pPr>
                    <w:pStyle w:val="23"/>
                    <w:widowControl w:val="0"/>
                    <w:spacing w:before="0" w:beforeAutospacing="0" w:after="0" w:afterAutospacing="0" w:line="240" w:lineRule="auto"/>
                    <w:jc w:val="center"/>
                    <w:rPr>
                      <w:rFonts w:hint="eastAsia" w:ascii="Times New Roman" w:hAnsi="Times New Roman"/>
                      <w:b w:val="0"/>
                      <w:bCs w:val="0"/>
                      <w:color w:val="000000" w:themeColor="text1"/>
                      <w:sz w:val="21"/>
                      <w:szCs w:val="21"/>
                      <w:highlight w:val="none"/>
                      <w:u w:val="none"/>
                      <w:lang w:val="en-US"/>
                      <w14:textFill>
                        <w14:solidFill>
                          <w14:schemeClr w14:val="tx1"/>
                        </w14:solidFill>
                      </w14:textFill>
                    </w:rPr>
                  </w:pPr>
                  <w:r>
                    <w:rPr>
                      <w:rFonts w:hint="eastAsia" w:ascii="Times New Roman" w:hAnsi="Times New Roman"/>
                      <w:b w:val="0"/>
                      <w:bCs w:val="0"/>
                      <w:color w:val="000000" w:themeColor="text1"/>
                      <w:sz w:val="21"/>
                      <w:szCs w:val="21"/>
                      <w:highlight w:val="none"/>
                      <w:u w:val="none"/>
                      <w:lang w:val="en-US" w:eastAsia="zh-CN"/>
                      <w14:textFill>
                        <w14:solidFill>
                          <w14:schemeClr w14:val="tx1"/>
                        </w14:solidFill>
                      </w14:textFill>
                    </w:rPr>
                    <w:t>施工单位</w:t>
                  </w:r>
                </w:p>
              </w:tc>
              <w:tc>
                <w:tcPr>
                  <w:tcW w:w="869" w:type="dxa"/>
                  <w:vAlign w:val="center"/>
                </w:tcPr>
                <w:p w14:paraId="0B7E938D">
                  <w:pPr>
                    <w:pStyle w:val="23"/>
                    <w:widowControl w:val="0"/>
                    <w:spacing w:before="0" w:beforeAutospacing="0" w:after="0" w:afterAutospacing="0" w:line="240" w:lineRule="auto"/>
                    <w:jc w:val="center"/>
                    <w:rPr>
                      <w:rFonts w:hint="eastAsia" w:ascii="Times New Roman" w:hAnsi="Times New Roman" w:eastAsia="宋体"/>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b w:val="0"/>
                      <w:bCs w:val="0"/>
                      <w:color w:val="000000" w:themeColor="text1"/>
                      <w:sz w:val="21"/>
                      <w:szCs w:val="21"/>
                      <w:highlight w:val="none"/>
                      <w:u w:val="none"/>
                      <w:lang w:val="en-US" w:eastAsia="zh-CN"/>
                      <w14:textFill>
                        <w14:solidFill>
                          <w14:schemeClr w14:val="tx1"/>
                        </w14:solidFill>
                      </w14:textFill>
                    </w:rPr>
                    <w:t>表土剥离量</w:t>
                  </w:r>
                </w:p>
              </w:tc>
              <w:tc>
                <w:tcPr>
                  <w:tcW w:w="793" w:type="dxa"/>
                  <w:vAlign w:val="center"/>
                </w:tcPr>
                <w:p w14:paraId="4A23C25B">
                  <w:pPr>
                    <w:pStyle w:val="23"/>
                    <w:widowControl w:val="0"/>
                    <w:spacing w:before="0" w:beforeAutospacing="0" w:after="0" w:afterAutospacing="0" w:line="240" w:lineRule="auto"/>
                    <w:jc w:val="center"/>
                    <w:rPr>
                      <w:rFonts w:hint="eastAsia" w:ascii="Times New Roman" w:hAnsi="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b w:val="0"/>
                      <w:bCs w:val="0"/>
                      <w:color w:val="000000" w:themeColor="text1"/>
                      <w:sz w:val="21"/>
                      <w:szCs w:val="21"/>
                      <w:highlight w:val="none"/>
                      <w:u w:val="none"/>
                      <w:lang w:val="en-US" w:eastAsia="zh-CN"/>
                      <w14:textFill>
                        <w14:solidFill>
                          <w14:schemeClr w14:val="tx1"/>
                        </w14:solidFill>
                      </w14:textFill>
                    </w:rPr>
                    <w:t>表土回填量</w:t>
                  </w:r>
                </w:p>
              </w:tc>
              <w:tc>
                <w:tcPr>
                  <w:tcW w:w="747" w:type="dxa"/>
                  <w:vAlign w:val="center"/>
                </w:tcPr>
                <w:p w14:paraId="3602A34D">
                  <w:pPr>
                    <w:pStyle w:val="23"/>
                    <w:widowControl w:val="0"/>
                    <w:spacing w:before="0" w:beforeAutospacing="0" w:after="0" w:afterAutospacing="0" w:line="240" w:lineRule="auto"/>
                    <w:jc w:val="center"/>
                    <w:rPr>
                      <w:rFonts w:hint="eastAsia" w:ascii="Times New Roman" w:hAnsi="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b w:val="0"/>
                      <w:bCs w:val="0"/>
                      <w:color w:val="000000" w:themeColor="text1"/>
                      <w:sz w:val="21"/>
                      <w:szCs w:val="21"/>
                      <w:highlight w:val="none"/>
                      <w:u w:val="none"/>
                      <w:lang w:val="en-US" w:eastAsia="zh-CN"/>
                      <w14:textFill>
                        <w14:solidFill>
                          <w14:schemeClr w14:val="tx1"/>
                        </w14:solidFill>
                      </w14:textFill>
                    </w:rPr>
                    <w:t>调入</w:t>
                  </w:r>
                </w:p>
              </w:tc>
              <w:tc>
                <w:tcPr>
                  <w:tcW w:w="725" w:type="dxa"/>
                  <w:vAlign w:val="center"/>
                </w:tcPr>
                <w:p w14:paraId="5AFF13F2">
                  <w:pPr>
                    <w:pStyle w:val="23"/>
                    <w:widowControl w:val="0"/>
                    <w:spacing w:before="0" w:beforeAutospacing="0" w:after="0" w:afterAutospacing="0" w:line="240" w:lineRule="auto"/>
                    <w:jc w:val="center"/>
                    <w:rPr>
                      <w:rFonts w:hint="eastAsia" w:ascii="Times New Roman" w:hAnsi="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b w:val="0"/>
                      <w:bCs w:val="0"/>
                      <w:color w:val="000000" w:themeColor="text1"/>
                      <w:sz w:val="21"/>
                      <w:szCs w:val="21"/>
                      <w:highlight w:val="none"/>
                      <w:u w:val="none"/>
                      <w:lang w:val="en-US" w:eastAsia="zh-CN"/>
                      <w14:textFill>
                        <w14:solidFill>
                          <w14:schemeClr w14:val="tx1"/>
                        </w14:solidFill>
                      </w14:textFill>
                    </w:rPr>
                    <w:t>调出</w:t>
                  </w:r>
                </w:p>
              </w:tc>
              <w:tc>
                <w:tcPr>
                  <w:tcW w:w="1966" w:type="dxa"/>
                  <w:vAlign w:val="center"/>
                </w:tcPr>
                <w:p w14:paraId="7EC9CAE8">
                  <w:pPr>
                    <w:pStyle w:val="23"/>
                    <w:widowControl w:val="0"/>
                    <w:spacing w:before="0" w:beforeAutospacing="0" w:after="0" w:afterAutospacing="0" w:line="240" w:lineRule="auto"/>
                    <w:jc w:val="center"/>
                    <w:rPr>
                      <w:rFonts w:hint="eastAsia" w:ascii="Times New Roman" w:hAnsi="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b w:val="0"/>
                      <w:bCs w:val="0"/>
                      <w:color w:val="000000" w:themeColor="text1"/>
                      <w:sz w:val="21"/>
                      <w:szCs w:val="21"/>
                      <w:highlight w:val="none"/>
                      <w:u w:val="none"/>
                      <w:lang w:val="en-US" w:eastAsia="zh-CN"/>
                      <w14:textFill>
                        <w14:solidFill>
                          <w14:schemeClr w14:val="tx1"/>
                        </w14:solidFill>
                      </w14:textFill>
                    </w:rPr>
                    <w:t>堆放位置</w:t>
                  </w:r>
                </w:p>
              </w:tc>
              <w:tc>
                <w:tcPr>
                  <w:tcW w:w="871" w:type="dxa"/>
                  <w:vAlign w:val="center"/>
                </w:tcPr>
                <w:p w14:paraId="7B476A0D">
                  <w:pPr>
                    <w:pStyle w:val="23"/>
                    <w:widowControl w:val="0"/>
                    <w:spacing w:before="0" w:beforeAutospacing="0" w:after="0" w:afterAutospacing="0" w:line="240" w:lineRule="auto"/>
                    <w:jc w:val="center"/>
                    <w:rPr>
                      <w:rFonts w:hint="default" w:ascii="Times New Roman" w:hAnsi="Times New Roman"/>
                      <w:b/>
                      <w:bCs/>
                      <w:color w:val="000000" w:themeColor="text1"/>
                      <w:sz w:val="21"/>
                      <w:szCs w:val="21"/>
                      <w:u w:val="none"/>
                      <w:lang w:val="en-US" w:eastAsia="zh-CN"/>
                      <w14:textFill>
                        <w14:solidFill>
                          <w14:schemeClr w14:val="tx1"/>
                        </w14:solidFill>
                      </w14:textFill>
                    </w:rPr>
                  </w:pPr>
                  <w:r>
                    <w:rPr>
                      <w:rFonts w:hint="eastAsia" w:ascii="Times New Roman" w:hAnsi="Times New Roman"/>
                      <w:b/>
                      <w:bCs/>
                      <w:color w:val="000000" w:themeColor="text1"/>
                      <w:sz w:val="21"/>
                      <w:szCs w:val="21"/>
                      <w:u w:val="none"/>
                      <w:lang w:val="en-US" w:eastAsia="zh-CN"/>
                      <w14:textFill>
                        <w14:solidFill>
                          <w14:schemeClr w14:val="tx1"/>
                        </w14:solidFill>
                      </w14:textFill>
                    </w:rPr>
                    <w:t>备注</w:t>
                  </w:r>
                </w:p>
              </w:tc>
            </w:tr>
            <w:tr w14:paraId="08BAE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5" w:type="dxa"/>
                  <w:vAlign w:val="center"/>
                </w:tcPr>
                <w:p w14:paraId="57EEB053">
                  <w:pPr>
                    <w:pStyle w:val="23"/>
                    <w:widowControl w:val="0"/>
                    <w:spacing w:before="0" w:beforeAutospacing="0" w:after="0" w:afterAutospacing="0" w:line="240" w:lineRule="auto"/>
                    <w:jc w:val="center"/>
                    <w:rPr>
                      <w:rFonts w:hint="eastAsia" w:ascii="Times New Roman" w:hAnsi="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olor w:val="000000" w:themeColor="text1"/>
                      <w:sz w:val="21"/>
                      <w:szCs w:val="21"/>
                      <w:highlight w:val="none"/>
                      <w:u w:val="none"/>
                      <w:lang w:val="en-US" w:eastAsia="zh-CN"/>
                      <w14:textFill>
                        <w14:solidFill>
                          <w14:schemeClr w14:val="tx1"/>
                        </w14:solidFill>
                      </w14:textFill>
                    </w:rPr>
                    <w:t>1</w:t>
                  </w:r>
                </w:p>
              </w:tc>
              <w:tc>
                <w:tcPr>
                  <w:tcW w:w="1391" w:type="dxa"/>
                  <w:vAlign w:val="center"/>
                </w:tcPr>
                <w:p w14:paraId="6200A5BB">
                  <w:pPr>
                    <w:pStyle w:val="23"/>
                    <w:widowControl w:val="0"/>
                    <w:spacing w:before="0" w:beforeAutospacing="0" w:after="0" w:afterAutospacing="0" w:line="240" w:lineRule="auto"/>
                    <w:jc w:val="center"/>
                    <w:rPr>
                      <w:rFonts w:hint="eastAsia" w:ascii="Times New Roman" w:hAnsi="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olor w:val="000000" w:themeColor="text1"/>
                      <w:sz w:val="21"/>
                      <w:szCs w:val="21"/>
                      <w:highlight w:val="none"/>
                      <w:u w:val="none"/>
                      <w:lang w:val="en-US" w:eastAsia="zh-CN"/>
                      <w14:textFill>
                        <w14:solidFill>
                          <w14:schemeClr w14:val="tx1"/>
                        </w14:solidFill>
                      </w14:textFill>
                    </w:rPr>
                    <w:t>风机平台区</w:t>
                  </w:r>
                </w:p>
              </w:tc>
              <w:tc>
                <w:tcPr>
                  <w:tcW w:w="869" w:type="dxa"/>
                  <w:vAlign w:val="center"/>
                </w:tcPr>
                <w:p w14:paraId="7CB715C3">
                  <w:pPr>
                    <w:pStyle w:val="23"/>
                    <w:widowControl w:val="0"/>
                    <w:spacing w:before="0" w:beforeAutospacing="0" w:after="0" w:afterAutospacing="0" w:line="240" w:lineRule="auto"/>
                    <w:jc w:val="center"/>
                    <w:rPr>
                      <w:rFonts w:hint="eastAsia" w:ascii="Times New Roman" w:hAnsi="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olor w:val="000000" w:themeColor="text1"/>
                      <w:sz w:val="21"/>
                      <w:szCs w:val="21"/>
                      <w:highlight w:val="none"/>
                      <w:u w:val="none"/>
                      <w:lang w:val="en-US" w:eastAsia="zh-CN"/>
                      <w14:textFill>
                        <w14:solidFill>
                          <w14:schemeClr w14:val="tx1"/>
                        </w14:solidFill>
                      </w14:textFill>
                    </w:rPr>
                    <w:t>0.50</w:t>
                  </w:r>
                </w:p>
              </w:tc>
              <w:tc>
                <w:tcPr>
                  <w:tcW w:w="793" w:type="dxa"/>
                  <w:vAlign w:val="center"/>
                </w:tcPr>
                <w:p w14:paraId="00552683">
                  <w:pPr>
                    <w:pStyle w:val="23"/>
                    <w:widowControl w:val="0"/>
                    <w:spacing w:before="0" w:beforeAutospacing="0" w:after="0" w:afterAutospacing="0" w:line="240" w:lineRule="auto"/>
                    <w:jc w:val="center"/>
                    <w:rPr>
                      <w:rFonts w:hint="eastAsia" w:ascii="Times New Roman" w:hAnsi="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olor w:val="000000" w:themeColor="text1"/>
                      <w:sz w:val="21"/>
                      <w:szCs w:val="21"/>
                      <w:highlight w:val="none"/>
                      <w:u w:val="none"/>
                      <w:lang w:val="en-US" w:eastAsia="zh-CN"/>
                      <w14:textFill>
                        <w14:solidFill>
                          <w14:schemeClr w14:val="tx1"/>
                        </w14:solidFill>
                      </w14:textFill>
                    </w:rPr>
                    <w:t>1.07</w:t>
                  </w:r>
                </w:p>
              </w:tc>
              <w:tc>
                <w:tcPr>
                  <w:tcW w:w="747" w:type="dxa"/>
                  <w:vAlign w:val="center"/>
                </w:tcPr>
                <w:p w14:paraId="0170A874">
                  <w:pPr>
                    <w:pStyle w:val="23"/>
                    <w:widowControl w:val="0"/>
                    <w:spacing w:before="0" w:beforeAutospacing="0" w:after="0" w:afterAutospacing="0" w:line="240" w:lineRule="auto"/>
                    <w:jc w:val="center"/>
                    <w:rPr>
                      <w:rFonts w:hint="eastAsia" w:ascii="Times New Roman" w:hAnsi="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olor w:val="000000" w:themeColor="text1"/>
                      <w:sz w:val="21"/>
                      <w:szCs w:val="21"/>
                      <w:highlight w:val="none"/>
                      <w:u w:val="none"/>
                      <w:lang w:val="en-US" w:eastAsia="zh-CN"/>
                      <w14:textFill>
                        <w14:solidFill>
                          <w14:schemeClr w14:val="tx1"/>
                        </w14:solidFill>
                      </w14:textFill>
                    </w:rPr>
                    <w:t>0.57</w:t>
                  </w:r>
                </w:p>
              </w:tc>
              <w:tc>
                <w:tcPr>
                  <w:tcW w:w="725" w:type="dxa"/>
                  <w:vAlign w:val="center"/>
                </w:tcPr>
                <w:p w14:paraId="3DCF6E4C">
                  <w:pPr>
                    <w:pStyle w:val="23"/>
                    <w:widowControl w:val="0"/>
                    <w:spacing w:before="0" w:beforeAutospacing="0" w:after="0" w:afterAutospacing="0" w:line="240" w:lineRule="auto"/>
                    <w:jc w:val="center"/>
                    <w:rPr>
                      <w:rFonts w:hint="eastAsia" w:ascii="Times New Roman" w:hAnsi="Times New Roman"/>
                      <w:color w:val="000000" w:themeColor="text1"/>
                      <w:sz w:val="21"/>
                      <w:szCs w:val="21"/>
                      <w:highlight w:val="none"/>
                      <w:u w:val="none"/>
                      <w:lang w:val="en-US" w:eastAsia="zh-CN"/>
                      <w14:textFill>
                        <w14:solidFill>
                          <w14:schemeClr w14:val="tx1"/>
                        </w14:solidFill>
                      </w14:textFill>
                    </w:rPr>
                  </w:pPr>
                </w:p>
              </w:tc>
              <w:tc>
                <w:tcPr>
                  <w:tcW w:w="1966" w:type="dxa"/>
                  <w:vAlign w:val="center"/>
                </w:tcPr>
                <w:p w14:paraId="00092A42">
                  <w:pPr>
                    <w:pStyle w:val="23"/>
                    <w:widowControl w:val="0"/>
                    <w:spacing w:before="0" w:beforeAutospacing="0" w:after="0" w:afterAutospacing="0" w:line="240" w:lineRule="auto"/>
                    <w:jc w:val="center"/>
                    <w:rPr>
                      <w:rFonts w:hint="eastAsia" w:ascii="Times New Roman" w:hAnsi="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olor w:val="000000" w:themeColor="text1"/>
                      <w:sz w:val="21"/>
                      <w:szCs w:val="21"/>
                      <w:highlight w:val="none"/>
                      <w:u w:val="none"/>
                      <w:lang w:val="en-US" w:eastAsia="zh-CN"/>
                      <w14:textFill>
                        <w14:solidFill>
                          <w14:schemeClr w14:val="tx1"/>
                        </w14:solidFill>
                      </w14:textFill>
                    </w:rPr>
                    <w:t>风机安装平台一角</w:t>
                  </w:r>
                </w:p>
              </w:tc>
              <w:tc>
                <w:tcPr>
                  <w:tcW w:w="871" w:type="dxa"/>
                  <w:vMerge w:val="restart"/>
                  <w:vAlign w:val="center"/>
                </w:tcPr>
                <w:p w14:paraId="7E15691E">
                  <w:pPr>
                    <w:pStyle w:val="23"/>
                    <w:widowControl w:val="0"/>
                    <w:spacing w:before="0" w:beforeAutospacing="0" w:after="0" w:afterAutospacing="0" w:line="240" w:lineRule="auto"/>
                    <w:jc w:val="center"/>
                    <w:rPr>
                      <w:rFonts w:hint="default" w:ascii="Times New Roman" w:hAnsi="Times New Roman"/>
                      <w:color w:val="000000" w:themeColor="text1"/>
                      <w:sz w:val="21"/>
                      <w:szCs w:val="21"/>
                      <w:u w:val="none"/>
                      <w:lang w:val="en-US" w:eastAsia="zh-CN"/>
                      <w14:textFill>
                        <w14:solidFill>
                          <w14:schemeClr w14:val="tx1"/>
                        </w14:solidFill>
                      </w14:textFill>
                    </w:rPr>
                  </w:pPr>
                  <w:r>
                    <w:rPr>
                      <w:rFonts w:hint="default" w:ascii="Times New Roman" w:hAnsi="Times New Roman"/>
                      <w:color w:val="000000" w:themeColor="text1"/>
                      <w:sz w:val="21"/>
                      <w:szCs w:val="21"/>
                      <w:u w:val="none"/>
                      <w:lang w:val="en-US" w:eastAsia="zh-CN"/>
                      <w14:textFill>
                        <w14:solidFill>
                          <w14:schemeClr w14:val="tx1"/>
                        </w14:solidFill>
                      </w14:textFill>
                    </w:rPr>
                    <w:t>不新</w:t>
                  </w:r>
                </w:p>
                <w:p w14:paraId="51F16161">
                  <w:pPr>
                    <w:pStyle w:val="23"/>
                    <w:widowControl w:val="0"/>
                    <w:spacing w:before="0" w:beforeAutospacing="0" w:after="0" w:afterAutospacing="0" w:line="240" w:lineRule="auto"/>
                    <w:jc w:val="center"/>
                    <w:rPr>
                      <w:rFonts w:hint="default" w:ascii="Times New Roman" w:hAnsi="Times New Roman"/>
                      <w:color w:val="000000" w:themeColor="text1"/>
                      <w:sz w:val="21"/>
                      <w:szCs w:val="21"/>
                      <w:u w:val="none"/>
                      <w:lang w:val="en-US" w:eastAsia="zh-CN"/>
                      <w14:textFill>
                        <w14:solidFill>
                          <w14:schemeClr w14:val="tx1"/>
                        </w14:solidFill>
                      </w14:textFill>
                    </w:rPr>
                  </w:pPr>
                  <w:r>
                    <w:rPr>
                      <w:rFonts w:hint="default" w:ascii="Times New Roman" w:hAnsi="Times New Roman"/>
                      <w:color w:val="000000" w:themeColor="text1"/>
                      <w:sz w:val="21"/>
                      <w:szCs w:val="21"/>
                      <w:u w:val="none"/>
                      <w:lang w:val="en-US" w:eastAsia="zh-CN"/>
                      <w14:textFill>
                        <w14:solidFill>
                          <w14:schemeClr w14:val="tx1"/>
                        </w14:solidFill>
                      </w14:textFill>
                    </w:rPr>
                    <w:t>增临</w:t>
                  </w:r>
                </w:p>
                <w:p w14:paraId="42B5D4A3">
                  <w:pPr>
                    <w:pStyle w:val="23"/>
                    <w:widowControl w:val="0"/>
                    <w:spacing w:before="0" w:beforeAutospacing="0" w:after="0" w:afterAutospacing="0" w:line="240" w:lineRule="auto"/>
                    <w:jc w:val="center"/>
                    <w:rPr>
                      <w:rFonts w:hint="default" w:ascii="Times New Roman" w:hAnsi="Times New Roman"/>
                      <w:color w:val="000000" w:themeColor="text1"/>
                      <w:sz w:val="21"/>
                      <w:szCs w:val="21"/>
                      <w:u w:val="none"/>
                      <w:lang w:val="en-US" w:eastAsia="zh-CN"/>
                      <w14:textFill>
                        <w14:solidFill>
                          <w14:schemeClr w14:val="tx1"/>
                        </w14:solidFill>
                      </w14:textFill>
                    </w:rPr>
                  </w:pPr>
                  <w:r>
                    <w:rPr>
                      <w:rFonts w:hint="default" w:ascii="Times New Roman" w:hAnsi="Times New Roman"/>
                      <w:color w:val="000000" w:themeColor="text1"/>
                      <w:sz w:val="21"/>
                      <w:szCs w:val="21"/>
                      <w:u w:val="none"/>
                      <w:lang w:val="en-US" w:eastAsia="zh-CN"/>
                      <w14:textFill>
                        <w14:solidFill>
                          <w14:schemeClr w14:val="tx1"/>
                        </w14:solidFill>
                      </w14:textFill>
                    </w:rPr>
                    <w:t>时占</w:t>
                  </w:r>
                </w:p>
                <w:p w14:paraId="15BAB5A9">
                  <w:pPr>
                    <w:pStyle w:val="23"/>
                    <w:widowControl w:val="0"/>
                    <w:spacing w:before="0" w:beforeAutospacing="0" w:after="0" w:afterAutospacing="0" w:line="240" w:lineRule="auto"/>
                    <w:jc w:val="center"/>
                    <w:rPr>
                      <w:rFonts w:hint="default" w:ascii="Times New Roman" w:hAnsi="Times New Roman"/>
                      <w:color w:val="000000" w:themeColor="text1"/>
                      <w:sz w:val="21"/>
                      <w:szCs w:val="21"/>
                      <w:u w:val="none"/>
                      <w:lang w:val="en-US" w:eastAsia="zh-CN"/>
                      <w14:textFill>
                        <w14:solidFill>
                          <w14:schemeClr w14:val="tx1"/>
                        </w14:solidFill>
                      </w14:textFill>
                    </w:rPr>
                  </w:pPr>
                  <w:r>
                    <w:rPr>
                      <w:rFonts w:hint="default" w:ascii="Times New Roman" w:hAnsi="Times New Roman"/>
                      <w:color w:val="000000" w:themeColor="text1"/>
                      <w:sz w:val="21"/>
                      <w:szCs w:val="21"/>
                      <w:u w:val="none"/>
                      <w:lang w:val="en-US" w:eastAsia="zh-CN"/>
                      <w14:textFill>
                        <w14:solidFill>
                          <w14:schemeClr w14:val="tx1"/>
                        </w14:solidFill>
                      </w14:textFill>
                    </w:rPr>
                    <w:t>地</w:t>
                  </w:r>
                </w:p>
              </w:tc>
            </w:tr>
            <w:tr w14:paraId="403D8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5" w:type="dxa"/>
                  <w:vAlign w:val="center"/>
                </w:tcPr>
                <w:p w14:paraId="07608F31">
                  <w:pPr>
                    <w:pStyle w:val="23"/>
                    <w:widowControl w:val="0"/>
                    <w:spacing w:before="0" w:beforeAutospacing="0" w:after="0" w:afterAutospacing="0" w:line="240" w:lineRule="auto"/>
                    <w:jc w:val="center"/>
                    <w:rPr>
                      <w:rFonts w:hint="eastAsia" w:ascii="Times New Roman" w:hAnsi="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olor w:val="000000" w:themeColor="text1"/>
                      <w:sz w:val="21"/>
                      <w:szCs w:val="21"/>
                      <w:highlight w:val="none"/>
                      <w:u w:val="none"/>
                      <w:lang w:val="en-US" w:eastAsia="zh-CN"/>
                      <w14:textFill>
                        <w14:solidFill>
                          <w14:schemeClr w14:val="tx1"/>
                        </w14:solidFill>
                      </w14:textFill>
                    </w:rPr>
                    <w:t>2</w:t>
                  </w:r>
                </w:p>
              </w:tc>
              <w:tc>
                <w:tcPr>
                  <w:tcW w:w="1391" w:type="dxa"/>
                  <w:vAlign w:val="center"/>
                </w:tcPr>
                <w:p w14:paraId="69B156E2">
                  <w:pPr>
                    <w:pStyle w:val="23"/>
                    <w:widowControl w:val="0"/>
                    <w:spacing w:before="0" w:beforeAutospacing="0" w:after="0" w:afterAutospacing="0" w:line="240" w:lineRule="auto"/>
                    <w:jc w:val="center"/>
                    <w:rPr>
                      <w:rFonts w:hint="eastAsia" w:ascii="Times New Roman" w:hAnsi="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olor w:val="000000" w:themeColor="text1"/>
                      <w:sz w:val="21"/>
                      <w:szCs w:val="21"/>
                      <w:highlight w:val="none"/>
                      <w:u w:val="none"/>
                      <w:lang w:val="en-US" w:eastAsia="zh-CN"/>
                      <w14:textFill>
                        <w14:solidFill>
                          <w14:schemeClr w14:val="tx1"/>
                        </w14:solidFill>
                      </w14:textFill>
                    </w:rPr>
                    <w:t>道路工程区</w:t>
                  </w:r>
                </w:p>
              </w:tc>
              <w:tc>
                <w:tcPr>
                  <w:tcW w:w="869" w:type="dxa"/>
                  <w:vAlign w:val="center"/>
                </w:tcPr>
                <w:p w14:paraId="46BD13A9">
                  <w:pPr>
                    <w:pStyle w:val="23"/>
                    <w:widowControl w:val="0"/>
                    <w:spacing w:before="0" w:beforeAutospacing="0" w:after="0" w:afterAutospacing="0" w:line="240" w:lineRule="auto"/>
                    <w:jc w:val="center"/>
                    <w:rPr>
                      <w:rFonts w:hint="default" w:ascii="Times New Roman" w:hAnsi="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olor w:val="000000" w:themeColor="text1"/>
                      <w:sz w:val="21"/>
                      <w:szCs w:val="21"/>
                      <w:highlight w:val="none"/>
                      <w:u w:val="none"/>
                      <w:lang w:val="en-US" w:eastAsia="zh-CN"/>
                      <w14:textFill>
                        <w14:solidFill>
                          <w14:schemeClr w14:val="tx1"/>
                        </w14:solidFill>
                      </w14:textFill>
                    </w:rPr>
                    <w:t>4.18</w:t>
                  </w:r>
                </w:p>
              </w:tc>
              <w:tc>
                <w:tcPr>
                  <w:tcW w:w="793" w:type="dxa"/>
                  <w:vAlign w:val="center"/>
                </w:tcPr>
                <w:p w14:paraId="60F1DE16">
                  <w:pPr>
                    <w:pStyle w:val="23"/>
                    <w:widowControl w:val="0"/>
                    <w:spacing w:before="0" w:beforeAutospacing="0" w:after="0" w:afterAutospacing="0" w:line="240" w:lineRule="auto"/>
                    <w:jc w:val="center"/>
                    <w:rPr>
                      <w:rFonts w:hint="default" w:ascii="Times New Roman" w:hAnsi="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olor w:val="000000" w:themeColor="text1"/>
                      <w:sz w:val="21"/>
                      <w:szCs w:val="21"/>
                      <w:highlight w:val="none"/>
                      <w:u w:val="none"/>
                      <w:lang w:val="en-US" w:eastAsia="zh-CN"/>
                      <w14:textFill>
                        <w14:solidFill>
                          <w14:schemeClr w14:val="tx1"/>
                        </w14:solidFill>
                      </w14:textFill>
                    </w:rPr>
                    <w:t>3.61</w:t>
                  </w:r>
                </w:p>
              </w:tc>
              <w:tc>
                <w:tcPr>
                  <w:tcW w:w="747" w:type="dxa"/>
                  <w:vAlign w:val="center"/>
                </w:tcPr>
                <w:p w14:paraId="328305F7">
                  <w:pPr>
                    <w:pStyle w:val="23"/>
                    <w:widowControl w:val="0"/>
                    <w:spacing w:before="0" w:beforeAutospacing="0" w:after="0" w:afterAutospacing="0" w:line="240" w:lineRule="auto"/>
                    <w:jc w:val="center"/>
                    <w:rPr>
                      <w:rFonts w:hint="eastAsia" w:ascii="Times New Roman" w:hAnsi="Times New Roman"/>
                      <w:color w:val="000000" w:themeColor="text1"/>
                      <w:sz w:val="21"/>
                      <w:szCs w:val="21"/>
                      <w:highlight w:val="none"/>
                      <w:u w:val="none"/>
                      <w:lang w:val="en-US" w:eastAsia="zh-CN"/>
                      <w14:textFill>
                        <w14:solidFill>
                          <w14:schemeClr w14:val="tx1"/>
                        </w14:solidFill>
                      </w14:textFill>
                    </w:rPr>
                  </w:pPr>
                </w:p>
              </w:tc>
              <w:tc>
                <w:tcPr>
                  <w:tcW w:w="725" w:type="dxa"/>
                  <w:vAlign w:val="center"/>
                </w:tcPr>
                <w:p w14:paraId="487EE9C9">
                  <w:pPr>
                    <w:pStyle w:val="23"/>
                    <w:widowControl w:val="0"/>
                    <w:spacing w:before="0" w:beforeAutospacing="0" w:after="0" w:afterAutospacing="0" w:line="240" w:lineRule="auto"/>
                    <w:jc w:val="center"/>
                    <w:rPr>
                      <w:rFonts w:hint="eastAsia" w:ascii="Times New Roman" w:hAnsi="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olor w:val="000000" w:themeColor="text1"/>
                      <w:sz w:val="21"/>
                      <w:szCs w:val="21"/>
                      <w:highlight w:val="none"/>
                      <w:u w:val="none"/>
                      <w:lang w:val="en-US" w:eastAsia="zh-CN"/>
                      <w14:textFill>
                        <w14:solidFill>
                          <w14:schemeClr w14:val="tx1"/>
                        </w14:solidFill>
                      </w14:textFill>
                    </w:rPr>
                    <w:t>0.57</w:t>
                  </w:r>
                </w:p>
              </w:tc>
              <w:tc>
                <w:tcPr>
                  <w:tcW w:w="1966" w:type="dxa"/>
                  <w:vAlign w:val="center"/>
                </w:tcPr>
                <w:p w14:paraId="709DE08D">
                  <w:pPr>
                    <w:pStyle w:val="23"/>
                    <w:widowControl w:val="0"/>
                    <w:spacing w:before="0" w:beforeAutospacing="0" w:after="0" w:afterAutospacing="0" w:line="240" w:lineRule="auto"/>
                    <w:jc w:val="center"/>
                    <w:rPr>
                      <w:rFonts w:hint="eastAsia" w:ascii="Times New Roman" w:hAnsi="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olor w:val="000000" w:themeColor="text1"/>
                      <w:sz w:val="21"/>
                      <w:szCs w:val="21"/>
                      <w:highlight w:val="none"/>
                      <w:u w:val="none"/>
                      <w:lang w:val="en-US" w:eastAsia="zh-CN"/>
                      <w14:textFill>
                        <w14:solidFill>
                          <w14:schemeClr w14:val="tx1"/>
                        </w14:solidFill>
                      </w14:textFill>
                    </w:rPr>
                    <w:t>道路剥离的表土就近堆置于道路一侧或弯道平台区域</w:t>
                  </w:r>
                </w:p>
              </w:tc>
              <w:tc>
                <w:tcPr>
                  <w:tcW w:w="871" w:type="dxa"/>
                  <w:vMerge w:val="continue"/>
                  <w:vAlign w:val="center"/>
                </w:tcPr>
                <w:p w14:paraId="7433DB4F">
                  <w:pPr>
                    <w:pStyle w:val="23"/>
                    <w:widowControl w:val="0"/>
                    <w:spacing w:before="0" w:beforeAutospacing="0" w:after="0" w:afterAutospacing="0" w:line="240" w:lineRule="auto"/>
                    <w:jc w:val="center"/>
                    <w:rPr>
                      <w:rFonts w:hint="default" w:ascii="Times New Roman" w:hAnsi="Times New Roman"/>
                      <w:color w:val="000000" w:themeColor="text1"/>
                      <w:sz w:val="21"/>
                      <w:szCs w:val="21"/>
                      <w:u w:val="none"/>
                      <w:lang w:val="en-US" w:eastAsia="zh-CN"/>
                      <w14:textFill>
                        <w14:solidFill>
                          <w14:schemeClr w14:val="tx1"/>
                        </w14:solidFill>
                      </w14:textFill>
                    </w:rPr>
                  </w:pPr>
                </w:p>
              </w:tc>
            </w:tr>
            <w:tr w14:paraId="648B3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5" w:type="dxa"/>
                  <w:vAlign w:val="center"/>
                </w:tcPr>
                <w:p w14:paraId="7C2472EA">
                  <w:pPr>
                    <w:pStyle w:val="23"/>
                    <w:widowControl w:val="0"/>
                    <w:spacing w:before="0" w:beforeAutospacing="0" w:after="0" w:afterAutospacing="0" w:line="240" w:lineRule="auto"/>
                    <w:jc w:val="center"/>
                    <w:rPr>
                      <w:rFonts w:hint="eastAsia" w:ascii="Times New Roman" w:hAnsi="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olor w:val="000000" w:themeColor="text1"/>
                      <w:sz w:val="21"/>
                      <w:szCs w:val="21"/>
                      <w:highlight w:val="none"/>
                      <w:u w:val="none"/>
                      <w:lang w:val="en-US" w:eastAsia="zh-CN"/>
                      <w14:textFill>
                        <w14:solidFill>
                          <w14:schemeClr w14:val="tx1"/>
                        </w14:solidFill>
                      </w14:textFill>
                    </w:rPr>
                    <w:t>4</w:t>
                  </w:r>
                </w:p>
              </w:tc>
              <w:tc>
                <w:tcPr>
                  <w:tcW w:w="1391" w:type="dxa"/>
                  <w:vAlign w:val="center"/>
                </w:tcPr>
                <w:p w14:paraId="001929D7">
                  <w:pPr>
                    <w:pStyle w:val="23"/>
                    <w:widowControl w:val="0"/>
                    <w:spacing w:before="0" w:beforeAutospacing="0" w:after="0" w:afterAutospacing="0" w:line="240" w:lineRule="auto"/>
                    <w:jc w:val="center"/>
                    <w:rPr>
                      <w:rFonts w:hint="eastAsia" w:ascii="Times New Roman" w:hAnsi="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olor w:val="000000" w:themeColor="text1"/>
                      <w:sz w:val="21"/>
                      <w:szCs w:val="21"/>
                      <w:highlight w:val="none"/>
                      <w:u w:val="none"/>
                      <w:lang w:val="en-US" w:eastAsia="zh-CN"/>
                      <w14:textFill>
                        <w14:solidFill>
                          <w14:schemeClr w14:val="tx1"/>
                        </w14:solidFill>
                      </w14:textFill>
                    </w:rPr>
                    <w:t>升压站区</w:t>
                  </w:r>
                </w:p>
              </w:tc>
              <w:tc>
                <w:tcPr>
                  <w:tcW w:w="869" w:type="dxa"/>
                  <w:vAlign w:val="center"/>
                </w:tcPr>
                <w:p w14:paraId="2659D436">
                  <w:pPr>
                    <w:pStyle w:val="23"/>
                    <w:widowControl w:val="0"/>
                    <w:spacing w:before="0" w:beforeAutospacing="0" w:after="0" w:afterAutospacing="0" w:line="240" w:lineRule="auto"/>
                    <w:jc w:val="center"/>
                    <w:rPr>
                      <w:rFonts w:hint="eastAsia" w:ascii="Times New Roman" w:hAnsi="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olor w:val="000000" w:themeColor="text1"/>
                      <w:sz w:val="21"/>
                      <w:szCs w:val="21"/>
                      <w:highlight w:val="none"/>
                      <w:u w:val="none"/>
                      <w:lang w:val="en-US" w:eastAsia="zh-CN"/>
                      <w14:textFill>
                        <w14:solidFill>
                          <w14:schemeClr w14:val="tx1"/>
                        </w14:solidFill>
                      </w14:textFill>
                    </w:rPr>
                    <w:t>0.11</w:t>
                  </w:r>
                </w:p>
              </w:tc>
              <w:tc>
                <w:tcPr>
                  <w:tcW w:w="793" w:type="dxa"/>
                  <w:vAlign w:val="center"/>
                </w:tcPr>
                <w:p w14:paraId="582FD751">
                  <w:pPr>
                    <w:pStyle w:val="23"/>
                    <w:widowControl w:val="0"/>
                    <w:spacing w:before="0" w:beforeAutospacing="0" w:after="0" w:afterAutospacing="0" w:line="240" w:lineRule="auto"/>
                    <w:jc w:val="center"/>
                    <w:rPr>
                      <w:rFonts w:hint="eastAsia" w:ascii="Times New Roman" w:hAnsi="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olor w:val="000000" w:themeColor="text1"/>
                      <w:sz w:val="21"/>
                      <w:szCs w:val="21"/>
                      <w:highlight w:val="none"/>
                      <w:u w:val="none"/>
                      <w:lang w:val="en-US" w:eastAsia="zh-CN"/>
                      <w14:textFill>
                        <w14:solidFill>
                          <w14:schemeClr w14:val="tx1"/>
                        </w14:solidFill>
                      </w14:textFill>
                    </w:rPr>
                    <w:t>0.11</w:t>
                  </w:r>
                </w:p>
              </w:tc>
              <w:tc>
                <w:tcPr>
                  <w:tcW w:w="747" w:type="dxa"/>
                  <w:vAlign w:val="center"/>
                </w:tcPr>
                <w:p w14:paraId="73EC087A">
                  <w:pPr>
                    <w:pStyle w:val="23"/>
                    <w:widowControl w:val="0"/>
                    <w:spacing w:before="0" w:beforeAutospacing="0" w:after="0" w:afterAutospacing="0" w:line="240" w:lineRule="auto"/>
                    <w:jc w:val="center"/>
                    <w:rPr>
                      <w:rFonts w:hint="eastAsia" w:ascii="Times New Roman" w:hAnsi="Times New Roman"/>
                      <w:color w:val="000000" w:themeColor="text1"/>
                      <w:sz w:val="21"/>
                      <w:szCs w:val="21"/>
                      <w:highlight w:val="none"/>
                      <w:u w:val="none"/>
                      <w:lang w:val="en-US" w:eastAsia="zh-CN"/>
                      <w14:textFill>
                        <w14:solidFill>
                          <w14:schemeClr w14:val="tx1"/>
                        </w14:solidFill>
                      </w14:textFill>
                    </w:rPr>
                  </w:pPr>
                </w:p>
              </w:tc>
              <w:tc>
                <w:tcPr>
                  <w:tcW w:w="725" w:type="dxa"/>
                  <w:vAlign w:val="center"/>
                </w:tcPr>
                <w:p w14:paraId="0A54C39A">
                  <w:pPr>
                    <w:pStyle w:val="23"/>
                    <w:widowControl w:val="0"/>
                    <w:spacing w:before="0" w:beforeAutospacing="0" w:after="0" w:afterAutospacing="0" w:line="240" w:lineRule="auto"/>
                    <w:jc w:val="center"/>
                    <w:rPr>
                      <w:rFonts w:hint="eastAsia" w:ascii="Times New Roman" w:hAnsi="Times New Roman"/>
                      <w:color w:val="000000" w:themeColor="text1"/>
                      <w:sz w:val="21"/>
                      <w:szCs w:val="21"/>
                      <w:highlight w:val="none"/>
                      <w:u w:val="none"/>
                      <w:lang w:val="en-US" w:eastAsia="zh-CN"/>
                      <w14:textFill>
                        <w14:solidFill>
                          <w14:schemeClr w14:val="tx1"/>
                        </w14:solidFill>
                      </w14:textFill>
                    </w:rPr>
                  </w:pPr>
                </w:p>
              </w:tc>
              <w:tc>
                <w:tcPr>
                  <w:tcW w:w="1966" w:type="dxa"/>
                  <w:vAlign w:val="center"/>
                </w:tcPr>
                <w:p w14:paraId="57FD1398">
                  <w:pPr>
                    <w:pStyle w:val="23"/>
                    <w:widowControl w:val="0"/>
                    <w:spacing w:before="0" w:beforeAutospacing="0" w:after="0" w:afterAutospacing="0" w:line="240" w:lineRule="auto"/>
                    <w:jc w:val="center"/>
                    <w:rPr>
                      <w:rFonts w:hint="eastAsia" w:ascii="Times New Roman" w:hAnsi="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olor w:val="000000" w:themeColor="text1"/>
                      <w:sz w:val="21"/>
                      <w:szCs w:val="21"/>
                      <w:highlight w:val="none"/>
                      <w:u w:val="none"/>
                      <w:lang w:val="en-US" w:eastAsia="zh-CN"/>
                      <w14:textFill>
                        <w14:solidFill>
                          <w14:schemeClr w14:val="tx1"/>
                        </w14:solidFill>
                      </w14:textFill>
                    </w:rPr>
                    <w:t>区内绿化用地范围内</w:t>
                  </w:r>
                </w:p>
              </w:tc>
              <w:tc>
                <w:tcPr>
                  <w:tcW w:w="871" w:type="dxa"/>
                  <w:vMerge w:val="continue"/>
                  <w:vAlign w:val="center"/>
                </w:tcPr>
                <w:p w14:paraId="520C92B1">
                  <w:pPr>
                    <w:pStyle w:val="23"/>
                    <w:widowControl w:val="0"/>
                    <w:spacing w:before="0" w:beforeAutospacing="0" w:after="0" w:afterAutospacing="0" w:line="240" w:lineRule="auto"/>
                    <w:jc w:val="center"/>
                    <w:rPr>
                      <w:rFonts w:hint="default" w:ascii="Times New Roman" w:hAnsi="Times New Roman"/>
                      <w:color w:val="000000" w:themeColor="text1"/>
                      <w:sz w:val="21"/>
                      <w:szCs w:val="21"/>
                      <w:u w:val="none"/>
                      <w:lang w:val="en-US" w:eastAsia="zh-CN"/>
                      <w14:textFill>
                        <w14:solidFill>
                          <w14:schemeClr w14:val="tx1"/>
                        </w14:solidFill>
                      </w14:textFill>
                    </w:rPr>
                  </w:pPr>
                </w:p>
              </w:tc>
            </w:tr>
            <w:tr w14:paraId="37325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5" w:type="dxa"/>
                  <w:vAlign w:val="center"/>
                </w:tcPr>
                <w:p w14:paraId="42ED7CE5">
                  <w:pPr>
                    <w:pStyle w:val="23"/>
                    <w:widowControl w:val="0"/>
                    <w:spacing w:before="0" w:beforeAutospacing="0" w:after="0" w:afterAutospacing="0" w:line="240" w:lineRule="auto"/>
                    <w:jc w:val="center"/>
                    <w:rPr>
                      <w:rFonts w:hint="eastAsia" w:ascii="Times New Roman" w:hAnsi="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olor w:val="000000" w:themeColor="text1"/>
                      <w:sz w:val="21"/>
                      <w:szCs w:val="21"/>
                      <w:highlight w:val="none"/>
                      <w:u w:val="none"/>
                      <w:lang w:val="en-US" w:eastAsia="zh-CN"/>
                      <w14:textFill>
                        <w14:solidFill>
                          <w14:schemeClr w14:val="tx1"/>
                        </w14:solidFill>
                      </w14:textFill>
                    </w:rPr>
                    <w:t>5</w:t>
                  </w:r>
                </w:p>
              </w:tc>
              <w:tc>
                <w:tcPr>
                  <w:tcW w:w="1391" w:type="dxa"/>
                  <w:vAlign w:val="center"/>
                </w:tcPr>
                <w:p w14:paraId="1958EB3B">
                  <w:pPr>
                    <w:pStyle w:val="23"/>
                    <w:widowControl w:val="0"/>
                    <w:spacing w:before="0" w:beforeAutospacing="0" w:after="0" w:afterAutospacing="0" w:line="240" w:lineRule="auto"/>
                    <w:jc w:val="center"/>
                    <w:rPr>
                      <w:rFonts w:hint="eastAsia" w:ascii="Times New Roman" w:hAnsi="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olor w:val="000000" w:themeColor="text1"/>
                      <w:sz w:val="21"/>
                      <w:szCs w:val="21"/>
                      <w:highlight w:val="none"/>
                      <w:u w:val="none"/>
                      <w:lang w:val="en-US" w:eastAsia="zh-CN"/>
                      <w14:textFill>
                        <w14:solidFill>
                          <w14:schemeClr w14:val="tx1"/>
                        </w14:solidFill>
                      </w14:textFill>
                    </w:rPr>
                    <w:t>集电线路区</w:t>
                  </w:r>
                </w:p>
              </w:tc>
              <w:tc>
                <w:tcPr>
                  <w:tcW w:w="869" w:type="dxa"/>
                  <w:vAlign w:val="center"/>
                </w:tcPr>
                <w:p w14:paraId="22E9AC64">
                  <w:pPr>
                    <w:pStyle w:val="23"/>
                    <w:widowControl w:val="0"/>
                    <w:spacing w:before="0" w:beforeAutospacing="0" w:after="0" w:afterAutospacing="0" w:line="240" w:lineRule="auto"/>
                    <w:jc w:val="center"/>
                    <w:rPr>
                      <w:rFonts w:hint="eastAsia" w:ascii="Times New Roman" w:hAnsi="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olor w:val="000000" w:themeColor="text1"/>
                      <w:sz w:val="21"/>
                      <w:szCs w:val="21"/>
                      <w:highlight w:val="none"/>
                      <w:u w:val="none"/>
                      <w:lang w:val="en-US" w:eastAsia="zh-CN"/>
                      <w14:textFill>
                        <w14:solidFill>
                          <w14:schemeClr w14:val="tx1"/>
                        </w14:solidFill>
                      </w14:textFill>
                    </w:rPr>
                    <w:t>0.34</w:t>
                  </w:r>
                </w:p>
              </w:tc>
              <w:tc>
                <w:tcPr>
                  <w:tcW w:w="793" w:type="dxa"/>
                  <w:vAlign w:val="center"/>
                </w:tcPr>
                <w:p w14:paraId="2745584A">
                  <w:pPr>
                    <w:pStyle w:val="23"/>
                    <w:widowControl w:val="0"/>
                    <w:spacing w:before="0" w:beforeAutospacing="0" w:after="0" w:afterAutospacing="0" w:line="240" w:lineRule="auto"/>
                    <w:jc w:val="center"/>
                    <w:rPr>
                      <w:rFonts w:hint="eastAsia" w:ascii="Times New Roman" w:hAnsi="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olor w:val="000000" w:themeColor="text1"/>
                      <w:sz w:val="21"/>
                      <w:szCs w:val="21"/>
                      <w:highlight w:val="none"/>
                      <w:u w:val="none"/>
                      <w:lang w:val="en-US" w:eastAsia="zh-CN"/>
                      <w14:textFill>
                        <w14:solidFill>
                          <w14:schemeClr w14:val="tx1"/>
                        </w14:solidFill>
                      </w14:textFill>
                    </w:rPr>
                    <w:t>0.34</w:t>
                  </w:r>
                </w:p>
              </w:tc>
              <w:tc>
                <w:tcPr>
                  <w:tcW w:w="747" w:type="dxa"/>
                  <w:vAlign w:val="center"/>
                </w:tcPr>
                <w:p w14:paraId="5A03E064">
                  <w:pPr>
                    <w:pStyle w:val="23"/>
                    <w:widowControl w:val="0"/>
                    <w:spacing w:before="0" w:beforeAutospacing="0" w:after="0" w:afterAutospacing="0" w:line="240" w:lineRule="auto"/>
                    <w:jc w:val="center"/>
                    <w:rPr>
                      <w:rFonts w:hint="eastAsia" w:ascii="Times New Roman" w:hAnsi="Times New Roman"/>
                      <w:color w:val="000000" w:themeColor="text1"/>
                      <w:sz w:val="21"/>
                      <w:szCs w:val="21"/>
                      <w:highlight w:val="none"/>
                      <w:u w:val="none"/>
                      <w:lang w:val="en-US" w:eastAsia="zh-CN"/>
                      <w14:textFill>
                        <w14:solidFill>
                          <w14:schemeClr w14:val="tx1"/>
                        </w14:solidFill>
                      </w14:textFill>
                    </w:rPr>
                  </w:pPr>
                </w:p>
              </w:tc>
              <w:tc>
                <w:tcPr>
                  <w:tcW w:w="725" w:type="dxa"/>
                  <w:vAlign w:val="center"/>
                </w:tcPr>
                <w:p w14:paraId="5B5E6127">
                  <w:pPr>
                    <w:pStyle w:val="23"/>
                    <w:widowControl w:val="0"/>
                    <w:spacing w:before="0" w:beforeAutospacing="0" w:after="0" w:afterAutospacing="0" w:line="240" w:lineRule="auto"/>
                    <w:jc w:val="center"/>
                    <w:rPr>
                      <w:rFonts w:hint="eastAsia" w:ascii="Times New Roman" w:hAnsi="Times New Roman"/>
                      <w:color w:val="000000" w:themeColor="text1"/>
                      <w:sz w:val="21"/>
                      <w:szCs w:val="21"/>
                      <w:highlight w:val="none"/>
                      <w:u w:val="none"/>
                      <w:lang w:val="en-US" w:eastAsia="zh-CN"/>
                      <w14:textFill>
                        <w14:solidFill>
                          <w14:schemeClr w14:val="tx1"/>
                        </w14:solidFill>
                      </w14:textFill>
                    </w:rPr>
                  </w:pPr>
                </w:p>
              </w:tc>
              <w:tc>
                <w:tcPr>
                  <w:tcW w:w="1966" w:type="dxa"/>
                  <w:vAlign w:val="center"/>
                </w:tcPr>
                <w:p w14:paraId="27C7426F">
                  <w:pPr>
                    <w:pStyle w:val="23"/>
                    <w:widowControl w:val="0"/>
                    <w:spacing w:before="0" w:beforeAutospacing="0" w:after="0" w:afterAutospacing="0" w:line="240" w:lineRule="auto"/>
                    <w:jc w:val="center"/>
                    <w:rPr>
                      <w:rFonts w:hint="eastAsia" w:ascii="Times New Roman" w:hAnsi="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olor w:val="000000" w:themeColor="text1"/>
                      <w:sz w:val="21"/>
                      <w:szCs w:val="21"/>
                      <w:highlight w:val="none"/>
                      <w:u w:val="none"/>
                      <w:lang w:val="en-US" w:eastAsia="zh-CN"/>
                      <w14:textFill>
                        <w14:solidFill>
                          <w14:schemeClr w14:val="tx1"/>
                        </w14:solidFill>
                      </w14:textFill>
                    </w:rPr>
                    <w:t>堆放于电缆沟一侧</w:t>
                  </w:r>
                </w:p>
              </w:tc>
              <w:tc>
                <w:tcPr>
                  <w:tcW w:w="871" w:type="dxa"/>
                  <w:vMerge w:val="continue"/>
                  <w:vAlign w:val="center"/>
                </w:tcPr>
                <w:p w14:paraId="2CC487AA">
                  <w:pPr>
                    <w:pStyle w:val="23"/>
                    <w:widowControl w:val="0"/>
                    <w:spacing w:before="0" w:beforeAutospacing="0" w:after="0" w:afterAutospacing="0" w:line="240" w:lineRule="auto"/>
                    <w:jc w:val="center"/>
                    <w:rPr>
                      <w:rFonts w:hint="default" w:ascii="Times New Roman" w:hAnsi="Times New Roman"/>
                      <w:color w:val="000000" w:themeColor="text1"/>
                      <w:sz w:val="21"/>
                      <w:szCs w:val="21"/>
                      <w:u w:val="none"/>
                      <w:lang w:val="en-US" w:eastAsia="zh-CN"/>
                      <w14:textFill>
                        <w14:solidFill>
                          <w14:schemeClr w14:val="tx1"/>
                        </w14:solidFill>
                      </w14:textFill>
                    </w:rPr>
                  </w:pPr>
                </w:p>
              </w:tc>
            </w:tr>
            <w:tr w14:paraId="45BD9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5" w:type="dxa"/>
                  <w:vAlign w:val="center"/>
                </w:tcPr>
                <w:p w14:paraId="70A78E3B">
                  <w:pPr>
                    <w:pStyle w:val="23"/>
                    <w:widowControl w:val="0"/>
                    <w:spacing w:before="0" w:beforeAutospacing="0" w:after="0" w:afterAutospacing="0" w:line="240" w:lineRule="auto"/>
                    <w:jc w:val="center"/>
                    <w:rPr>
                      <w:rFonts w:hint="eastAsia" w:ascii="Times New Roman" w:hAnsi="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olor w:val="000000" w:themeColor="text1"/>
                      <w:sz w:val="21"/>
                      <w:szCs w:val="21"/>
                      <w:highlight w:val="none"/>
                      <w:u w:val="none"/>
                      <w:lang w:val="en-US" w:eastAsia="zh-CN"/>
                      <w14:textFill>
                        <w14:solidFill>
                          <w14:schemeClr w14:val="tx1"/>
                        </w14:solidFill>
                      </w14:textFill>
                    </w:rPr>
                    <w:t>6</w:t>
                  </w:r>
                </w:p>
              </w:tc>
              <w:tc>
                <w:tcPr>
                  <w:tcW w:w="1391" w:type="dxa"/>
                  <w:vAlign w:val="center"/>
                </w:tcPr>
                <w:p w14:paraId="293D8F14">
                  <w:pPr>
                    <w:pStyle w:val="23"/>
                    <w:widowControl w:val="0"/>
                    <w:spacing w:before="0" w:beforeAutospacing="0" w:after="0" w:afterAutospacing="0" w:line="240" w:lineRule="auto"/>
                    <w:jc w:val="center"/>
                    <w:rPr>
                      <w:rFonts w:hint="eastAsia" w:ascii="Times New Roman" w:hAnsi="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olor w:val="000000" w:themeColor="text1"/>
                      <w:sz w:val="21"/>
                      <w:szCs w:val="21"/>
                      <w:highlight w:val="none"/>
                      <w:u w:val="none"/>
                      <w:lang w:val="en-US" w:eastAsia="zh-CN"/>
                      <w14:textFill>
                        <w14:solidFill>
                          <w14:schemeClr w14:val="tx1"/>
                        </w14:solidFill>
                      </w14:textFill>
                    </w:rPr>
                    <w:t>施工生产区</w:t>
                  </w:r>
                </w:p>
              </w:tc>
              <w:tc>
                <w:tcPr>
                  <w:tcW w:w="869" w:type="dxa"/>
                  <w:vAlign w:val="center"/>
                </w:tcPr>
                <w:p w14:paraId="3A7858B6">
                  <w:pPr>
                    <w:pStyle w:val="23"/>
                    <w:widowControl w:val="0"/>
                    <w:spacing w:before="0" w:beforeAutospacing="0" w:after="0" w:afterAutospacing="0" w:line="240" w:lineRule="auto"/>
                    <w:jc w:val="center"/>
                    <w:rPr>
                      <w:rFonts w:hint="eastAsia" w:ascii="Times New Roman" w:hAnsi="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olor w:val="000000" w:themeColor="text1"/>
                      <w:sz w:val="21"/>
                      <w:szCs w:val="21"/>
                      <w:highlight w:val="none"/>
                      <w:u w:val="none"/>
                      <w:lang w:val="en-US" w:eastAsia="zh-CN"/>
                      <w14:textFill>
                        <w14:solidFill>
                          <w14:schemeClr w14:val="tx1"/>
                        </w14:solidFill>
                      </w14:textFill>
                    </w:rPr>
                    <w:t>0.06</w:t>
                  </w:r>
                </w:p>
              </w:tc>
              <w:tc>
                <w:tcPr>
                  <w:tcW w:w="793" w:type="dxa"/>
                  <w:vAlign w:val="center"/>
                </w:tcPr>
                <w:p w14:paraId="2573C7E8">
                  <w:pPr>
                    <w:pStyle w:val="23"/>
                    <w:widowControl w:val="0"/>
                    <w:spacing w:before="0" w:beforeAutospacing="0" w:after="0" w:afterAutospacing="0" w:line="240" w:lineRule="auto"/>
                    <w:jc w:val="center"/>
                    <w:rPr>
                      <w:rFonts w:hint="eastAsia" w:ascii="Times New Roman" w:hAnsi="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olor w:val="000000" w:themeColor="text1"/>
                      <w:sz w:val="21"/>
                      <w:szCs w:val="21"/>
                      <w:highlight w:val="none"/>
                      <w:u w:val="none"/>
                      <w:lang w:val="en-US" w:eastAsia="zh-CN"/>
                      <w14:textFill>
                        <w14:solidFill>
                          <w14:schemeClr w14:val="tx1"/>
                        </w14:solidFill>
                      </w14:textFill>
                    </w:rPr>
                    <w:t>0.06</w:t>
                  </w:r>
                </w:p>
              </w:tc>
              <w:tc>
                <w:tcPr>
                  <w:tcW w:w="747" w:type="dxa"/>
                  <w:vAlign w:val="center"/>
                </w:tcPr>
                <w:p w14:paraId="7E501A15">
                  <w:pPr>
                    <w:pStyle w:val="23"/>
                    <w:widowControl w:val="0"/>
                    <w:spacing w:before="0" w:beforeAutospacing="0" w:after="0" w:afterAutospacing="0" w:line="240" w:lineRule="auto"/>
                    <w:jc w:val="center"/>
                    <w:rPr>
                      <w:rFonts w:hint="eastAsia" w:ascii="Times New Roman" w:hAnsi="Times New Roman"/>
                      <w:color w:val="000000" w:themeColor="text1"/>
                      <w:sz w:val="21"/>
                      <w:szCs w:val="21"/>
                      <w:highlight w:val="none"/>
                      <w:u w:val="none"/>
                      <w:lang w:val="en-US" w:eastAsia="zh-CN"/>
                      <w14:textFill>
                        <w14:solidFill>
                          <w14:schemeClr w14:val="tx1"/>
                        </w14:solidFill>
                      </w14:textFill>
                    </w:rPr>
                  </w:pPr>
                </w:p>
              </w:tc>
              <w:tc>
                <w:tcPr>
                  <w:tcW w:w="725" w:type="dxa"/>
                  <w:vAlign w:val="center"/>
                </w:tcPr>
                <w:p w14:paraId="68425937">
                  <w:pPr>
                    <w:pStyle w:val="23"/>
                    <w:widowControl w:val="0"/>
                    <w:spacing w:before="0" w:beforeAutospacing="0" w:after="0" w:afterAutospacing="0" w:line="240" w:lineRule="auto"/>
                    <w:jc w:val="center"/>
                    <w:rPr>
                      <w:rFonts w:hint="eastAsia" w:ascii="Times New Roman" w:hAnsi="Times New Roman"/>
                      <w:color w:val="000000" w:themeColor="text1"/>
                      <w:sz w:val="21"/>
                      <w:szCs w:val="21"/>
                      <w:highlight w:val="none"/>
                      <w:u w:val="none"/>
                      <w:lang w:val="en-US" w:eastAsia="zh-CN"/>
                      <w14:textFill>
                        <w14:solidFill>
                          <w14:schemeClr w14:val="tx1"/>
                        </w14:solidFill>
                      </w14:textFill>
                    </w:rPr>
                  </w:pPr>
                </w:p>
              </w:tc>
              <w:tc>
                <w:tcPr>
                  <w:tcW w:w="1966" w:type="dxa"/>
                  <w:vAlign w:val="center"/>
                </w:tcPr>
                <w:p w14:paraId="4F0E5B82">
                  <w:pPr>
                    <w:pStyle w:val="23"/>
                    <w:widowControl w:val="0"/>
                    <w:spacing w:before="0" w:beforeAutospacing="0" w:after="0" w:afterAutospacing="0" w:line="240" w:lineRule="auto"/>
                    <w:jc w:val="center"/>
                    <w:rPr>
                      <w:rFonts w:hint="eastAsia" w:ascii="Times New Roman" w:hAnsi="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olor w:val="000000" w:themeColor="text1"/>
                      <w:sz w:val="21"/>
                      <w:szCs w:val="21"/>
                      <w:highlight w:val="none"/>
                      <w:u w:val="none"/>
                      <w:lang w:val="en-US" w:eastAsia="zh-CN"/>
                      <w14:textFill>
                        <w14:solidFill>
                          <w14:schemeClr w14:val="tx1"/>
                        </w14:solidFill>
                      </w14:textFill>
                    </w:rPr>
                    <w:t>厂区内一角</w:t>
                  </w:r>
                </w:p>
              </w:tc>
              <w:tc>
                <w:tcPr>
                  <w:tcW w:w="871" w:type="dxa"/>
                  <w:vMerge w:val="continue"/>
                  <w:vAlign w:val="center"/>
                </w:tcPr>
                <w:p w14:paraId="65C1C2F2">
                  <w:pPr>
                    <w:pStyle w:val="23"/>
                    <w:widowControl w:val="0"/>
                    <w:spacing w:before="0" w:beforeAutospacing="0" w:after="0" w:afterAutospacing="0" w:line="240" w:lineRule="auto"/>
                    <w:jc w:val="center"/>
                    <w:rPr>
                      <w:rFonts w:hint="default" w:ascii="Times New Roman" w:hAnsi="Times New Roman"/>
                      <w:color w:val="000000" w:themeColor="text1"/>
                      <w:sz w:val="21"/>
                      <w:szCs w:val="21"/>
                      <w:u w:val="none"/>
                      <w:lang w:val="en-US" w:eastAsia="zh-CN"/>
                      <w14:textFill>
                        <w14:solidFill>
                          <w14:schemeClr w14:val="tx1"/>
                        </w14:solidFill>
                      </w14:textFill>
                    </w:rPr>
                  </w:pPr>
                </w:p>
              </w:tc>
            </w:tr>
            <w:tr w14:paraId="5BD8E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5" w:type="dxa"/>
                  <w:vAlign w:val="center"/>
                </w:tcPr>
                <w:p w14:paraId="360DFD38">
                  <w:pPr>
                    <w:pStyle w:val="23"/>
                    <w:widowControl w:val="0"/>
                    <w:spacing w:before="0" w:beforeAutospacing="0" w:after="0" w:afterAutospacing="0" w:line="240" w:lineRule="auto"/>
                    <w:jc w:val="center"/>
                    <w:rPr>
                      <w:rFonts w:hint="eastAsia" w:ascii="Times New Roman" w:hAnsi="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olor w:val="000000" w:themeColor="text1"/>
                      <w:sz w:val="21"/>
                      <w:szCs w:val="21"/>
                      <w:highlight w:val="none"/>
                      <w:u w:val="none"/>
                      <w:lang w:val="en-US" w:eastAsia="zh-CN"/>
                      <w14:textFill>
                        <w14:solidFill>
                          <w14:schemeClr w14:val="tx1"/>
                        </w14:solidFill>
                      </w14:textFill>
                    </w:rPr>
                    <w:t>7</w:t>
                  </w:r>
                </w:p>
              </w:tc>
              <w:tc>
                <w:tcPr>
                  <w:tcW w:w="1391" w:type="dxa"/>
                  <w:vAlign w:val="center"/>
                </w:tcPr>
                <w:p w14:paraId="13FE3842">
                  <w:pPr>
                    <w:pStyle w:val="23"/>
                    <w:widowControl w:val="0"/>
                    <w:spacing w:before="0" w:beforeAutospacing="0" w:after="0" w:afterAutospacing="0" w:line="240" w:lineRule="auto"/>
                    <w:jc w:val="center"/>
                    <w:rPr>
                      <w:rFonts w:hint="eastAsia" w:ascii="Times New Roman" w:hAnsi="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olor w:val="000000" w:themeColor="text1"/>
                      <w:sz w:val="21"/>
                      <w:szCs w:val="21"/>
                      <w:highlight w:val="none"/>
                      <w:u w:val="none"/>
                      <w:lang w:val="en-US" w:eastAsia="zh-CN"/>
                      <w14:textFill>
                        <w14:solidFill>
                          <w14:schemeClr w14:val="tx1"/>
                        </w14:solidFill>
                      </w14:textFill>
                    </w:rPr>
                    <w:t>弃渣场区</w:t>
                  </w:r>
                </w:p>
              </w:tc>
              <w:tc>
                <w:tcPr>
                  <w:tcW w:w="869" w:type="dxa"/>
                  <w:vAlign w:val="center"/>
                </w:tcPr>
                <w:p w14:paraId="724452C1">
                  <w:pPr>
                    <w:pStyle w:val="23"/>
                    <w:widowControl w:val="0"/>
                    <w:spacing w:before="0" w:beforeAutospacing="0" w:after="0" w:afterAutospacing="0" w:line="240" w:lineRule="auto"/>
                    <w:jc w:val="center"/>
                    <w:rPr>
                      <w:rFonts w:hint="eastAsia" w:ascii="Times New Roman" w:hAnsi="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olor w:val="000000" w:themeColor="text1"/>
                      <w:sz w:val="21"/>
                      <w:szCs w:val="21"/>
                      <w:highlight w:val="none"/>
                      <w:u w:val="none"/>
                      <w:lang w:val="en-US" w:eastAsia="zh-CN"/>
                      <w14:textFill>
                        <w14:solidFill>
                          <w14:schemeClr w14:val="tx1"/>
                        </w14:solidFill>
                      </w14:textFill>
                    </w:rPr>
                    <w:t>0.84</w:t>
                  </w:r>
                </w:p>
              </w:tc>
              <w:tc>
                <w:tcPr>
                  <w:tcW w:w="793" w:type="dxa"/>
                  <w:vAlign w:val="center"/>
                </w:tcPr>
                <w:p w14:paraId="49208ED9">
                  <w:pPr>
                    <w:pStyle w:val="23"/>
                    <w:widowControl w:val="0"/>
                    <w:spacing w:before="0" w:beforeAutospacing="0" w:after="0" w:afterAutospacing="0" w:line="240" w:lineRule="auto"/>
                    <w:jc w:val="center"/>
                    <w:rPr>
                      <w:rFonts w:hint="eastAsia" w:ascii="Times New Roman" w:hAnsi="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olor w:val="000000" w:themeColor="text1"/>
                      <w:sz w:val="21"/>
                      <w:szCs w:val="21"/>
                      <w:highlight w:val="none"/>
                      <w:u w:val="none"/>
                      <w:lang w:val="en-US" w:eastAsia="zh-CN"/>
                      <w14:textFill>
                        <w14:solidFill>
                          <w14:schemeClr w14:val="tx1"/>
                        </w14:solidFill>
                      </w14:textFill>
                    </w:rPr>
                    <w:t>0.84</w:t>
                  </w:r>
                </w:p>
              </w:tc>
              <w:tc>
                <w:tcPr>
                  <w:tcW w:w="747" w:type="dxa"/>
                  <w:vAlign w:val="center"/>
                </w:tcPr>
                <w:p w14:paraId="3A15689B">
                  <w:pPr>
                    <w:pStyle w:val="23"/>
                    <w:widowControl w:val="0"/>
                    <w:spacing w:before="0" w:beforeAutospacing="0" w:after="0" w:afterAutospacing="0" w:line="240" w:lineRule="auto"/>
                    <w:jc w:val="center"/>
                    <w:rPr>
                      <w:rFonts w:hint="eastAsia" w:ascii="Times New Roman" w:hAnsi="Times New Roman"/>
                      <w:color w:val="000000" w:themeColor="text1"/>
                      <w:sz w:val="21"/>
                      <w:szCs w:val="21"/>
                      <w:highlight w:val="none"/>
                      <w:u w:val="none"/>
                      <w:lang w:val="en-US" w:eastAsia="zh-CN"/>
                      <w14:textFill>
                        <w14:solidFill>
                          <w14:schemeClr w14:val="tx1"/>
                        </w14:solidFill>
                      </w14:textFill>
                    </w:rPr>
                  </w:pPr>
                </w:p>
              </w:tc>
              <w:tc>
                <w:tcPr>
                  <w:tcW w:w="725" w:type="dxa"/>
                  <w:vAlign w:val="center"/>
                </w:tcPr>
                <w:p w14:paraId="455E19D9">
                  <w:pPr>
                    <w:pStyle w:val="23"/>
                    <w:widowControl w:val="0"/>
                    <w:spacing w:before="0" w:beforeAutospacing="0" w:after="0" w:afterAutospacing="0" w:line="240" w:lineRule="auto"/>
                    <w:jc w:val="center"/>
                    <w:rPr>
                      <w:rFonts w:hint="eastAsia" w:ascii="Times New Roman" w:hAnsi="Times New Roman"/>
                      <w:color w:val="000000" w:themeColor="text1"/>
                      <w:sz w:val="21"/>
                      <w:szCs w:val="21"/>
                      <w:highlight w:val="none"/>
                      <w:u w:val="none"/>
                      <w:lang w:val="en-US" w:eastAsia="zh-CN"/>
                      <w14:textFill>
                        <w14:solidFill>
                          <w14:schemeClr w14:val="tx1"/>
                        </w14:solidFill>
                      </w14:textFill>
                    </w:rPr>
                  </w:pPr>
                </w:p>
              </w:tc>
              <w:tc>
                <w:tcPr>
                  <w:tcW w:w="1966" w:type="dxa"/>
                  <w:vAlign w:val="center"/>
                </w:tcPr>
                <w:p w14:paraId="718DC8CF">
                  <w:pPr>
                    <w:pStyle w:val="23"/>
                    <w:widowControl w:val="0"/>
                    <w:spacing w:before="0" w:beforeAutospacing="0" w:after="0" w:afterAutospacing="0" w:line="240" w:lineRule="auto"/>
                    <w:jc w:val="center"/>
                    <w:rPr>
                      <w:rFonts w:hint="eastAsia" w:ascii="Times New Roman" w:hAnsi="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olor w:val="000000" w:themeColor="text1"/>
                      <w:sz w:val="21"/>
                      <w:szCs w:val="21"/>
                      <w:highlight w:val="none"/>
                      <w:u w:val="none"/>
                      <w:lang w:val="en-US" w:eastAsia="zh-CN"/>
                      <w14:textFill>
                        <w14:solidFill>
                          <w14:schemeClr w14:val="tx1"/>
                        </w14:solidFill>
                      </w14:textFill>
                    </w:rPr>
                    <w:t>堆置于渣场一角</w:t>
                  </w:r>
                </w:p>
              </w:tc>
              <w:tc>
                <w:tcPr>
                  <w:tcW w:w="871" w:type="dxa"/>
                  <w:vMerge w:val="continue"/>
                  <w:vAlign w:val="center"/>
                </w:tcPr>
                <w:p w14:paraId="6F3CB970">
                  <w:pPr>
                    <w:pStyle w:val="23"/>
                    <w:widowControl w:val="0"/>
                    <w:spacing w:before="0" w:beforeAutospacing="0" w:after="0" w:afterAutospacing="0" w:line="240" w:lineRule="auto"/>
                    <w:jc w:val="center"/>
                    <w:rPr>
                      <w:rFonts w:hint="default" w:ascii="Times New Roman" w:hAnsi="Times New Roman"/>
                      <w:color w:val="000000" w:themeColor="text1"/>
                      <w:sz w:val="21"/>
                      <w:szCs w:val="21"/>
                      <w:u w:val="none"/>
                      <w:lang w:val="en-US" w:eastAsia="zh-CN"/>
                      <w14:textFill>
                        <w14:solidFill>
                          <w14:schemeClr w14:val="tx1"/>
                        </w14:solidFill>
                      </w14:textFill>
                    </w:rPr>
                  </w:pPr>
                </w:p>
              </w:tc>
            </w:tr>
            <w:tr w14:paraId="7D92D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5" w:type="dxa"/>
                  <w:vAlign w:val="center"/>
                </w:tcPr>
                <w:p w14:paraId="0C150035">
                  <w:pPr>
                    <w:pStyle w:val="23"/>
                    <w:widowControl w:val="0"/>
                    <w:spacing w:before="0" w:beforeAutospacing="0" w:after="0" w:afterAutospacing="0" w:line="240" w:lineRule="auto"/>
                    <w:jc w:val="center"/>
                    <w:rPr>
                      <w:rFonts w:hint="eastAsia" w:ascii="Times New Roman" w:hAnsi="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olor w:val="000000" w:themeColor="text1"/>
                      <w:sz w:val="21"/>
                      <w:szCs w:val="21"/>
                      <w:highlight w:val="none"/>
                      <w:u w:val="none"/>
                      <w:lang w:val="en-US" w:eastAsia="zh-CN"/>
                      <w14:textFill>
                        <w14:solidFill>
                          <w14:schemeClr w14:val="tx1"/>
                        </w14:solidFill>
                      </w14:textFill>
                    </w:rPr>
                    <w:t>8</w:t>
                  </w:r>
                </w:p>
              </w:tc>
              <w:tc>
                <w:tcPr>
                  <w:tcW w:w="1391" w:type="dxa"/>
                  <w:vAlign w:val="center"/>
                </w:tcPr>
                <w:p w14:paraId="0504B22A">
                  <w:pPr>
                    <w:pStyle w:val="23"/>
                    <w:widowControl w:val="0"/>
                    <w:spacing w:before="0" w:beforeAutospacing="0" w:after="0" w:afterAutospacing="0" w:line="240" w:lineRule="auto"/>
                    <w:jc w:val="center"/>
                    <w:rPr>
                      <w:rFonts w:hint="eastAsia" w:ascii="Times New Roman" w:hAnsi="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olor w:val="000000" w:themeColor="text1"/>
                      <w:sz w:val="21"/>
                      <w:szCs w:val="21"/>
                      <w:highlight w:val="none"/>
                      <w:u w:val="none"/>
                      <w:lang w:val="en-US" w:eastAsia="zh-CN"/>
                      <w14:textFill>
                        <w14:solidFill>
                          <w14:schemeClr w14:val="tx1"/>
                        </w14:solidFill>
                      </w14:textFill>
                    </w:rPr>
                    <w:t>合计</w:t>
                  </w:r>
                </w:p>
              </w:tc>
              <w:tc>
                <w:tcPr>
                  <w:tcW w:w="869" w:type="dxa"/>
                  <w:vAlign w:val="center"/>
                </w:tcPr>
                <w:p w14:paraId="1532A277">
                  <w:pPr>
                    <w:pStyle w:val="23"/>
                    <w:widowControl w:val="0"/>
                    <w:spacing w:before="0" w:beforeAutospacing="0" w:after="0" w:afterAutospacing="0" w:line="240" w:lineRule="auto"/>
                    <w:jc w:val="center"/>
                    <w:rPr>
                      <w:rFonts w:hint="default" w:ascii="Times New Roman" w:hAnsi="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olor w:val="000000" w:themeColor="text1"/>
                      <w:sz w:val="21"/>
                      <w:szCs w:val="21"/>
                      <w:highlight w:val="none"/>
                      <w:u w:val="none"/>
                      <w:lang w:val="en-US" w:eastAsia="zh-CN"/>
                      <w14:textFill>
                        <w14:solidFill>
                          <w14:schemeClr w14:val="tx1"/>
                        </w14:solidFill>
                      </w14:textFill>
                    </w:rPr>
                    <w:t>6.03</w:t>
                  </w:r>
                </w:p>
              </w:tc>
              <w:tc>
                <w:tcPr>
                  <w:tcW w:w="793" w:type="dxa"/>
                  <w:vAlign w:val="center"/>
                </w:tcPr>
                <w:p w14:paraId="75268CAB">
                  <w:pPr>
                    <w:pStyle w:val="23"/>
                    <w:widowControl w:val="0"/>
                    <w:spacing w:before="0" w:beforeAutospacing="0" w:after="0" w:afterAutospacing="0" w:line="240" w:lineRule="auto"/>
                    <w:jc w:val="center"/>
                    <w:rPr>
                      <w:rFonts w:hint="default" w:ascii="Times New Roman" w:hAnsi="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olor w:val="000000" w:themeColor="text1"/>
                      <w:sz w:val="21"/>
                      <w:szCs w:val="21"/>
                      <w:highlight w:val="none"/>
                      <w:u w:val="none"/>
                      <w:lang w:val="en-US" w:eastAsia="zh-CN"/>
                      <w14:textFill>
                        <w14:solidFill>
                          <w14:schemeClr w14:val="tx1"/>
                        </w14:solidFill>
                      </w14:textFill>
                    </w:rPr>
                    <w:t>6.03</w:t>
                  </w:r>
                </w:p>
              </w:tc>
              <w:tc>
                <w:tcPr>
                  <w:tcW w:w="747" w:type="dxa"/>
                  <w:vAlign w:val="center"/>
                </w:tcPr>
                <w:p w14:paraId="6C291110">
                  <w:pPr>
                    <w:pStyle w:val="23"/>
                    <w:widowControl w:val="0"/>
                    <w:spacing w:before="0" w:beforeAutospacing="0" w:after="0" w:afterAutospacing="0" w:line="240" w:lineRule="auto"/>
                    <w:jc w:val="center"/>
                    <w:rPr>
                      <w:rFonts w:hint="eastAsia" w:ascii="Times New Roman" w:hAnsi="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olor w:val="000000" w:themeColor="text1"/>
                      <w:sz w:val="21"/>
                      <w:szCs w:val="21"/>
                      <w:highlight w:val="none"/>
                      <w:u w:val="none"/>
                      <w:lang w:val="en-US" w:eastAsia="zh-CN"/>
                      <w14:textFill>
                        <w14:solidFill>
                          <w14:schemeClr w14:val="tx1"/>
                        </w14:solidFill>
                      </w14:textFill>
                    </w:rPr>
                    <w:t>0.57</w:t>
                  </w:r>
                </w:p>
              </w:tc>
              <w:tc>
                <w:tcPr>
                  <w:tcW w:w="725" w:type="dxa"/>
                  <w:vAlign w:val="center"/>
                </w:tcPr>
                <w:p w14:paraId="6B0318A9">
                  <w:pPr>
                    <w:pStyle w:val="23"/>
                    <w:widowControl w:val="0"/>
                    <w:spacing w:before="0" w:beforeAutospacing="0" w:after="0" w:afterAutospacing="0" w:line="240" w:lineRule="auto"/>
                    <w:jc w:val="center"/>
                    <w:rPr>
                      <w:rFonts w:hint="eastAsia" w:ascii="Times New Roman" w:hAnsi="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olor w:val="000000" w:themeColor="text1"/>
                      <w:sz w:val="21"/>
                      <w:szCs w:val="21"/>
                      <w:highlight w:val="none"/>
                      <w:u w:val="none"/>
                      <w:lang w:val="en-US" w:eastAsia="zh-CN"/>
                      <w14:textFill>
                        <w14:solidFill>
                          <w14:schemeClr w14:val="tx1"/>
                        </w14:solidFill>
                      </w14:textFill>
                    </w:rPr>
                    <w:t>0.57</w:t>
                  </w:r>
                </w:p>
              </w:tc>
              <w:tc>
                <w:tcPr>
                  <w:tcW w:w="1966" w:type="dxa"/>
                  <w:vAlign w:val="center"/>
                </w:tcPr>
                <w:p w14:paraId="22E6F59F">
                  <w:pPr>
                    <w:pStyle w:val="23"/>
                    <w:widowControl w:val="0"/>
                    <w:spacing w:before="0" w:beforeAutospacing="0" w:after="0" w:afterAutospacing="0" w:line="240" w:lineRule="auto"/>
                    <w:jc w:val="center"/>
                    <w:rPr>
                      <w:rFonts w:hint="eastAsia" w:ascii="Times New Roman" w:hAnsi="Times New Roman"/>
                      <w:color w:val="000000" w:themeColor="text1"/>
                      <w:sz w:val="21"/>
                      <w:szCs w:val="21"/>
                      <w:highlight w:val="none"/>
                      <w:u w:val="none"/>
                      <w:lang w:val="en-US" w:eastAsia="zh-CN"/>
                      <w14:textFill>
                        <w14:solidFill>
                          <w14:schemeClr w14:val="tx1"/>
                        </w14:solidFill>
                      </w14:textFill>
                    </w:rPr>
                  </w:pPr>
                </w:p>
              </w:tc>
              <w:tc>
                <w:tcPr>
                  <w:tcW w:w="871" w:type="dxa"/>
                  <w:vMerge w:val="continue"/>
                  <w:vAlign w:val="center"/>
                </w:tcPr>
                <w:p w14:paraId="71CC3E6E">
                  <w:pPr>
                    <w:pStyle w:val="23"/>
                    <w:widowControl w:val="0"/>
                    <w:spacing w:before="0" w:beforeAutospacing="0" w:after="0" w:afterAutospacing="0" w:line="240" w:lineRule="auto"/>
                    <w:jc w:val="center"/>
                    <w:rPr>
                      <w:rFonts w:hint="default" w:ascii="Times New Roman" w:hAnsi="Times New Roman"/>
                      <w:color w:val="000000" w:themeColor="text1"/>
                      <w:sz w:val="21"/>
                      <w:szCs w:val="21"/>
                      <w:u w:val="none"/>
                      <w:lang w:val="en-US" w:eastAsia="zh-CN"/>
                      <w14:textFill>
                        <w14:solidFill>
                          <w14:schemeClr w14:val="tx1"/>
                        </w14:solidFill>
                      </w14:textFill>
                    </w:rPr>
                  </w:pPr>
                </w:p>
              </w:tc>
            </w:tr>
          </w:tbl>
          <w:p w14:paraId="7E66161A">
            <w:pPr>
              <w:pStyle w:val="3"/>
              <w:rPr>
                <w:rFonts w:cs="Times New Roman"/>
                <w:color w:val="auto"/>
                <w:lang w:val="en-US"/>
              </w:rPr>
            </w:pPr>
            <w:r>
              <w:rPr>
                <w:rFonts w:hint="eastAsia" w:cs="Times New Roman"/>
                <w:color w:val="auto"/>
                <w:lang w:val="en-US"/>
              </w:rPr>
              <w:t>2.3工程进度及投资</w:t>
            </w:r>
          </w:p>
          <w:p w14:paraId="6E93F0B3">
            <w:pPr>
              <w:numPr>
                <w:ilvl w:val="3"/>
                <w:numId w:val="0"/>
              </w:numPr>
              <w:adjustRightInd w:val="0"/>
              <w:spacing w:before="120" w:beforeLines="50"/>
              <w:outlineLvl w:val="3"/>
              <w:rPr>
                <w:b/>
                <w:color w:val="auto"/>
              </w:rPr>
            </w:pPr>
            <w:r>
              <w:rPr>
                <w:b/>
                <w:color w:val="auto"/>
              </w:rPr>
              <w:t>2.3.</w:t>
            </w:r>
            <w:r>
              <w:rPr>
                <w:rFonts w:hint="eastAsia"/>
                <w:b/>
                <w:color w:val="auto"/>
              </w:rPr>
              <w:t>1</w:t>
            </w:r>
            <w:r>
              <w:rPr>
                <w:b/>
                <w:color w:val="auto"/>
              </w:rPr>
              <w:t>施工总进度</w:t>
            </w:r>
          </w:p>
          <w:p w14:paraId="68A7D912">
            <w:pPr>
              <w:autoSpaceDE w:val="0"/>
              <w:autoSpaceDN w:val="0"/>
              <w:ind w:firstLine="480" w:firstLineChars="200"/>
              <w:jc w:val="left"/>
              <w:rPr>
                <w:color w:val="FF0000"/>
                <w:kern w:val="0"/>
              </w:rPr>
            </w:pPr>
            <w:r>
              <w:rPr>
                <w:rFonts w:hint="eastAsia"/>
                <w:color w:val="auto"/>
                <w:kern w:val="0"/>
              </w:rPr>
              <w:t>工程建设总工期为12个月，工程筹建期</w:t>
            </w:r>
            <w:r>
              <w:rPr>
                <w:rFonts w:hint="eastAsia"/>
                <w:color w:val="auto"/>
                <w:kern w:val="0"/>
                <w:lang w:val="en-US" w:eastAsia="zh-CN"/>
              </w:rPr>
              <w:t>3</w:t>
            </w:r>
            <w:r>
              <w:rPr>
                <w:rFonts w:hint="eastAsia"/>
                <w:color w:val="auto"/>
                <w:kern w:val="0"/>
              </w:rPr>
              <w:t>个月。主体工程于</w:t>
            </w:r>
            <w:r>
              <w:rPr>
                <w:rFonts w:hint="eastAsia"/>
                <w:color w:val="auto"/>
                <w:kern w:val="0"/>
                <w:lang w:val="en-US" w:eastAsia="zh-CN"/>
              </w:rPr>
              <w:t>2025年4</w:t>
            </w:r>
            <w:r>
              <w:rPr>
                <w:rFonts w:hint="eastAsia"/>
                <w:color w:val="auto"/>
                <w:kern w:val="0"/>
              </w:rPr>
              <w:t>月底开始，</w:t>
            </w:r>
            <w:r>
              <w:rPr>
                <w:rFonts w:hint="eastAsia"/>
                <w:color w:val="auto"/>
                <w:kern w:val="0"/>
                <w:lang w:val="en-US" w:eastAsia="zh-CN"/>
              </w:rPr>
              <w:t>2026年4</w:t>
            </w:r>
            <w:r>
              <w:rPr>
                <w:rFonts w:hint="eastAsia"/>
                <w:color w:val="auto"/>
                <w:kern w:val="0"/>
              </w:rPr>
              <w:t>月底</w:t>
            </w:r>
            <w:r>
              <w:rPr>
                <w:rFonts w:hint="eastAsia"/>
                <w:color w:val="auto"/>
                <w:kern w:val="0"/>
                <w:lang w:val="en-US" w:eastAsia="zh-CN"/>
              </w:rPr>
              <w:t>15</w:t>
            </w:r>
            <w:r>
              <w:rPr>
                <w:rFonts w:hint="eastAsia"/>
                <w:color w:val="auto"/>
                <w:kern w:val="0"/>
              </w:rPr>
              <w:t>台机组全部投产发电</w:t>
            </w:r>
            <w:r>
              <w:rPr>
                <w:color w:val="auto"/>
                <w:kern w:val="0"/>
              </w:rPr>
              <w:t>。</w:t>
            </w:r>
          </w:p>
          <w:p w14:paraId="4355F8D1">
            <w:pPr>
              <w:numPr>
                <w:ilvl w:val="3"/>
                <w:numId w:val="0"/>
              </w:numPr>
              <w:adjustRightInd w:val="0"/>
              <w:outlineLvl w:val="3"/>
              <w:rPr>
                <w:b/>
                <w:color w:val="auto"/>
              </w:rPr>
            </w:pPr>
            <w:r>
              <w:rPr>
                <w:b/>
                <w:color w:val="auto"/>
              </w:rPr>
              <w:t>2.3.</w:t>
            </w:r>
            <w:r>
              <w:rPr>
                <w:rFonts w:hint="eastAsia"/>
                <w:b/>
                <w:color w:val="auto"/>
              </w:rPr>
              <w:t>2</w:t>
            </w:r>
            <w:r>
              <w:rPr>
                <w:b/>
                <w:color w:val="auto"/>
              </w:rPr>
              <w:t>工程投资</w:t>
            </w:r>
          </w:p>
          <w:p w14:paraId="1BB98A26">
            <w:pPr>
              <w:pStyle w:val="85"/>
              <w:ind w:firstLine="480" w:firstLineChars="200"/>
              <w:rPr>
                <w:color w:val="FF0000"/>
                <w:szCs w:val="24"/>
              </w:rPr>
            </w:pPr>
            <w:r>
              <w:rPr>
                <w:color w:val="auto"/>
                <w:szCs w:val="24"/>
              </w:rPr>
              <w:t>工程总投资</w:t>
            </w:r>
            <w:r>
              <w:rPr>
                <w:rFonts w:hint="eastAsia"/>
                <w:color w:val="auto"/>
                <w:szCs w:val="24"/>
                <w:lang w:val="en-US" w:eastAsia="zh-CN"/>
              </w:rPr>
              <w:t>57077.19</w:t>
            </w:r>
            <w:r>
              <w:rPr>
                <w:color w:val="auto"/>
                <w:szCs w:val="24"/>
              </w:rPr>
              <w:t>万元</w:t>
            </w:r>
            <w:r>
              <w:rPr>
                <w:color w:val="000000" w:themeColor="text1"/>
                <w:szCs w:val="24"/>
                <w14:textFill>
                  <w14:solidFill>
                    <w14:schemeClr w14:val="tx1"/>
                  </w14:solidFill>
                </w14:textFill>
              </w:rPr>
              <w:t>，其中环保投资</w:t>
            </w:r>
            <w:r>
              <w:rPr>
                <w:rFonts w:hint="eastAsia"/>
                <w:color w:val="000000" w:themeColor="text1"/>
                <w:szCs w:val="24"/>
                <w:lang w:val="en-US" w:eastAsia="zh-CN"/>
                <w14:textFill>
                  <w14:solidFill>
                    <w14:schemeClr w14:val="tx1"/>
                  </w14:solidFill>
                </w14:textFill>
              </w:rPr>
              <w:t>530</w:t>
            </w:r>
            <w:r>
              <w:rPr>
                <w:color w:val="000000" w:themeColor="text1"/>
                <w:szCs w:val="24"/>
                <w14:textFill>
                  <w14:solidFill>
                    <w14:schemeClr w14:val="tx1"/>
                  </w14:solidFill>
                </w14:textFill>
              </w:rPr>
              <w:t>万元，环保投资占总投资比例</w:t>
            </w:r>
            <w:r>
              <w:rPr>
                <w:rFonts w:hint="eastAsia"/>
                <w:color w:val="000000" w:themeColor="text1"/>
                <w:szCs w:val="24"/>
                <w:lang w:val="en-US" w:eastAsia="zh-CN"/>
                <w14:textFill>
                  <w14:solidFill>
                    <w14:schemeClr w14:val="tx1"/>
                  </w14:solidFill>
                </w14:textFill>
              </w:rPr>
              <w:t>0.95</w:t>
            </w:r>
            <w:r>
              <w:rPr>
                <w:rFonts w:hint="eastAsia"/>
                <w:color w:val="000000" w:themeColor="text1"/>
                <w:szCs w:val="24"/>
                <w:lang w:eastAsia="zh-CN"/>
                <w14:textFill>
                  <w14:solidFill>
                    <w14:schemeClr w14:val="tx1"/>
                  </w14:solidFill>
                </w14:textFill>
              </w:rPr>
              <w:t>%</w:t>
            </w:r>
            <w:r>
              <w:rPr>
                <w:color w:val="000000" w:themeColor="text1"/>
                <w:szCs w:val="24"/>
                <w14:textFill>
                  <w14:solidFill>
                    <w14:schemeClr w14:val="tx1"/>
                  </w14:solidFill>
                </w14:textFill>
              </w:rPr>
              <w:t>。</w:t>
            </w:r>
          </w:p>
        </w:tc>
      </w:tr>
      <w:tr w14:paraId="425911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78" w:hRule="atLeast"/>
          <w:jc w:val="center"/>
        </w:trPr>
        <w:tc>
          <w:tcPr>
            <w:tcW w:w="452" w:type="dxa"/>
            <w:vAlign w:val="center"/>
          </w:tcPr>
          <w:p w14:paraId="18D80824">
            <w:pPr>
              <w:adjustRightInd w:val="0"/>
              <w:snapToGrid w:val="0"/>
              <w:jc w:val="center"/>
              <w:rPr>
                <w:color w:val="FF0000"/>
                <w:kern w:val="0"/>
              </w:rPr>
            </w:pPr>
            <w:r>
              <w:rPr>
                <w:color w:val="auto"/>
                <w:kern w:val="0"/>
              </w:rPr>
              <w:t>总平面及现场布置</w:t>
            </w:r>
          </w:p>
        </w:tc>
        <w:tc>
          <w:tcPr>
            <w:tcW w:w="8070" w:type="dxa"/>
            <w:vAlign w:val="center"/>
          </w:tcPr>
          <w:p w14:paraId="25CEEADE">
            <w:pPr>
              <w:pStyle w:val="4"/>
              <w:tabs>
                <w:tab w:val="left" w:pos="425"/>
              </w:tabs>
              <w:rPr>
                <w:color w:val="auto"/>
              </w:rPr>
            </w:pPr>
            <w:r>
              <w:rPr>
                <w:color w:val="auto"/>
              </w:rPr>
              <w:t>2.4</w:t>
            </w:r>
            <w:r>
              <w:rPr>
                <w:rFonts w:hint="eastAsia"/>
                <w:color w:val="auto"/>
              </w:rPr>
              <w:t>.1</w:t>
            </w:r>
            <w:r>
              <w:rPr>
                <w:color w:val="auto"/>
              </w:rPr>
              <w:t>风机及箱变布置</w:t>
            </w:r>
          </w:p>
          <w:p w14:paraId="0CD1B714">
            <w:pPr>
              <w:ind w:firstLine="480" w:firstLineChars="200"/>
              <w:rPr>
                <w:color w:val="FF0000"/>
                <w:u w:val="none"/>
              </w:rPr>
            </w:pPr>
            <w:r>
              <w:rPr>
                <w:color w:val="auto"/>
                <w:u w:val="none"/>
              </w:rPr>
              <w:t>本风电场为山地地形，</w:t>
            </w:r>
            <w:r>
              <w:rPr>
                <w:rFonts w:hint="eastAsia"/>
                <w:color w:val="auto"/>
                <w:u w:val="none"/>
              </w:rPr>
              <w:t>风机点位大致呈</w:t>
            </w:r>
            <w:r>
              <w:rPr>
                <w:rFonts w:hint="eastAsia"/>
                <w:color w:val="auto"/>
                <w:u w:val="none"/>
                <w:lang w:val="en-US" w:eastAsia="zh-CN"/>
              </w:rPr>
              <w:t>东西</w:t>
            </w:r>
            <w:r>
              <w:rPr>
                <w:rFonts w:hint="eastAsia"/>
                <w:color w:val="auto"/>
                <w:u w:val="none"/>
              </w:rPr>
              <w:t>走向布置，道路主要沿山脊、山坡布置，</w:t>
            </w:r>
            <w:r>
              <w:rPr>
                <w:color w:val="auto"/>
                <w:u w:val="none"/>
              </w:rPr>
              <w:t>风电机组布置过程中遵循以下几点原则：</w:t>
            </w:r>
          </w:p>
          <w:p w14:paraId="2C2F4EF0">
            <w:pPr>
              <w:ind w:firstLine="480" w:firstLineChars="200"/>
              <w:rPr>
                <w:rFonts w:hint="eastAsia"/>
                <w:color w:val="auto"/>
                <w:u w:val="none"/>
              </w:rPr>
            </w:pPr>
            <w:r>
              <w:rPr>
                <w:rFonts w:hint="eastAsia"/>
                <w:color w:val="auto"/>
                <w:u w:val="none"/>
              </w:rPr>
              <w:t>（1）风电机组的布置应满足发电量最大和尾流影响最小原则，在盛行风风向上，机组间隔5倍风轮直径以上，在垂直于盛行风向上，机组间隔3倍风轮直径以上。当风向比较集中时，在垂直于盛行风向上，机组间距可适当压缩。本风电场主导风向和风能均为NNE、N和S，且比较集中。</w:t>
            </w:r>
          </w:p>
          <w:p w14:paraId="09A49D64">
            <w:pPr>
              <w:ind w:firstLine="480" w:firstLineChars="200"/>
              <w:rPr>
                <w:rFonts w:hint="eastAsia"/>
                <w:color w:val="auto"/>
                <w:u w:val="none"/>
                <w:lang w:eastAsia="zh-CN"/>
              </w:rPr>
            </w:pPr>
            <w:r>
              <w:rPr>
                <w:rFonts w:hint="eastAsia"/>
                <w:color w:val="auto"/>
                <w:u w:val="none"/>
              </w:rPr>
              <w:t>（2）风电机组的布置应充分考虑风电场内的限制因素，本风电场考虑的限制因素包括：生态红线、基本农田、林业和压矿等如下图所示，所有机位点和平台均不涉及以上限制性因素，紧邻限制性因素的机位已确认采用单叶片吊装以减少平台面积且避让限制性因素</w:t>
            </w:r>
            <w:r>
              <w:rPr>
                <w:rFonts w:hint="eastAsia"/>
                <w:color w:val="auto"/>
                <w:u w:val="none"/>
                <w:lang w:eastAsia="zh-CN"/>
              </w:rPr>
              <w:t>。</w:t>
            </w:r>
          </w:p>
          <w:p w14:paraId="71D10EF2">
            <w:pPr>
              <w:ind w:firstLine="480" w:firstLineChars="200"/>
              <w:rPr>
                <w:rFonts w:hint="eastAsia"/>
                <w:color w:val="auto"/>
                <w:u w:val="none"/>
                <w:lang w:val="en-US" w:eastAsia="zh-CN"/>
              </w:rPr>
            </w:pPr>
            <w:r>
              <w:rPr>
                <w:rFonts w:hint="eastAsia"/>
                <w:color w:val="auto"/>
                <w:u w:val="none"/>
                <w:lang w:val="en-US" w:eastAsia="zh-CN"/>
              </w:rPr>
              <w:t>（3）风电机组的布置应充分考虑风电机组与输电线路的安全距离，风电机组距离输电线路基本都在风电机组倒塔距离的1.5倍以上，满足《风电场工程微观选址技术规范》（NB/T 10103-2018）的避让距离要求，即距离35kV以上架空输电线路不小于风电机组倒塔距离的1.0倍，距离220kV及以上架空输电线路不小于风电机组倒塔距离的1.5倍。</w:t>
            </w:r>
          </w:p>
          <w:p w14:paraId="1AF2588A">
            <w:pPr>
              <w:ind w:firstLine="480" w:firstLineChars="200"/>
              <w:rPr>
                <w:rFonts w:hint="eastAsia"/>
                <w:color w:val="auto"/>
                <w:u w:val="none"/>
                <w:lang w:val="en-US" w:eastAsia="zh-CN"/>
              </w:rPr>
            </w:pPr>
            <w:r>
              <w:rPr>
                <w:rFonts w:hint="eastAsia"/>
                <w:color w:val="auto"/>
                <w:u w:val="none"/>
                <w:lang w:val="en-US" w:eastAsia="zh-CN"/>
              </w:rPr>
              <w:t>（4）风电机组的布置充分考虑风电机组对附近村庄和房屋的噪音影响，本风电场风电机组的布置满足《声环境质量标准》（GB3096-2008）执行的2类标准，即达到昼间 60B(A)，夜间 50dB(A)。</w:t>
            </w:r>
          </w:p>
          <w:p w14:paraId="2106C2E3">
            <w:pPr>
              <w:ind w:firstLine="480" w:firstLineChars="200"/>
              <w:rPr>
                <w:rFonts w:hint="eastAsia"/>
                <w:color w:val="auto"/>
                <w:u w:val="none"/>
                <w:lang w:val="en-US" w:eastAsia="zh-CN"/>
              </w:rPr>
            </w:pPr>
            <w:r>
              <w:rPr>
                <w:rFonts w:hint="eastAsia"/>
                <w:color w:val="auto"/>
                <w:u w:val="none"/>
                <w:lang w:val="en-US" w:eastAsia="zh-CN"/>
              </w:rPr>
              <w:t>（5）根据太平山电场项目的风能资源状况，地形地貌条件以及区域电网建设情况，风电场按最终推荐的机型以及发电量最大为原则，以Windfarmer对风电场的机组进行优化布置，再进行风电机组的局部微调，使机组更有利于节省整个风电场集电线路及道路工程投资，并有利于以后的运行维护管理和区域景观。</w:t>
            </w:r>
          </w:p>
          <w:p w14:paraId="652206EB">
            <w:pPr>
              <w:ind w:firstLine="480" w:firstLineChars="200"/>
              <w:rPr>
                <w:rFonts w:hint="eastAsia"/>
                <w:color w:val="auto"/>
                <w:lang w:val="en-US" w:eastAsia="zh-CN"/>
              </w:rPr>
            </w:pPr>
            <w:r>
              <w:rPr>
                <w:rFonts w:hint="eastAsia"/>
                <w:color w:val="auto"/>
                <w:lang w:val="en-US" w:eastAsia="zh-CN"/>
              </w:rPr>
              <w:t>项目机位布置除满足以上条件外，还考虑风电场内的风速分布、运输和安装条件，集电线路长度、送变电方案、地质条件等因素。</w:t>
            </w:r>
          </w:p>
          <w:p w14:paraId="68E494F9">
            <w:pPr>
              <w:ind w:firstLine="480" w:firstLineChars="200"/>
              <w:rPr>
                <w:color w:val="auto"/>
              </w:rPr>
            </w:pPr>
            <w:r>
              <w:rPr>
                <w:rFonts w:hint="eastAsia"/>
                <w:color w:val="auto"/>
                <w:lang w:val="en-US" w:eastAsia="zh-CN"/>
              </w:rPr>
              <w:t>15台风力发电机组</w:t>
            </w:r>
            <w:r>
              <w:rPr>
                <w:color w:val="auto"/>
              </w:rPr>
              <w:t>的机位坐标表见表2</w:t>
            </w:r>
            <w:r>
              <w:rPr>
                <w:rFonts w:hint="eastAsia"/>
                <w:color w:val="auto"/>
              </w:rPr>
              <w:t>.4</w:t>
            </w:r>
            <w:r>
              <w:rPr>
                <w:color w:val="auto"/>
              </w:rPr>
              <w:t>-</w:t>
            </w:r>
            <w:r>
              <w:rPr>
                <w:rFonts w:hint="eastAsia"/>
                <w:color w:val="auto"/>
              </w:rPr>
              <w:t>1</w:t>
            </w:r>
            <w:r>
              <w:rPr>
                <w:color w:val="auto"/>
              </w:rPr>
              <w:t>，机位布置图见图2</w:t>
            </w:r>
            <w:r>
              <w:rPr>
                <w:rFonts w:hint="eastAsia"/>
                <w:color w:val="auto"/>
              </w:rPr>
              <w:t>.4</w:t>
            </w:r>
            <w:r>
              <w:rPr>
                <w:color w:val="auto"/>
              </w:rPr>
              <w:t>-</w:t>
            </w:r>
            <w:r>
              <w:rPr>
                <w:rFonts w:hint="eastAsia"/>
                <w:color w:val="auto"/>
              </w:rPr>
              <w:t>1</w:t>
            </w:r>
            <w:r>
              <w:rPr>
                <w:color w:val="auto"/>
              </w:rPr>
              <w:t>。</w:t>
            </w:r>
          </w:p>
          <w:p w14:paraId="4A5562E2">
            <w:pPr>
              <w:ind w:firstLine="480" w:firstLineChars="200"/>
              <w:rPr>
                <w:color w:val="auto"/>
              </w:rPr>
            </w:pPr>
            <w:r>
              <w:rPr>
                <w:color w:val="auto"/>
              </w:rPr>
              <w:t>（</w:t>
            </w:r>
            <w:r>
              <w:rPr>
                <w:rFonts w:hint="eastAsia"/>
                <w:color w:val="auto"/>
                <w:lang w:val="en-US" w:eastAsia="zh-CN"/>
              </w:rPr>
              <w:t>5</w:t>
            </w:r>
            <w:r>
              <w:rPr>
                <w:color w:val="auto"/>
              </w:rPr>
              <w:t>）风机位置坐标见下表。</w:t>
            </w:r>
          </w:p>
          <w:p w14:paraId="4A71ABB1">
            <w:pPr>
              <w:pStyle w:val="89"/>
              <w:spacing w:line="240" w:lineRule="auto"/>
              <w:rPr>
                <w:color w:val="auto"/>
                <w:u w:val="none"/>
              </w:rPr>
            </w:pPr>
            <w:r>
              <w:rPr>
                <w:color w:val="auto"/>
                <w:u w:val="none"/>
              </w:rPr>
              <w:t>表2</w:t>
            </w:r>
            <w:r>
              <w:rPr>
                <w:rFonts w:hint="eastAsia"/>
                <w:color w:val="auto"/>
                <w:u w:val="none"/>
              </w:rPr>
              <w:t>.4</w:t>
            </w:r>
            <w:r>
              <w:rPr>
                <w:color w:val="auto"/>
                <w:u w:val="none"/>
              </w:rPr>
              <w:t>-</w:t>
            </w:r>
            <w:r>
              <w:rPr>
                <w:rFonts w:hint="eastAsia"/>
                <w:color w:val="auto"/>
                <w:u w:val="none"/>
              </w:rPr>
              <w:t>1</w:t>
            </w:r>
            <w:r>
              <w:rPr>
                <w:color w:val="auto"/>
                <w:u w:val="none"/>
              </w:rPr>
              <w:t xml:space="preserve"> </w:t>
            </w:r>
            <w:r>
              <w:rPr>
                <w:rFonts w:hint="eastAsia"/>
                <w:color w:val="auto"/>
                <w:u w:val="none"/>
              </w:rPr>
              <w:t xml:space="preserve"> </w:t>
            </w:r>
            <w:r>
              <w:rPr>
                <w:color w:val="auto"/>
                <w:u w:val="none"/>
              </w:rPr>
              <w:t>风电场风机位置</w:t>
            </w:r>
          </w:p>
          <w:tbl>
            <w:tblPr>
              <w:tblStyle w:val="26"/>
              <w:tblW w:w="784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509"/>
              <w:gridCol w:w="1582"/>
              <w:gridCol w:w="1582"/>
              <w:gridCol w:w="1582"/>
              <w:gridCol w:w="1585"/>
            </w:tblGrid>
            <w:tr w14:paraId="682DC5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509" w:type="dxa"/>
                  <w:tcBorders>
                    <w:bottom w:val="single" w:color="000000" w:sz="6" w:space="0"/>
                    <w:right w:val="single" w:color="000000" w:sz="6" w:space="0"/>
                  </w:tcBorders>
                  <w:vAlign w:val="center"/>
                </w:tcPr>
                <w:p w14:paraId="209E2911">
                  <w:pPr>
                    <w:pStyle w:val="90"/>
                    <w:spacing w:before="121"/>
                    <w:ind w:right="-34" w:rightChars="0"/>
                    <w:jc w:val="center"/>
                    <w:rPr>
                      <w:rFonts w:ascii="Times New Roman" w:eastAsia="Times New Roman"/>
                      <w:b/>
                      <w:color w:val="auto"/>
                      <w:spacing w:val="-4"/>
                      <w:sz w:val="21"/>
                      <w:u w:val="none"/>
                    </w:rPr>
                  </w:pPr>
                  <w:r>
                    <w:rPr>
                      <w:rFonts w:ascii="Times New Roman" w:eastAsia="Times New Roman"/>
                      <w:b/>
                      <w:color w:val="auto"/>
                      <w:spacing w:val="-4"/>
                      <w:sz w:val="21"/>
                      <w:u w:val="none"/>
                    </w:rPr>
                    <w:t>机位编号</w:t>
                  </w:r>
                </w:p>
              </w:tc>
              <w:tc>
                <w:tcPr>
                  <w:tcW w:w="1582" w:type="dxa"/>
                  <w:tcBorders>
                    <w:left w:val="single" w:color="000000" w:sz="6" w:space="0"/>
                    <w:bottom w:val="single" w:color="000000" w:sz="6" w:space="0"/>
                    <w:right w:val="single" w:color="000000" w:sz="6" w:space="0"/>
                  </w:tcBorders>
                  <w:vAlign w:val="center"/>
                </w:tcPr>
                <w:p w14:paraId="0F8B23CA">
                  <w:pPr>
                    <w:pStyle w:val="90"/>
                    <w:spacing w:before="121"/>
                    <w:ind w:right="-34" w:rightChars="0"/>
                    <w:jc w:val="center"/>
                    <w:rPr>
                      <w:rFonts w:ascii="Times New Roman" w:eastAsia="Times New Roman"/>
                      <w:b/>
                      <w:color w:val="auto"/>
                      <w:spacing w:val="-4"/>
                      <w:sz w:val="21"/>
                      <w:u w:val="none"/>
                    </w:rPr>
                  </w:pPr>
                  <w:r>
                    <w:rPr>
                      <w:rFonts w:ascii="Times New Roman" w:eastAsia="Times New Roman"/>
                      <w:b/>
                      <w:color w:val="auto"/>
                      <w:spacing w:val="-4"/>
                      <w:sz w:val="21"/>
                      <w:u w:val="none"/>
                    </w:rPr>
                    <w:t>X（m）</w:t>
                  </w:r>
                </w:p>
              </w:tc>
              <w:tc>
                <w:tcPr>
                  <w:tcW w:w="1582" w:type="dxa"/>
                  <w:tcBorders>
                    <w:left w:val="single" w:color="000000" w:sz="6" w:space="0"/>
                    <w:bottom w:val="single" w:color="000000" w:sz="6" w:space="0"/>
                    <w:right w:val="single" w:color="000000" w:sz="6" w:space="0"/>
                  </w:tcBorders>
                  <w:vAlign w:val="center"/>
                </w:tcPr>
                <w:p w14:paraId="44468C5F">
                  <w:pPr>
                    <w:pStyle w:val="90"/>
                    <w:spacing w:before="121"/>
                    <w:ind w:right="-34" w:rightChars="0"/>
                    <w:jc w:val="center"/>
                    <w:rPr>
                      <w:rFonts w:ascii="Times New Roman" w:eastAsia="Times New Roman"/>
                      <w:b/>
                      <w:color w:val="auto"/>
                      <w:spacing w:val="-4"/>
                      <w:sz w:val="21"/>
                      <w:u w:val="none"/>
                    </w:rPr>
                  </w:pPr>
                  <w:r>
                    <w:rPr>
                      <w:rFonts w:ascii="Times New Roman" w:eastAsia="Times New Roman"/>
                      <w:b/>
                      <w:color w:val="auto"/>
                      <w:spacing w:val="-4"/>
                      <w:sz w:val="21"/>
                      <w:u w:val="none"/>
                    </w:rPr>
                    <w:t>Y（m）</w:t>
                  </w:r>
                </w:p>
              </w:tc>
              <w:tc>
                <w:tcPr>
                  <w:tcW w:w="1582" w:type="dxa"/>
                  <w:tcBorders>
                    <w:left w:val="single" w:color="000000" w:sz="6" w:space="0"/>
                    <w:bottom w:val="single" w:color="000000" w:sz="6" w:space="0"/>
                    <w:right w:val="single" w:color="000000" w:sz="6" w:space="0"/>
                  </w:tcBorders>
                  <w:vAlign w:val="center"/>
                </w:tcPr>
                <w:p w14:paraId="4459AEC2">
                  <w:pPr>
                    <w:pStyle w:val="90"/>
                    <w:spacing w:before="121"/>
                    <w:ind w:right="-34" w:rightChars="0"/>
                    <w:jc w:val="center"/>
                    <w:rPr>
                      <w:rFonts w:hint="default" w:ascii="Times New Roman" w:eastAsia="宋体"/>
                      <w:b/>
                      <w:color w:val="auto"/>
                      <w:spacing w:val="-4"/>
                      <w:sz w:val="21"/>
                      <w:u w:val="none"/>
                      <w:lang w:val="en-US" w:eastAsia="zh-CN"/>
                    </w:rPr>
                  </w:pPr>
                  <w:r>
                    <w:rPr>
                      <w:rFonts w:hint="eastAsia" w:ascii="Times New Roman"/>
                      <w:b/>
                      <w:color w:val="auto"/>
                      <w:spacing w:val="-4"/>
                      <w:sz w:val="21"/>
                      <w:u w:val="none"/>
                      <w:lang w:val="en-US" w:eastAsia="zh-CN"/>
                    </w:rPr>
                    <w:t>Z</w:t>
                  </w:r>
                  <w:r>
                    <w:rPr>
                      <w:rFonts w:ascii="Times New Roman" w:eastAsia="Times New Roman"/>
                      <w:b/>
                      <w:color w:val="auto"/>
                      <w:spacing w:val="-4"/>
                      <w:sz w:val="21"/>
                      <w:u w:val="none"/>
                    </w:rPr>
                    <w:t>（m）</w:t>
                  </w:r>
                  <w:r>
                    <w:rPr>
                      <w:rFonts w:hint="eastAsia" w:ascii="Times New Roman" w:eastAsia="宋体"/>
                      <w:b/>
                      <w:color w:val="auto"/>
                      <w:spacing w:val="-4"/>
                      <w:sz w:val="21"/>
                      <w:u w:val="none"/>
                      <w:lang w:val="en-US" w:eastAsia="zh-CN"/>
                    </w:rPr>
                    <w:t xml:space="preserve"> </w:t>
                  </w:r>
                </w:p>
              </w:tc>
              <w:tc>
                <w:tcPr>
                  <w:tcW w:w="1585" w:type="dxa"/>
                  <w:tcBorders>
                    <w:left w:val="single" w:color="000000" w:sz="6" w:space="0"/>
                    <w:bottom w:val="single" w:color="000000" w:sz="6" w:space="0"/>
                    <w:right w:val="single" w:color="000000" w:sz="6" w:space="0"/>
                  </w:tcBorders>
                  <w:vAlign w:val="center"/>
                </w:tcPr>
                <w:p w14:paraId="04D6A635">
                  <w:pPr>
                    <w:pStyle w:val="90"/>
                    <w:spacing w:before="121"/>
                    <w:ind w:right="-34" w:rightChars="0"/>
                    <w:jc w:val="center"/>
                    <w:rPr>
                      <w:rFonts w:hint="default" w:ascii="宋体" w:hAnsi="宋体" w:eastAsia="宋体" w:cs="宋体"/>
                      <w:b/>
                      <w:color w:val="auto"/>
                      <w:spacing w:val="-4"/>
                      <w:sz w:val="21"/>
                      <w:u w:val="none"/>
                      <w:lang w:val="en-US" w:eastAsia="zh-CN"/>
                    </w:rPr>
                  </w:pPr>
                  <w:r>
                    <w:rPr>
                      <w:rFonts w:hint="eastAsia" w:ascii="Times New Roman"/>
                      <w:b/>
                      <w:color w:val="auto"/>
                      <w:spacing w:val="-4"/>
                      <w:sz w:val="21"/>
                      <w:u w:val="none"/>
                      <w:lang w:val="en-US" w:eastAsia="zh-CN"/>
                    </w:rPr>
                    <w:t>轮毂高度（m）</w:t>
                  </w:r>
                </w:p>
              </w:tc>
            </w:tr>
            <w:tr w14:paraId="114BC8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509" w:type="dxa"/>
                  <w:tcBorders>
                    <w:top w:val="single" w:color="000000" w:sz="6" w:space="0"/>
                    <w:bottom w:val="single" w:color="000000" w:sz="6" w:space="0"/>
                    <w:right w:val="single" w:color="000000" w:sz="6" w:space="0"/>
                  </w:tcBorders>
                  <w:vAlign w:val="center"/>
                </w:tcPr>
                <w:p w14:paraId="31798862">
                  <w:pPr>
                    <w:pStyle w:val="23"/>
                    <w:keepNext w:val="0"/>
                    <w:keepLines w:val="0"/>
                    <w:widowControl/>
                    <w:suppressLineNumbers w:val="0"/>
                    <w:adjustRightInd w:val="0"/>
                    <w:snapToGrid w:val="0"/>
                    <w:spacing w:line="240" w:lineRule="auto"/>
                    <w:ind w:left="0" w:leftChars="0" w:firstLine="0" w:firstLineChars="0"/>
                    <w:jc w:val="center"/>
                    <w:rPr>
                      <w:rFonts w:hint="default" w:ascii="Times New Roman" w:hAnsi="Calibri" w:eastAsia="Times New Roman" w:cs="Times New Roman"/>
                      <w:b w:val="0"/>
                      <w:bCs/>
                      <w:color w:val="auto"/>
                      <w:spacing w:val="-4"/>
                      <w:kern w:val="0"/>
                      <w:sz w:val="21"/>
                      <w:szCs w:val="22"/>
                      <w:u w:val="none"/>
                      <w:lang w:val="en-US" w:eastAsia="zh-CN" w:bidi="ar-SA"/>
                    </w:rPr>
                  </w:pPr>
                  <w:r>
                    <w:rPr>
                      <w:rFonts w:hint="eastAsia" w:ascii="Times New Roman" w:hAnsi="Calibri" w:eastAsia="Times New Roman" w:cs="Times New Roman"/>
                      <w:b w:val="0"/>
                      <w:bCs/>
                      <w:color w:val="auto"/>
                      <w:spacing w:val="-4"/>
                      <w:kern w:val="0"/>
                      <w:sz w:val="21"/>
                      <w:szCs w:val="22"/>
                      <w:u w:val="none"/>
                      <w:lang w:val="en-US" w:eastAsia="zh-CN" w:bidi="ar-SA"/>
                    </w:rPr>
                    <w:t>TPS1</w:t>
                  </w:r>
                </w:p>
              </w:tc>
              <w:tc>
                <w:tcPr>
                  <w:tcW w:w="1582" w:type="dxa"/>
                  <w:tcBorders>
                    <w:top w:val="single" w:color="000000" w:sz="6" w:space="0"/>
                    <w:left w:val="single" w:color="000000" w:sz="6" w:space="0"/>
                    <w:bottom w:val="single" w:color="000000" w:sz="6" w:space="0"/>
                    <w:right w:val="single" w:color="000000" w:sz="6" w:space="0"/>
                  </w:tcBorders>
                  <w:vAlign w:val="center"/>
                </w:tcPr>
                <w:p w14:paraId="0C1D56B8">
                  <w:pPr>
                    <w:pStyle w:val="23"/>
                    <w:keepNext w:val="0"/>
                    <w:keepLines w:val="0"/>
                    <w:widowControl/>
                    <w:suppressLineNumbers w:val="0"/>
                    <w:adjustRightInd w:val="0"/>
                    <w:snapToGrid w:val="0"/>
                    <w:spacing w:line="240" w:lineRule="auto"/>
                    <w:ind w:left="0" w:leftChars="0" w:firstLine="0" w:firstLineChars="0"/>
                    <w:jc w:val="center"/>
                    <w:rPr>
                      <w:rFonts w:hint="default" w:ascii="Times New Roman" w:hAnsi="Calibri" w:eastAsia="Times New Roman" w:cs="Times New Roman"/>
                      <w:b w:val="0"/>
                      <w:bCs/>
                      <w:color w:val="auto"/>
                      <w:spacing w:val="-4"/>
                      <w:kern w:val="0"/>
                      <w:sz w:val="21"/>
                      <w:szCs w:val="22"/>
                      <w:u w:val="none"/>
                      <w:lang w:val="en-US" w:eastAsia="zh-CN" w:bidi="ar-SA"/>
                    </w:rPr>
                  </w:pPr>
                  <w:r>
                    <w:rPr>
                      <w:rFonts w:hint="eastAsia" w:ascii="Times New Roman" w:hAnsi="Calibri" w:eastAsia="Times New Roman" w:cs="Times New Roman"/>
                      <w:b w:val="0"/>
                      <w:bCs/>
                      <w:color w:val="auto"/>
                      <w:spacing w:val="-4"/>
                      <w:kern w:val="0"/>
                      <w:sz w:val="21"/>
                      <w:szCs w:val="22"/>
                      <w:u w:val="none"/>
                      <w:lang w:val="en-US" w:eastAsia="zh-CN" w:bidi="ar-SA"/>
                    </w:rPr>
                    <w:t>37372633</w:t>
                  </w:r>
                </w:p>
              </w:tc>
              <w:tc>
                <w:tcPr>
                  <w:tcW w:w="1582" w:type="dxa"/>
                  <w:tcBorders>
                    <w:top w:val="single" w:color="000000" w:sz="6" w:space="0"/>
                    <w:left w:val="single" w:color="000000" w:sz="6" w:space="0"/>
                    <w:bottom w:val="single" w:color="000000" w:sz="6" w:space="0"/>
                    <w:right w:val="single" w:color="000000" w:sz="6" w:space="0"/>
                  </w:tcBorders>
                  <w:vAlign w:val="center"/>
                </w:tcPr>
                <w:p w14:paraId="4A601794">
                  <w:pPr>
                    <w:pStyle w:val="23"/>
                    <w:keepNext w:val="0"/>
                    <w:keepLines w:val="0"/>
                    <w:widowControl/>
                    <w:suppressLineNumbers w:val="0"/>
                    <w:adjustRightInd w:val="0"/>
                    <w:snapToGrid w:val="0"/>
                    <w:spacing w:line="240" w:lineRule="auto"/>
                    <w:ind w:left="0" w:leftChars="0" w:firstLine="0" w:firstLineChars="0"/>
                    <w:jc w:val="center"/>
                    <w:rPr>
                      <w:rFonts w:hint="default" w:ascii="Times New Roman" w:hAnsi="Calibri" w:eastAsia="Times New Roman" w:cs="Times New Roman"/>
                      <w:b w:val="0"/>
                      <w:bCs/>
                      <w:color w:val="auto"/>
                      <w:spacing w:val="-4"/>
                      <w:kern w:val="0"/>
                      <w:sz w:val="21"/>
                      <w:szCs w:val="22"/>
                      <w:u w:val="none"/>
                      <w:lang w:val="en-US" w:eastAsia="zh-CN" w:bidi="ar-SA"/>
                    </w:rPr>
                  </w:pPr>
                  <w:r>
                    <w:rPr>
                      <w:rFonts w:hint="eastAsia" w:ascii="Times New Roman" w:hAnsi="Calibri" w:eastAsia="Times New Roman" w:cs="Times New Roman"/>
                      <w:b w:val="0"/>
                      <w:bCs/>
                      <w:color w:val="auto"/>
                      <w:spacing w:val="-4"/>
                      <w:kern w:val="0"/>
                      <w:sz w:val="21"/>
                      <w:szCs w:val="22"/>
                      <w:u w:val="none"/>
                      <w:lang w:val="en-US" w:eastAsia="zh-CN" w:bidi="ar-SA"/>
                    </w:rPr>
                    <w:t>2895088</w:t>
                  </w:r>
                </w:p>
              </w:tc>
              <w:tc>
                <w:tcPr>
                  <w:tcW w:w="1582" w:type="dxa"/>
                  <w:tcBorders>
                    <w:top w:val="single" w:color="000000" w:sz="6" w:space="0"/>
                    <w:left w:val="single" w:color="000000" w:sz="6" w:space="0"/>
                    <w:bottom w:val="single" w:color="000000" w:sz="6" w:space="0"/>
                    <w:right w:val="single" w:color="000000" w:sz="6" w:space="0"/>
                  </w:tcBorders>
                  <w:vAlign w:val="center"/>
                </w:tcPr>
                <w:p w14:paraId="48B4998E">
                  <w:pPr>
                    <w:pStyle w:val="23"/>
                    <w:keepNext w:val="0"/>
                    <w:keepLines w:val="0"/>
                    <w:widowControl/>
                    <w:suppressLineNumbers w:val="0"/>
                    <w:adjustRightInd w:val="0"/>
                    <w:snapToGrid w:val="0"/>
                    <w:spacing w:line="240" w:lineRule="auto"/>
                    <w:ind w:left="0" w:leftChars="0" w:firstLine="0" w:firstLineChars="0"/>
                    <w:jc w:val="center"/>
                    <w:rPr>
                      <w:rFonts w:hint="default" w:ascii="Times New Roman" w:hAnsi="Calibri" w:eastAsia="Times New Roman" w:cs="Times New Roman"/>
                      <w:b w:val="0"/>
                      <w:bCs/>
                      <w:color w:val="auto"/>
                      <w:spacing w:val="-4"/>
                      <w:kern w:val="0"/>
                      <w:sz w:val="21"/>
                      <w:szCs w:val="22"/>
                      <w:u w:val="none"/>
                      <w:lang w:val="en-US" w:eastAsia="zh-CN" w:bidi="ar-SA"/>
                    </w:rPr>
                  </w:pPr>
                  <w:r>
                    <w:rPr>
                      <w:rFonts w:hint="eastAsia" w:ascii="Times New Roman" w:hAnsi="Calibri" w:eastAsia="Times New Roman" w:cs="Times New Roman"/>
                      <w:b w:val="0"/>
                      <w:bCs/>
                      <w:color w:val="auto"/>
                      <w:spacing w:val="-4"/>
                      <w:kern w:val="0"/>
                      <w:sz w:val="21"/>
                      <w:szCs w:val="22"/>
                      <w:u w:val="none"/>
                      <w:lang w:val="en-US" w:eastAsia="zh-CN" w:bidi="ar-SA"/>
                    </w:rPr>
                    <w:t>767</w:t>
                  </w:r>
                </w:p>
              </w:tc>
              <w:tc>
                <w:tcPr>
                  <w:tcW w:w="1585" w:type="dxa"/>
                  <w:tcBorders>
                    <w:top w:val="single" w:color="000000" w:sz="6" w:space="0"/>
                    <w:left w:val="single" w:color="000000" w:sz="6" w:space="0"/>
                    <w:bottom w:val="single" w:color="000000" w:sz="6" w:space="0"/>
                    <w:right w:val="single" w:color="000000" w:sz="6" w:space="0"/>
                  </w:tcBorders>
                  <w:vAlign w:val="center"/>
                </w:tcPr>
                <w:p w14:paraId="0D70A80A">
                  <w:pPr>
                    <w:pStyle w:val="23"/>
                    <w:keepNext w:val="0"/>
                    <w:keepLines w:val="0"/>
                    <w:widowControl/>
                    <w:suppressLineNumbers w:val="0"/>
                    <w:adjustRightInd w:val="0"/>
                    <w:snapToGrid w:val="0"/>
                    <w:spacing w:line="240" w:lineRule="auto"/>
                    <w:ind w:left="0" w:leftChars="0" w:firstLine="0" w:firstLineChars="0"/>
                    <w:jc w:val="center"/>
                    <w:rPr>
                      <w:rFonts w:hint="default" w:ascii="Times New Roman" w:hAnsi="Calibri" w:eastAsia="Times New Roman" w:cs="Times New Roman"/>
                      <w:b w:val="0"/>
                      <w:bCs/>
                      <w:color w:val="auto"/>
                      <w:spacing w:val="-4"/>
                      <w:kern w:val="0"/>
                      <w:sz w:val="21"/>
                      <w:szCs w:val="22"/>
                      <w:u w:val="none"/>
                      <w:lang w:val="en-US" w:eastAsia="zh-CN" w:bidi="ar-SA"/>
                    </w:rPr>
                  </w:pPr>
                  <w:r>
                    <w:rPr>
                      <w:rFonts w:hint="eastAsia" w:ascii="Times New Roman" w:hAnsi="Calibri" w:eastAsia="Times New Roman" w:cs="Times New Roman"/>
                      <w:b w:val="0"/>
                      <w:bCs/>
                      <w:color w:val="auto"/>
                      <w:spacing w:val="-4"/>
                      <w:kern w:val="0"/>
                      <w:sz w:val="21"/>
                      <w:szCs w:val="22"/>
                      <w:u w:val="none"/>
                      <w:lang w:val="en-US" w:eastAsia="zh-CN" w:bidi="ar-SA"/>
                    </w:rPr>
                    <w:t>115</w:t>
                  </w:r>
                </w:p>
              </w:tc>
            </w:tr>
            <w:tr w14:paraId="2EE5BB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509" w:type="dxa"/>
                  <w:tcBorders>
                    <w:top w:val="single" w:color="000000" w:sz="6" w:space="0"/>
                    <w:bottom w:val="single" w:color="000000" w:sz="6" w:space="0"/>
                    <w:right w:val="single" w:color="000000" w:sz="6" w:space="0"/>
                  </w:tcBorders>
                  <w:vAlign w:val="center"/>
                </w:tcPr>
                <w:p w14:paraId="53E6EE3A">
                  <w:pPr>
                    <w:keepNext w:val="0"/>
                    <w:keepLines w:val="0"/>
                    <w:widowControl/>
                    <w:suppressLineNumbers w:val="0"/>
                    <w:adjustRightInd w:val="0"/>
                    <w:snapToGrid w:val="0"/>
                    <w:spacing w:line="240" w:lineRule="auto"/>
                    <w:ind w:left="0" w:leftChars="0" w:firstLine="0" w:firstLineChars="0"/>
                    <w:jc w:val="center"/>
                    <w:rPr>
                      <w:rFonts w:hint="default" w:ascii="Times New Roman" w:hAnsi="Calibri" w:eastAsia="Times New Roman" w:cs="Times New Roman"/>
                      <w:b w:val="0"/>
                      <w:bCs/>
                      <w:color w:val="auto"/>
                      <w:spacing w:val="-4"/>
                      <w:kern w:val="0"/>
                      <w:sz w:val="21"/>
                      <w:szCs w:val="22"/>
                      <w:u w:val="none"/>
                      <w:lang w:val="en-US" w:eastAsia="zh-CN" w:bidi="ar-SA"/>
                    </w:rPr>
                  </w:pPr>
                  <w:r>
                    <w:rPr>
                      <w:rFonts w:hint="eastAsia" w:ascii="Times New Roman" w:hAnsi="Calibri" w:eastAsia="Times New Roman" w:cs="Times New Roman"/>
                      <w:b w:val="0"/>
                      <w:bCs/>
                      <w:color w:val="auto"/>
                      <w:spacing w:val="-4"/>
                      <w:kern w:val="0"/>
                      <w:sz w:val="21"/>
                      <w:szCs w:val="22"/>
                      <w:u w:val="none"/>
                      <w:lang w:val="en-US" w:eastAsia="zh-CN" w:bidi="ar-SA"/>
                    </w:rPr>
                    <w:t>TPS</w:t>
                  </w:r>
                  <w:r>
                    <w:rPr>
                      <w:rFonts w:hint="eastAsia" w:hAnsi="Calibri" w:eastAsia="Times New Roman" w:cs="Times New Roman"/>
                      <w:b w:val="0"/>
                      <w:bCs/>
                      <w:color w:val="auto"/>
                      <w:spacing w:val="-4"/>
                      <w:kern w:val="0"/>
                      <w:sz w:val="21"/>
                      <w:szCs w:val="22"/>
                      <w:u w:val="none"/>
                      <w:lang w:val="en-US" w:eastAsia="zh-CN" w:bidi="ar-SA"/>
                    </w:rPr>
                    <w:t>2</w:t>
                  </w:r>
                </w:p>
              </w:tc>
              <w:tc>
                <w:tcPr>
                  <w:tcW w:w="1582" w:type="dxa"/>
                  <w:tcBorders>
                    <w:top w:val="single" w:color="000000" w:sz="6" w:space="0"/>
                    <w:left w:val="single" w:color="000000" w:sz="6" w:space="0"/>
                    <w:bottom w:val="single" w:color="000000" w:sz="6" w:space="0"/>
                    <w:right w:val="single" w:color="000000" w:sz="6" w:space="0"/>
                  </w:tcBorders>
                  <w:vAlign w:val="center"/>
                </w:tcPr>
                <w:p w14:paraId="44010D68">
                  <w:pPr>
                    <w:pStyle w:val="23"/>
                    <w:keepNext w:val="0"/>
                    <w:keepLines w:val="0"/>
                    <w:widowControl/>
                    <w:suppressLineNumbers w:val="0"/>
                    <w:adjustRightInd w:val="0"/>
                    <w:snapToGrid w:val="0"/>
                    <w:spacing w:line="240" w:lineRule="auto"/>
                    <w:ind w:left="0" w:leftChars="0" w:firstLine="0" w:firstLineChars="0"/>
                    <w:jc w:val="center"/>
                    <w:rPr>
                      <w:rFonts w:hint="default" w:ascii="Times New Roman" w:hAnsi="Calibri" w:eastAsia="Times New Roman" w:cs="Times New Roman"/>
                      <w:b w:val="0"/>
                      <w:bCs/>
                      <w:color w:val="auto"/>
                      <w:spacing w:val="-4"/>
                      <w:kern w:val="0"/>
                      <w:sz w:val="21"/>
                      <w:szCs w:val="22"/>
                      <w:u w:val="none"/>
                      <w:lang w:val="en-US" w:eastAsia="zh-CN" w:bidi="ar-SA"/>
                    </w:rPr>
                  </w:pPr>
                  <w:r>
                    <w:rPr>
                      <w:rFonts w:hint="eastAsia" w:ascii="Times New Roman" w:hAnsi="Calibri" w:eastAsia="Times New Roman" w:cs="Times New Roman"/>
                      <w:b w:val="0"/>
                      <w:bCs/>
                      <w:color w:val="auto"/>
                      <w:spacing w:val="-4"/>
                      <w:kern w:val="0"/>
                      <w:sz w:val="21"/>
                      <w:szCs w:val="22"/>
                      <w:u w:val="none"/>
                      <w:lang w:val="en-US" w:eastAsia="zh-CN" w:bidi="ar-SA"/>
                    </w:rPr>
                    <w:t>37370868</w:t>
                  </w:r>
                </w:p>
              </w:tc>
              <w:tc>
                <w:tcPr>
                  <w:tcW w:w="1582" w:type="dxa"/>
                  <w:tcBorders>
                    <w:top w:val="single" w:color="000000" w:sz="6" w:space="0"/>
                    <w:left w:val="single" w:color="000000" w:sz="6" w:space="0"/>
                    <w:bottom w:val="single" w:color="000000" w:sz="6" w:space="0"/>
                    <w:right w:val="single" w:color="000000" w:sz="6" w:space="0"/>
                  </w:tcBorders>
                  <w:vAlign w:val="center"/>
                </w:tcPr>
                <w:p w14:paraId="5E7D338C">
                  <w:pPr>
                    <w:pStyle w:val="23"/>
                    <w:keepNext w:val="0"/>
                    <w:keepLines w:val="0"/>
                    <w:widowControl/>
                    <w:suppressLineNumbers w:val="0"/>
                    <w:adjustRightInd w:val="0"/>
                    <w:snapToGrid w:val="0"/>
                    <w:spacing w:line="240" w:lineRule="auto"/>
                    <w:ind w:left="0" w:leftChars="0" w:firstLine="0" w:firstLineChars="0"/>
                    <w:jc w:val="center"/>
                    <w:rPr>
                      <w:rFonts w:hint="default" w:ascii="Times New Roman" w:hAnsi="Calibri" w:eastAsia="Times New Roman" w:cs="Times New Roman"/>
                      <w:b w:val="0"/>
                      <w:bCs/>
                      <w:color w:val="auto"/>
                      <w:spacing w:val="-4"/>
                      <w:kern w:val="0"/>
                      <w:sz w:val="21"/>
                      <w:szCs w:val="22"/>
                      <w:u w:val="none"/>
                      <w:lang w:val="en-US" w:eastAsia="zh-CN" w:bidi="ar-SA"/>
                    </w:rPr>
                  </w:pPr>
                  <w:r>
                    <w:rPr>
                      <w:rFonts w:hint="eastAsia" w:ascii="Times New Roman" w:hAnsi="Calibri" w:eastAsia="Times New Roman" w:cs="Times New Roman"/>
                      <w:b w:val="0"/>
                      <w:bCs/>
                      <w:color w:val="auto"/>
                      <w:spacing w:val="-4"/>
                      <w:kern w:val="0"/>
                      <w:sz w:val="21"/>
                      <w:szCs w:val="22"/>
                      <w:u w:val="none"/>
                      <w:lang w:val="en-US" w:eastAsia="zh-CN" w:bidi="ar-SA"/>
                    </w:rPr>
                    <w:t>2896136</w:t>
                  </w:r>
                </w:p>
              </w:tc>
              <w:tc>
                <w:tcPr>
                  <w:tcW w:w="1582" w:type="dxa"/>
                  <w:tcBorders>
                    <w:top w:val="single" w:color="000000" w:sz="6" w:space="0"/>
                    <w:left w:val="single" w:color="000000" w:sz="6" w:space="0"/>
                    <w:bottom w:val="single" w:color="000000" w:sz="6" w:space="0"/>
                    <w:right w:val="single" w:color="000000" w:sz="6" w:space="0"/>
                  </w:tcBorders>
                  <w:vAlign w:val="center"/>
                </w:tcPr>
                <w:p w14:paraId="116BCB3B">
                  <w:pPr>
                    <w:pStyle w:val="23"/>
                    <w:keepNext w:val="0"/>
                    <w:keepLines w:val="0"/>
                    <w:widowControl/>
                    <w:suppressLineNumbers w:val="0"/>
                    <w:adjustRightInd w:val="0"/>
                    <w:snapToGrid w:val="0"/>
                    <w:spacing w:line="240" w:lineRule="auto"/>
                    <w:ind w:left="0" w:leftChars="0" w:firstLine="0" w:firstLineChars="0"/>
                    <w:jc w:val="center"/>
                    <w:rPr>
                      <w:rFonts w:hint="default" w:ascii="Times New Roman" w:hAnsi="Calibri" w:eastAsia="Times New Roman" w:cs="Times New Roman"/>
                      <w:b w:val="0"/>
                      <w:bCs/>
                      <w:color w:val="auto"/>
                      <w:spacing w:val="-4"/>
                      <w:kern w:val="0"/>
                      <w:sz w:val="21"/>
                      <w:szCs w:val="22"/>
                      <w:u w:val="none"/>
                      <w:lang w:val="en-US" w:eastAsia="zh-CN" w:bidi="ar-SA"/>
                    </w:rPr>
                  </w:pPr>
                  <w:r>
                    <w:rPr>
                      <w:rFonts w:hint="eastAsia" w:ascii="Times New Roman" w:hAnsi="Calibri" w:eastAsia="Times New Roman" w:cs="Times New Roman"/>
                      <w:b w:val="0"/>
                      <w:bCs/>
                      <w:color w:val="auto"/>
                      <w:spacing w:val="-4"/>
                      <w:kern w:val="0"/>
                      <w:sz w:val="21"/>
                      <w:szCs w:val="22"/>
                      <w:u w:val="none"/>
                      <w:lang w:val="en-US" w:eastAsia="zh-CN" w:bidi="ar-SA"/>
                    </w:rPr>
                    <w:t>956.8</w:t>
                  </w:r>
                </w:p>
              </w:tc>
              <w:tc>
                <w:tcPr>
                  <w:tcW w:w="1585" w:type="dxa"/>
                  <w:tcBorders>
                    <w:top w:val="single" w:color="000000" w:sz="6" w:space="0"/>
                    <w:left w:val="single" w:color="000000" w:sz="6" w:space="0"/>
                    <w:bottom w:val="single" w:color="000000" w:sz="6" w:space="0"/>
                    <w:right w:val="single" w:color="000000" w:sz="6" w:space="0"/>
                  </w:tcBorders>
                  <w:vAlign w:val="center"/>
                </w:tcPr>
                <w:p w14:paraId="3B78DF0D">
                  <w:pPr>
                    <w:keepNext w:val="0"/>
                    <w:keepLines w:val="0"/>
                    <w:widowControl/>
                    <w:suppressLineNumbers w:val="0"/>
                    <w:adjustRightInd w:val="0"/>
                    <w:snapToGrid w:val="0"/>
                    <w:spacing w:line="240" w:lineRule="auto"/>
                    <w:ind w:left="0" w:leftChars="0" w:firstLine="0" w:firstLineChars="0"/>
                    <w:jc w:val="center"/>
                    <w:rPr>
                      <w:rFonts w:hint="default" w:ascii="Times New Roman" w:hAnsi="Calibri" w:eastAsia="Times New Roman" w:cs="Times New Roman"/>
                      <w:b w:val="0"/>
                      <w:bCs/>
                      <w:color w:val="auto"/>
                      <w:spacing w:val="-4"/>
                      <w:kern w:val="0"/>
                      <w:sz w:val="21"/>
                      <w:szCs w:val="22"/>
                      <w:u w:val="none"/>
                      <w:lang w:val="en-US" w:eastAsia="zh-CN" w:bidi="ar-SA"/>
                    </w:rPr>
                  </w:pPr>
                  <w:r>
                    <w:rPr>
                      <w:rFonts w:hint="eastAsia" w:ascii="Times New Roman" w:hAnsi="Calibri" w:eastAsia="Times New Roman" w:cs="Times New Roman"/>
                      <w:b w:val="0"/>
                      <w:bCs/>
                      <w:color w:val="auto"/>
                      <w:spacing w:val="-4"/>
                      <w:kern w:val="0"/>
                      <w:sz w:val="21"/>
                      <w:szCs w:val="22"/>
                      <w:u w:val="none"/>
                      <w:lang w:val="en-US" w:eastAsia="zh-CN" w:bidi="ar-SA"/>
                    </w:rPr>
                    <w:t>115</w:t>
                  </w:r>
                </w:p>
              </w:tc>
            </w:tr>
            <w:tr w14:paraId="02D5E6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jc w:val="center"/>
              </w:trPr>
              <w:tc>
                <w:tcPr>
                  <w:tcW w:w="1509" w:type="dxa"/>
                  <w:tcBorders>
                    <w:top w:val="single" w:color="000000" w:sz="6" w:space="0"/>
                    <w:bottom w:val="single" w:color="000000" w:sz="6" w:space="0"/>
                    <w:right w:val="single" w:color="000000" w:sz="6" w:space="0"/>
                  </w:tcBorders>
                  <w:vAlign w:val="center"/>
                </w:tcPr>
                <w:p w14:paraId="042B5C49">
                  <w:pPr>
                    <w:keepNext w:val="0"/>
                    <w:keepLines w:val="0"/>
                    <w:widowControl/>
                    <w:suppressLineNumbers w:val="0"/>
                    <w:adjustRightInd w:val="0"/>
                    <w:snapToGrid w:val="0"/>
                    <w:spacing w:line="240" w:lineRule="auto"/>
                    <w:ind w:left="0" w:leftChars="0" w:firstLine="0" w:firstLineChars="0"/>
                    <w:jc w:val="center"/>
                    <w:rPr>
                      <w:rFonts w:hint="default" w:ascii="Times New Roman" w:hAnsi="Calibri" w:eastAsia="Times New Roman" w:cs="Times New Roman"/>
                      <w:b w:val="0"/>
                      <w:bCs/>
                      <w:color w:val="auto"/>
                      <w:spacing w:val="-4"/>
                      <w:kern w:val="0"/>
                      <w:sz w:val="21"/>
                      <w:szCs w:val="22"/>
                      <w:u w:val="none"/>
                      <w:lang w:val="en-US" w:eastAsia="zh-CN" w:bidi="ar-SA"/>
                    </w:rPr>
                  </w:pPr>
                  <w:r>
                    <w:rPr>
                      <w:rFonts w:hint="eastAsia" w:ascii="Times New Roman" w:hAnsi="Calibri" w:eastAsia="Times New Roman" w:cs="Times New Roman"/>
                      <w:b w:val="0"/>
                      <w:bCs/>
                      <w:color w:val="auto"/>
                      <w:spacing w:val="-4"/>
                      <w:kern w:val="0"/>
                      <w:sz w:val="21"/>
                      <w:szCs w:val="22"/>
                      <w:u w:val="none"/>
                      <w:lang w:val="en-US" w:eastAsia="zh-CN" w:bidi="ar-SA"/>
                    </w:rPr>
                    <w:t>TPS</w:t>
                  </w:r>
                  <w:r>
                    <w:rPr>
                      <w:rFonts w:hint="eastAsia" w:hAnsi="Calibri" w:eastAsia="Times New Roman" w:cs="Times New Roman"/>
                      <w:b w:val="0"/>
                      <w:bCs/>
                      <w:color w:val="auto"/>
                      <w:spacing w:val="-4"/>
                      <w:kern w:val="0"/>
                      <w:sz w:val="21"/>
                      <w:szCs w:val="22"/>
                      <w:u w:val="none"/>
                      <w:lang w:val="en-US" w:eastAsia="zh-CN" w:bidi="ar-SA"/>
                    </w:rPr>
                    <w:t>3</w:t>
                  </w:r>
                </w:p>
              </w:tc>
              <w:tc>
                <w:tcPr>
                  <w:tcW w:w="1582" w:type="dxa"/>
                  <w:tcBorders>
                    <w:top w:val="single" w:color="000000" w:sz="6" w:space="0"/>
                    <w:left w:val="single" w:color="000000" w:sz="6" w:space="0"/>
                    <w:bottom w:val="single" w:color="000000" w:sz="6" w:space="0"/>
                    <w:right w:val="single" w:color="000000" w:sz="6" w:space="0"/>
                  </w:tcBorders>
                  <w:vAlign w:val="center"/>
                </w:tcPr>
                <w:p w14:paraId="738A1EA0">
                  <w:pPr>
                    <w:pStyle w:val="23"/>
                    <w:keepNext w:val="0"/>
                    <w:keepLines w:val="0"/>
                    <w:widowControl/>
                    <w:suppressLineNumbers w:val="0"/>
                    <w:adjustRightInd w:val="0"/>
                    <w:snapToGrid w:val="0"/>
                    <w:spacing w:line="240" w:lineRule="auto"/>
                    <w:ind w:left="0" w:leftChars="0" w:firstLine="0" w:firstLineChars="0"/>
                    <w:jc w:val="center"/>
                    <w:rPr>
                      <w:rFonts w:hint="default" w:ascii="Times New Roman" w:hAnsi="Calibri" w:eastAsia="Times New Roman" w:cs="Times New Roman"/>
                      <w:b w:val="0"/>
                      <w:bCs/>
                      <w:color w:val="auto"/>
                      <w:spacing w:val="-4"/>
                      <w:kern w:val="0"/>
                      <w:sz w:val="21"/>
                      <w:szCs w:val="22"/>
                      <w:u w:val="none"/>
                      <w:lang w:val="en-US" w:eastAsia="zh-CN" w:bidi="ar-SA"/>
                    </w:rPr>
                  </w:pPr>
                  <w:r>
                    <w:rPr>
                      <w:rFonts w:hint="eastAsia" w:ascii="Times New Roman" w:hAnsi="Calibri" w:eastAsia="Times New Roman" w:cs="Times New Roman"/>
                      <w:b w:val="0"/>
                      <w:bCs/>
                      <w:color w:val="auto"/>
                      <w:spacing w:val="-4"/>
                      <w:kern w:val="0"/>
                      <w:sz w:val="21"/>
                      <w:szCs w:val="22"/>
                      <w:u w:val="none"/>
                      <w:lang w:val="en-US" w:eastAsia="zh-CN" w:bidi="ar-SA"/>
                    </w:rPr>
                    <w:t>37370369</w:t>
                  </w:r>
                </w:p>
              </w:tc>
              <w:tc>
                <w:tcPr>
                  <w:tcW w:w="1582" w:type="dxa"/>
                  <w:tcBorders>
                    <w:top w:val="single" w:color="000000" w:sz="6" w:space="0"/>
                    <w:left w:val="single" w:color="000000" w:sz="6" w:space="0"/>
                    <w:bottom w:val="single" w:color="000000" w:sz="6" w:space="0"/>
                    <w:right w:val="single" w:color="000000" w:sz="6" w:space="0"/>
                  </w:tcBorders>
                  <w:vAlign w:val="center"/>
                </w:tcPr>
                <w:p w14:paraId="60159ABE">
                  <w:pPr>
                    <w:pStyle w:val="23"/>
                    <w:keepNext w:val="0"/>
                    <w:keepLines w:val="0"/>
                    <w:widowControl/>
                    <w:suppressLineNumbers w:val="0"/>
                    <w:adjustRightInd w:val="0"/>
                    <w:snapToGrid w:val="0"/>
                    <w:spacing w:line="240" w:lineRule="auto"/>
                    <w:ind w:left="0" w:leftChars="0" w:firstLine="0" w:firstLineChars="0"/>
                    <w:jc w:val="center"/>
                    <w:rPr>
                      <w:rFonts w:hint="default" w:ascii="Times New Roman" w:hAnsi="Calibri" w:eastAsia="Times New Roman" w:cs="Times New Roman"/>
                      <w:b w:val="0"/>
                      <w:bCs/>
                      <w:color w:val="auto"/>
                      <w:spacing w:val="-4"/>
                      <w:kern w:val="0"/>
                      <w:sz w:val="21"/>
                      <w:szCs w:val="22"/>
                      <w:u w:val="none"/>
                      <w:lang w:val="en-US" w:eastAsia="zh-CN" w:bidi="ar-SA"/>
                    </w:rPr>
                  </w:pPr>
                  <w:r>
                    <w:rPr>
                      <w:rFonts w:hint="eastAsia" w:ascii="Times New Roman" w:hAnsi="Calibri" w:eastAsia="Times New Roman" w:cs="Times New Roman"/>
                      <w:b w:val="0"/>
                      <w:bCs/>
                      <w:color w:val="auto"/>
                      <w:spacing w:val="-4"/>
                      <w:kern w:val="0"/>
                      <w:sz w:val="21"/>
                      <w:szCs w:val="22"/>
                      <w:u w:val="none"/>
                      <w:lang w:val="en-US" w:eastAsia="zh-CN" w:bidi="ar-SA"/>
                    </w:rPr>
                    <w:t>2895484</w:t>
                  </w:r>
                </w:p>
              </w:tc>
              <w:tc>
                <w:tcPr>
                  <w:tcW w:w="1582" w:type="dxa"/>
                  <w:tcBorders>
                    <w:top w:val="single" w:color="000000" w:sz="6" w:space="0"/>
                    <w:left w:val="single" w:color="000000" w:sz="6" w:space="0"/>
                    <w:bottom w:val="single" w:color="000000" w:sz="6" w:space="0"/>
                    <w:right w:val="single" w:color="000000" w:sz="6" w:space="0"/>
                  </w:tcBorders>
                  <w:vAlign w:val="center"/>
                </w:tcPr>
                <w:p w14:paraId="3E38016C">
                  <w:pPr>
                    <w:pStyle w:val="23"/>
                    <w:keepNext w:val="0"/>
                    <w:keepLines w:val="0"/>
                    <w:widowControl/>
                    <w:suppressLineNumbers w:val="0"/>
                    <w:adjustRightInd w:val="0"/>
                    <w:snapToGrid w:val="0"/>
                    <w:spacing w:line="240" w:lineRule="auto"/>
                    <w:ind w:left="0" w:leftChars="0" w:firstLine="0" w:firstLineChars="0"/>
                    <w:jc w:val="center"/>
                    <w:rPr>
                      <w:rFonts w:hint="default" w:ascii="Times New Roman" w:hAnsi="Calibri" w:eastAsia="Times New Roman" w:cs="Times New Roman"/>
                      <w:b w:val="0"/>
                      <w:bCs/>
                      <w:color w:val="auto"/>
                      <w:spacing w:val="-4"/>
                      <w:kern w:val="0"/>
                      <w:sz w:val="21"/>
                      <w:szCs w:val="22"/>
                      <w:u w:val="none"/>
                      <w:lang w:val="en-US" w:eastAsia="zh-CN" w:bidi="ar-SA"/>
                    </w:rPr>
                  </w:pPr>
                  <w:r>
                    <w:rPr>
                      <w:rFonts w:hint="eastAsia" w:ascii="Times New Roman" w:hAnsi="Calibri" w:eastAsia="Times New Roman" w:cs="Times New Roman"/>
                      <w:b w:val="0"/>
                      <w:bCs/>
                      <w:color w:val="auto"/>
                      <w:spacing w:val="-4"/>
                      <w:kern w:val="0"/>
                      <w:sz w:val="21"/>
                      <w:szCs w:val="22"/>
                      <w:u w:val="none"/>
                      <w:lang w:val="en-US" w:eastAsia="zh-CN" w:bidi="ar-SA"/>
                    </w:rPr>
                    <w:t>949.6</w:t>
                  </w:r>
                </w:p>
              </w:tc>
              <w:tc>
                <w:tcPr>
                  <w:tcW w:w="1585" w:type="dxa"/>
                  <w:tcBorders>
                    <w:top w:val="single" w:color="000000" w:sz="6" w:space="0"/>
                    <w:left w:val="single" w:color="000000" w:sz="6" w:space="0"/>
                    <w:bottom w:val="single" w:color="000000" w:sz="6" w:space="0"/>
                    <w:right w:val="single" w:color="000000" w:sz="6" w:space="0"/>
                  </w:tcBorders>
                  <w:vAlign w:val="center"/>
                </w:tcPr>
                <w:p w14:paraId="6A3D3962">
                  <w:pPr>
                    <w:keepNext w:val="0"/>
                    <w:keepLines w:val="0"/>
                    <w:widowControl/>
                    <w:suppressLineNumbers w:val="0"/>
                    <w:adjustRightInd w:val="0"/>
                    <w:snapToGrid w:val="0"/>
                    <w:spacing w:line="240" w:lineRule="auto"/>
                    <w:ind w:left="0" w:leftChars="0" w:firstLine="0" w:firstLineChars="0"/>
                    <w:jc w:val="center"/>
                    <w:rPr>
                      <w:rFonts w:hint="default" w:ascii="Times New Roman" w:hAnsi="Calibri" w:eastAsia="Times New Roman" w:cs="Times New Roman"/>
                      <w:b w:val="0"/>
                      <w:bCs/>
                      <w:color w:val="auto"/>
                      <w:spacing w:val="-4"/>
                      <w:kern w:val="0"/>
                      <w:sz w:val="21"/>
                      <w:szCs w:val="22"/>
                      <w:u w:val="none"/>
                      <w:lang w:val="en-US" w:eastAsia="zh-CN" w:bidi="ar-SA"/>
                    </w:rPr>
                  </w:pPr>
                  <w:r>
                    <w:rPr>
                      <w:rFonts w:hint="eastAsia" w:ascii="Times New Roman" w:hAnsi="Calibri" w:eastAsia="Times New Roman" w:cs="Times New Roman"/>
                      <w:b w:val="0"/>
                      <w:bCs/>
                      <w:color w:val="auto"/>
                      <w:spacing w:val="-4"/>
                      <w:kern w:val="0"/>
                      <w:sz w:val="21"/>
                      <w:szCs w:val="22"/>
                      <w:u w:val="none"/>
                      <w:lang w:val="en-US" w:eastAsia="zh-CN" w:bidi="ar-SA"/>
                    </w:rPr>
                    <w:t>115</w:t>
                  </w:r>
                </w:p>
              </w:tc>
            </w:tr>
            <w:tr w14:paraId="2AB9E5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509" w:type="dxa"/>
                  <w:tcBorders>
                    <w:top w:val="single" w:color="000000" w:sz="6" w:space="0"/>
                    <w:bottom w:val="single" w:color="000000" w:sz="6" w:space="0"/>
                    <w:right w:val="single" w:color="000000" w:sz="6" w:space="0"/>
                  </w:tcBorders>
                  <w:vAlign w:val="center"/>
                </w:tcPr>
                <w:p w14:paraId="0FD4656B">
                  <w:pPr>
                    <w:keepNext w:val="0"/>
                    <w:keepLines w:val="0"/>
                    <w:widowControl/>
                    <w:suppressLineNumbers w:val="0"/>
                    <w:adjustRightInd w:val="0"/>
                    <w:snapToGrid w:val="0"/>
                    <w:spacing w:line="240" w:lineRule="auto"/>
                    <w:ind w:left="0" w:leftChars="0" w:firstLine="0" w:firstLineChars="0"/>
                    <w:jc w:val="center"/>
                    <w:rPr>
                      <w:rFonts w:hint="default" w:ascii="Times New Roman" w:hAnsi="Calibri" w:eastAsia="Times New Roman" w:cs="Times New Roman"/>
                      <w:b w:val="0"/>
                      <w:bCs/>
                      <w:color w:val="auto"/>
                      <w:spacing w:val="-4"/>
                      <w:kern w:val="0"/>
                      <w:sz w:val="21"/>
                      <w:szCs w:val="22"/>
                      <w:u w:val="none"/>
                      <w:lang w:val="en-US" w:eastAsia="zh-CN" w:bidi="ar-SA"/>
                    </w:rPr>
                  </w:pPr>
                  <w:r>
                    <w:rPr>
                      <w:rFonts w:hint="eastAsia" w:ascii="Times New Roman" w:hAnsi="Calibri" w:eastAsia="Times New Roman" w:cs="Times New Roman"/>
                      <w:b w:val="0"/>
                      <w:bCs/>
                      <w:color w:val="auto"/>
                      <w:spacing w:val="-4"/>
                      <w:kern w:val="0"/>
                      <w:sz w:val="21"/>
                      <w:szCs w:val="22"/>
                      <w:u w:val="none"/>
                      <w:lang w:val="en-US" w:eastAsia="zh-CN" w:bidi="ar-SA"/>
                    </w:rPr>
                    <w:t>TPS</w:t>
                  </w:r>
                  <w:r>
                    <w:rPr>
                      <w:rFonts w:hint="eastAsia" w:hAnsi="Calibri" w:eastAsia="Times New Roman" w:cs="Times New Roman"/>
                      <w:b w:val="0"/>
                      <w:bCs/>
                      <w:color w:val="auto"/>
                      <w:spacing w:val="-4"/>
                      <w:kern w:val="0"/>
                      <w:sz w:val="21"/>
                      <w:szCs w:val="22"/>
                      <w:u w:val="none"/>
                      <w:lang w:val="en-US" w:eastAsia="zh-CN" w:bidi="ar-SA"/>
                    </w:rPr>
                    <w:t>4</w:t>
                  </w:r>
                </w:p>
              </w:tc>
              <w:tc>
                <w:tcPr>
                  <w:tcW w:w="1582" w:type="dxa"/>
                  <w:tcBorders>
                    <w:top w:val="single" w:color="000000" w:sz="6" w:space="0"/>
                    <w:left w:val="single" w:color="000000" w:sz="6" w:space="0"/>
                    <w:bottom w:val="single" w:color="000000" w:sz="6" w:space="0"/>
                    <w:right w:val="single" w:color="000000" w:sz="6" w:space="0"/>
                  </w:tcBorders>
                  <w:vAlign w:val="center"/>
                </w:tcPr>
                <w:p w14:paraId="161A9FE1">
                  <w:pPr>
                    <w:pStyle w:val="23"/>
                    <w:keepNext w:val="0"/>
                    <w:keepLines w:val="0"/>
                    <w:widowControl/>
                    <w:suppressLineNumbers w:val="0"/>
                    <w:adjustRightInd w:val="0"/>
                    <w:snapToGrid w:val="0"/>
                    <w:spacing w:line="240" w:lineRule="auto"/>
                    <w:ind w:left="0" w:leftChars="0" w:firstLine="0" w:firstLineChars="0"/>
                    <w:jc w:val="center"/>
                    <w:rPr>
                      <w:rFonts w:hint="default" w:ascii="Times New Roman" w:hAnsi="Calibri" w:eastAsia="Times New Roman" w:cs="Times New Roman"/>
                      <w:b w:val="0"/>
                      <w:bCs/>
                      <w:color w:val="auto"/>
                      <w:spacing w:val="-4"/>
                      <w:kern w:val="0"/>
                      <w:sz w:val="21"/>
                      <w:szCs w:val="22"/>
                      <w:u w:val="none"/>
                      <w:lang w:val="en-US" w:eastAsia="zh-CN" w:bidi="ar-SA"/>
                    </w:rPr>
                  </w:pPr>
                  <w:r>
                    <w:rPr>
                      <w:rFonts w:hint="eastAsia" w:ascii="Times New Roman" w:hAnsi="Calibri" w:eastAsia="Times New Roman" w:cs="Times New Roman"/>
                      <w:b w:val="0"/>
                      <w:bCs/>
                      <w:color w:val="auto"/>
                      <w:spacing w:val="-4"/>
                      <w:kern w:val="0"/>
                      <w:sz w:val="21"/>
                      <w:szCs w:val="22"/>
                      <w:u w:val="none"/>
                      <w:lang w:val="en-US" w:eastAsia="zh-CN" w:bidi="ar-SA"/>
                    </w:rPr>
                    <w:t>37369793</w:t>
                  </w:r>
                </w:p>
              </w:tc>
              <w:tc>
                <w:tcPr>
                  <w:tcW w:w="1582" w:type="dxa"/>
                  <w:tcBorders>
                    <w:top w:val="single" w:color="000000" w:sz="6" w:space="0"/>
                    <w:left w:val="single" w:color="000000" w:sz="6" w:space="0"/>
                    <w:bottom w:val="single" w:color="000000" w:sz="6" w:space="0"/>
                    <w:right w:val="single" w:color="000000" w:sz="6" w:space="0"/>
                  </w:tcBorders>
                  <w:vAlign w:val="center"/>
                </w:tcPr>
                <w:p w14:paraId="7172FB63">
                  <w:pPr>
                    <w:pStyle w:val="23"/>
                    <w:keepNext w:val="0"/>
                    <w:keepLines w:val="0"/>
                    <w:widowControl/>
                    <w:suppressLineNumbers w:val="0"/>
                    <w:adjustRightInd w:val="0"/>
                    <w:snapToGrid w:val="0"/>
                    <w:spacing w:line="240" w:lineRule="auto"/>
                    <w:ind w:left="0" w:leftChars="0" w:firstLine="0" w:firstLineChars="0"/>
                    <w:jc w:val="center"/>
                    <w:rPr>
                      <w:rFonts w:hint="default" w:ascii="Times New Roman" w:hAnsi="Calibri" w:eastAsia="Times New Roman" w:cs="Times New Roman"/>
                      <w:b w:val="0"/>
                      <w:bCs/>
                      <w:color w:val="auto"/>
                      <w:spacing w:val="-4"/>
                      <w:kern w:val="0"/>
                      <w:sz w:val="21"/>
                      <w:szCs w:val="22"/>
                      <w:u w:val="none"/>
                      <w:lang w:val="en-US" w:eastAsia="zh-CN" w:bidi="ar-SA"/>
                    </w:rPr>
                  </w:pPr>
                  <w:r>
                    <w:rPr>
                      <w:rFonts w:hint="eastAsia" w:ascii="Times New Roman" w:hAnsi="Calibri" w:eastAsia="Times New Roman" w:cs="Times New Roman"/>
                      <w:b w:val="0"/>
                      <w:bCs/>
                      <w:color w:val="auto"/>
                      <w:spacing w:val="-4"/>
                      <w:kern w:val="0"/>
                      <w:sz w:val="21"/>
                      <w:szCs w:val="22"/>
                      <w:u w:val="none"/>
                      <w:lang w:val="en-US" w:eastAsia="zh-CN" w:bidi="ar-SA"/>
                    </w:rPr>
                    <w:t>2895020</w:t>
                  </w:r>
                </w:p>
              </w:tc>
              <w:tc>
                <w:tcPr>
                  <w:tcW w:w="1582" w:type="dxa"/>
                  <w:tcBorders>
                    <w:top w:val="single" w:color="000000" w:sz="6" w:space="0"/>
                    <w:left w:val="single" w:color="000000" w:sz="6" w:space="0"/>
                    <w:bottom w:val="single" w:color="000000" w:sz="6" w:space="0"/>
                    <w:right w:val="single" w:color="000000" w:sz="6" w:space="0"/>
                  </w:tcBorders>
                  <w:vAlign w:val="center"/>
                </w:tcPr>
                <w:p w14:paraId="1132E5A6">
                  <w:pPr>
                    <w:pStyle w:val="23"/>
                    <w:keepNext w:val="0"/>
                    <w:keepLines w:val="0"/>
                    <w:widowControl/>
                    <w:suppressLineNumbers w:val="0"/>
                    <w:adjustRightInd w:val="0"/>
                    <w:snapToGrid w:val="0"/>
                    <w:spacing w:line="240" w:lineRule="auto"/>
                    <w:ind w:left="0" w:leftChars="0" w:firstLine="0" w:firstLineChars="0"/>
                    <w:jc w:val="center"/>
                    <w:rPr>
                      <w:rFonts w:hint="default" w:ascii="Times New Roman" w:hAnsi="Calibri" w:eastAsia="Times New Roman" w:cs="Times New Roman"/>
                      <w:b w:val="0"/>
                      <w:bCs/>
                      <w:color w:val="auto"/>
                      <w:spacing w:val="-4"/>
                      <w:kern w:val="0"/>
                      <w:sz w:val="21"/>
                      <w:szCs w:val="22"/>
                      <w:u w:val="none"/>
                      <w:lang w:val="en-US" w:eastAsia="zh-CN" w:bidi="ar-SA"/>
                    </w:rPr>
                  </w:pPr>
                  <w:r>
                    <w:rPr>
                      <w:rFonts w:hint="eastAsia" w:ascii="Times New Roman" w:hAnsi="Calibri" w:eastAsia="Times New Roman" w:cs="Times New Roman"/>
                      <w:b w:val="0"/>
                      <w:bCs/>
                      <w:color w:val="auto"/>
                      <w:spacing w:val="-4"/>
                      <w:kern w:val="0"/>
                      <w:sz w:val="21"/>
                      <w:szCs w:val="22"/>
                      <w:u w:val="none"/>
                      <w:lang w:val="en-US" w:eastAsia="zh-CN" w:bidi="ar-SA"/>
                    </w:rPr>
                    <w:t>1065.5</w:t>
                  </w:r>
                </w:p>
              </w:tc>
              <w:tc>
                <w:tcPr>
                  <w:tcW w:w="1585" w:type="dxa"/>
                  <w:tcBorders>
                    <w:top w:val="single" w:color="000000" w:sz="6" w:space="0"/>
                    <w:left w:val="single" w:color="000000" w:sz="6" w:space="0"/>
                    <w:bottom w:val="single" w:color="000000" w:sz="6" w:space="0"/>
                    <w:right w:val="single" w:color="000000" w:sz="6" w:space="0"/>
                  </w:tcBorders>
                  <w:vAlign w:val="center"/>
                </w:tcPr>
                <w:p w14:paraId="7F86D075">
                  <w:pPr>
                    <w:keepNext w:val="0"/>
                    <w:keepLines w:val="0"/>
                    <w:widowControl/>
                    <w:suppressLineNumbers w:val="0"/>
                    <w:adjustRightInd w:val="0"/>
                    <w:snapToGrid w:val="0"/>
                    <w:spacing w:line="240" w:lineRule="auto"/>
                    <w:ind w:left="0" w:leftChars="0" w:firstLine="0" w:firstLineChars="0"/>
                    <w:jc w:val="center"/>
                    <w:rPr>
                      <w:rFonts w:hint="default" w:ascii="Times New Roman" w:hAnsi="Calibri" w:eastAsia="Times New Roman" w:cs="Times New Roman"/>
                      <w:b w:val="0"/>
                      <w:bCs/>
                      <w:color w:val="auto"/>
                      <w:spacing w:val="-4"/>
                      <w:kern w:val="0"/>
                      <w:sz w:val="21"/>
                      <w:szCs w:val="22"/>
                      <w:u w:val="none"/>
                      <w:lang w:val="en-US" w:eastAsia="zh-CN" w:bidi="ar-SA"/>
                    </w:rPr>
                  </w:pPr>
                  <w:r>
                    <w:rPr>
                      <w:rFonts w:hint="eastAsia" w:ascii="Times New Roman" w:hAnsi="Calibri" w:eastAsia="Times New Roman" w:cs="Times New Roman"/>
                      <w:b w:val="0"/>
                      <w:bCs/>
                      <w:color w:val="auto"/>
                      <w:spacing w:val="-4"/>
                      <w:kern w:val="0"/>
                      <w:sz w:val="21"/>
                      <w:szCs w:val="22"/>
                      <w:u w:val="none"/>
                      <w:lang w:val="en-US" w:eastAsia="zh-CN" w:bidi="ar-SA"/>
                    </w:rPr>
                    <w:t>115</w:t>
                  </w:r>
                </w:p>
              </w:tc>
            </w:tr>
            <w:tr w14:paraId="35E789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509" w:type="dxa"/>
                  <w:tcBorders>
                    <w:top w:val="single" w:color="000000" w:sz="6" w:space="0"/>
                    <w:bottom w:val="single" w:color="000000" w:sz="6" w:space="0"/>
                    <w:right w:val="single" w:color="000000" w:sz="6" w:space="0"/>
                  </w:tcBorders>
                  <w:vAlign w:val="center"/>
                </w:tcPr>
                <w:p w14:paraId="27626DA0">
                  <w:pPr>
                    <w:keepNext w:val="0"/>
                    <w:keepLines w:val="0"/>
                    <w:widowControl/>
                    <w:suppressLineNumbers w:val="0"/>
                    <w:adjustRightInd w:val="0"/>
                    <w:snapToGrid w:val="0"/>
                    <w:spacing w:line="240" w:lineRule="auto"/>
                    <w:ind w:left="0" w:leftChars="0" w:firstLine="0" w:firstLineChars="0"/>
                    <w:jc w:val="center"/>
                    <w:rPr>
                      <w:rFonts w:hint="default" w:ascii="Times New Roman" w:hAnsi="Calibri" w:eastAsia="Times New Roman" w:cs="Times New Roman"/>
                      <w:b w:val="0"/>
                      <w:bCs/>
                      <w:color w:val="auto"/>
                      <w:spacing w:val="-4"/>
                      <w:kern w:val="0"/>
                      <w:sz w:val="21"/>
                      <w:szCs w:val="22"/>
                      <w:u w:val="none"/>
                      <w:lang w:val="en-US" w:eastAsia="zh-CN" w:bidi="ar-SA"/>
                    </w:rPr>
                  </w:pPr>
                  <w:r>
                    <w:rPr>
                      <w:rFonts w:hint="eastAsia" w:ascii="Times New Roman" w:hAnsi="Calibri" w:eastAsia="Times New Roman" w:cs="Times New Roman"/>
                      <w:b w:val="0"/>
                      <w:bCs/>
                      <w:color w:val="auto"/>
                      <w:spacing w:val="-4"/>
                      <w:kern w:val="0"/>
                      <w:sz w:val="21"/>
                      <w:szCs w:val="22"/>
                      <w:u w:val="none"/>
                      <w:lang w:val="en-US" w:eastAsia="zh-CN" w:bidi="ar-SA"/>
                    </w:rPr>
                    <w:t>TPS</w:t>
                  </w:r>
                  <w:r>
                    <w:rPr>
                      <w:rFonts w:hint="eastAsia" w:hAnsi="Calibri" w:eastAsia="Times New Roman" w:cs="Times New Roman"/>
                      <w:b w:val="0"/>
                      <w:bCs/>
                      <w:color w:val="auto"/>
                      <w:spacing w:val="-4"/>
                      <w:kern w:val="0"/>
                      <w:sz w:val="21"/>
                      <w:szCs w:val="22"/>
                      <w:u w:val="none"/>
                      <w:lang w:val="en-US" w:eastAsia="zh-CN" w:bidi="ar-SA"/>
                    </w:rPr>
                    <w:t>5</w:t>
                  </w:r>
                </w:p>
              </w:tc>
              <w:tc>
                <w:tcPr>
                  <w:tcW w:w="1582" w:type="dxa"/>
                  <w:tcBorders>
                    <w:top w:val="single" w:color="000000" w:sz="6" w:space="0"/>
                    <w:left w:val="single" w:color="000000" w:sz="6" w:space="0"/>
                    <w:bottom w:val="single" w:color="000000" w:sz="6" w:space="0"/>
                    <w:right w:val="single" w:color="000000" w:sz="6" w:space="0"/>
                  </w:tcBorders>
                  <w:vAlign w:val="center"/>
                </w:tcPr>
                <w:p w14:paraId="7E3D83E2">
                  <w:pPr>
                    <w:pStyle w:val="23"/>
                    <w:keepNext w:val="0"/>
                    <w:keepLines w:val="0"/>
                    <w:widowControl/>
                    <w:suppressLineNumbers w:val="0"/>
                    <w:adjustRightInd w:val="0"/>
                    <w:snapToGrid w:val="0"/>
                    <w:spacing w:line="240" w:lineRule="auto"/>
                    <w:ind w:left="0" w:leftChars="0" w:firstLine="0" w:firstLineChars="0"/>
                    <w:jc w:val="center"/>
                    <w:rPr>
                      <w:rFonts w:hint="default" w:ascii="Times New Roman" w:hAnsi="Calibri" w:eastAsia="Times New Roman" w:cs="Times New Roman"/>
                      <w:b w:val="0"/>
                      <w:bCs/>
                      <w:color w:val="auto"/>
                      <w:spacing w:val="-4"/>
                      <w:kern w:val="0"/>
                      <w:sz w:val="21"/>
                      <w:szCs w:val="22"/>
                      <w:u w:val="none"/>
                      <w:lang w:val="en-US" w:eastAsia="zh-CN" w:bidi="ar-SA"/>
                    </w:rPr>
                  </w:pPr>
                  <w:r>
                    <w:rPr>
                      <w:rFonts w:hint="eastAsia" w:ascii="Times New Roman" w:hAnsi="Calibri" w:eastAsia="Times New Roman" w:cs="Times New Roman"/>
                      <w:b w:val="0"/>
                      <w:bCs/>
                      <w:color w:val="auto"/>
                      <w:spacing w:val="-4"/>
                      <w:kern w:val="0"/>
                      <w:sz w:val="21"/>
                      <w:szCs w:val="22"/>
                      <w:u w:val="none"/>
                      <w:lang w:val="en-US" w:eastAsia="zh-CN" w:bidi="ar-SA"/>
                    </w:rPr>
                    <w:t>37369424</w:t>
                  </w:r>
                </w:p>
              </w:tc>
              <w:tc>
                <w:tcPr>
                  <w:tcW w:w="1582" w:type="dxa"/>
                  <w:tcBorders>
                    <w:top w:val="single" w:color="000000" w:sz="6" w:space="0"/>
                    <w:left w:val="single" w:color="000000" w:sz="6" w:space="0"/>
                    <w:bottom w:val="single" w:color="000000" w:sz="6" w:space="0"/>
                    <w:right w:val="single" w:color="000000" w:sz="6" w:space="0"/>
                  </w:tcBorders>
                  <w:vAlign w:val="center"/>
                </w:tcPr>
                <w:p w14:paraId="338E65C7">
                  <w:pPr>
                    <w:pStyle w:val="23"/>
                    <w:keepNext w:val="0"/>
                    <w:keepLines w:val="0"/>
                    <w:widowControl/>
                    <w:suppressLineNumbers w:val="0"/>
                    <w:adjustRightInd w:val="0"/>
                    <w:snapToGrid w:val="0"/>
                    <w:spacing w:line="240" w:lineRule="auto"/>
                    <w:ind w:left="0" w:leftChars="0" w:firstLine="0" w:firstLineChars="0"/>
                    <w:jc w:val="center"/>
                    <w:rPr>
                      <w:rFonts w:hint="default" w:ascii="Times New Roman" w:hAnsi="Calibri" w:eastAsia="Times New Roman" w:cs="Times New Roman"/>
                      <w:b w:val="0"/>
                      <w:bCs/>
                      <w:color w:val="auto"/>
                      <w:spacing w:val="-4"/>
                      <w:kern w:val="0"/>
                      <w:sz w:val="21"/>
                      <w:szCs w:val="22"/>
                      <w:u w:val="none"/>
                      <w:lang w:val="en-US" w:eastAsia="zh-CN" w:bidi="ar-SA"/>
                    </w:rPr>
                  </w:pPr>
                  <w:r>
                    <w:rPr>
                      <w:rFonts w:hint="eastAsia" w:ascii="Times New Roman" w:hAnsi="Calibri" w:eastAsia="Times New Roman" w:cs="Times New Roman"/>
                      <w:b w:val="0"/>
                      <w:bCs/>
                      <w:color w:val="auto"/>
                      <w:spacing w:val="-4"/>
                      <w:kern w:val="0"/>
                      <w:sz w:val="21"/>
                      <w:szCs w:val="22"/>
                      <w:u w:val="none"/>
                      <w:lang w:val="en-US" w:eastAsia="zh-CN" w:bidi="ar-SA"/>
                    </w:rPr>
                    <w:t>2894899</w:t>
                  </w:r>
                </w:p>
              </w:tc>
              <w:tc>
                <w:tcPr>
                  <w:tcW w:w="1582" w:type="dxa"/>
                  <w:tcBorders>
                    <w:top w:val="single" w:color="000000" w:sz="6" w:space="0"/>
                    <w:left w:val="single" w:color="000000" w:sz="6" w:space="0"/>
                    <w:bottom w:val="single" w:color="000000" w:sz="6" w:space="0"/>
                    <w:right w:val="single" w:color="000000" w:sz="6" w:space="0"/>
                  </w:tcBorders>
                  <w:vAlign w:val="center"/>
                </w:tcPr>
                <w:p w14:paraId="6EC804DC">
                  <w:pPr>
                    <w:pStyle w:val="23"/>
                    <w:keepNext w:val="0"/>
                    <w:keepLines w:val="0"/>
                    <w:widowControl/>
                    <w:suppressLineNumbers w:val="0"/>
                    <w:adjustRightInd w:val="0"/>
                    <w:snapToGrid w:val="0"/>
                    <w:spacing w:line="240" w:lineRule="auto"/>
                    <w:ind w:left="0" w:leftChars="0" w:firstLine="0" w:firstLineChars="0"/>
                    <w:jc w:val="center"/>
                    <w:rPr>
                      <w:rFonts w:hint="default" w:ascii="Times New Roman" w:hAnsi="Calibri" w:eastAsia="Times New Roman" w:cs="Times New Roman"/>
                      <w:b w:val="0"/>
                      <w:bCs/>
                      <w:color w:val="auto"/>
                      <w:spacing w:val="-4"/>
                      <w:kern w:val="0"/>
                      <w:sz w:val="21"/>
                      <w:szCs w:val="22"/>
                      <w:u w:val="none"/>
                      <w:lang w:val="en-US" w:eastAsia="zh-CN" w:bidi="ar-SA"/>
                    </w:rPr>
                  </w:pPr>
                  <w:r>
                    <w:rPr>
                      <w:rFonts w:hint="eastAsia" w:ascii="Times New Roman" w:hAnsi="Calibri" w:eastAsia="Times New Roman" w:cs="Times New Roman"/>
                      <w:b w:val="0"/>
                      <w:bCs/>
                      <w:color w:val="auto"/>
                      <w:spacing w:val="-4"/>
                      <w:kern w:val="0"/>
                      <w:sz w:val="21"/>
                      <w:szCs w:val="22"/>
                      <w:u w:val="none"/>
                      <w:lang w:val="en-US" w:eastAsia="zh-CN" w:bidi="ar-SA"/>
                    </w:rPr>
                    <w:t>1045</w:t>
                  </w:r>
                </w:p>
              </w:tc>
              <w:tc>
                <w:tcPr>
                  <w:tcW w:w="1585" w:type="dxa"/>
                  <w:tcBorders>
                    <w:top w:val="single" w:color="000000" w:sz="6" w:space="0"/>
                    <w:left w:val="single" w:color="000000" w:sz="6" w:space="0"/>
                    <w:bottom w:val="single" w:color="000000" w:sz="6" w:space="0"/>
                    <w:right w:val="single" w:color="000000" w:sz="6" w:space="0"/>
                  </w:tcBorders>
                  <w:vAlign w:val="center"/>
                </w:tcPr>
                <w:p w14:paraId="5A9E7F63">
                  <w:pPr>
                    <w:keepNext w:val="0"/>
                    <w:keepLines w:val="0"/>
                    <w:widowControl/>
                    <w:suppressLineNumbers w:val="0"/>
                    <w:adjustRightInd w:val="0"/>
                    <w:snapToGrid w:val="0"/>
                    <w:spacing w:line="240" w:lineRule="auto"/>
                    <w:ind w:left="0" w:leftChars="0" w:firstLine="0" w:firstLineChars="0"/>
                    <w:jc w:val="center"/>
                    <w:rPr>
                      <w:rFonts w:hint="default" w:ascii="Times New Roman" w:hAnsi="Calibri" w:eastAsia="Times New Roman" w:cs="Times New Roman"/>
                      <w:b w:val="0"/>
                      <w:bCs/>
                      <w:color w:val="auto"/>
                      <w:spacing w:val="-4"/>
                      <w:kern w:val="0"/>
                      <w:sz w:val="21"/>
                      <w:szCs w:val="22"/>
                      <w:u w:val="none"/>
                      <w:lang w:val="en-US" w:eastAsia="zh-CN" w:bidi="ar-SA"/>
                    </w:rPr>
                  </w:pPr>
                  <w:r>
                    <w:rPr>
                      <w:rFonts w:hint="eastAsia" w:ascii="Times New Roman" w:hAnsi="Calibri" w:eastAsia="Times New Roman" w:cs="Times New Roman"/>
                      <w:b w:val="0"/>
                      <w:bCs/>
                      <w:color w:val="auto"/>
                      <w:spacing w:val="-4"/>
                      <w:kern w:val="0"/>
                      <w:sz w:val="21"/>
                      <w:szCs w:val="22"/>
                      <w:u w:val="none"/>
                      <w:lang w:val="en-US" w:eastAsia="zh-CN" w:bidi="ar-SA"/>
                    </w:rPr>
                    <w:t>115</w:t>
                  </w:r>
                </w:p>
              </w:tc>
            </w:tr>
            <w:tr w14:paraId="6A2B89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509" w:type="dxa"/>
                  <w:tcBorders>
                    <w:top w:val="single" w:color="000000" w:sz="6" w:space="0"/>
                    <w:bottom w:val="single" w:color="000000" w:sz="6" w:space="0"/>
                    <w:right w:val="single" w:color="000000" w:sz="6" w:space="0"/>
                  </w:tcBorders>
                  <w:vAlign w:val="center"/>
                </w:tcPr>
                <w:p w14:paraId="001A7289">
                  <w:pPr>
                    <w:keepNext w:val="0"/>
                    <w:keepLines w:val="0"/>
                    <w:widowControl/>
                    <w:suppressLineNumbers w:val="0"/>
                    <w:adjustRightInd w:val="0"/>
                    <w:snapToGrid w:val="0"/>
                    <w:spacing w:line="240" w:lineRule="auto"/>
                    <w:ind w:left="0" w:leftChars="0" w:firstLine="0" w:firstLineChars="0"/>
                    <w:jc w:val="center"/>
                    <w:rPr>
                      <w:rFonts w:hint="default" w:ascii="Times New Roman" w:hAnsi="Calibri" w:eastAsia="Times New Roman" w:cs="Times New Roman"/>
                      <w:b w:val="0"/>
                      <w:bCs/>
                      <w:color w:val="auto"/>
                      <w:spacing w:val="-4"/>
                      <w:kern w:val="0"/>
                      <w:sz w:val="21"/>
                      <w:szCs w:val="22"/>
                      <w:u w:val="none"/>
                      <w:lang w:val="en-US" w:eastAsia="zh-CN" w:bidi="ar-SA"/>
                    </w:rPr>
                  </w:pPr>
                  <w:r>
                    <w:rPr>
                      <w:rFonts w:hint="eastAsia" w:ascii="Times New Roman" w:hAnsi="Calibri" w:eastAsia="Times New Roman" w:cs="Times New Roman"/>
                      <w:b w:val="0"/>
                      <w:bCs/>
                      <w:color w:val="auto"/>
                      <w:spacing w:val="-4"/>
                      <w:kern w:val="0"/>
                      <w:sz w:val="21"/>
                      <w:szCs w:val="22"/>
                      <w:u w:val="none"/>
                      <w:lang w:val="en-US" w:eastAsia="zh-CN" w:bidi="ar-SA"/>
                    </w:rPr>
                    <w:t>TPS</w:t>
                  </w:r>
                  <w:r>
                    <w:rPr>
                      <w:rFonts w:hint="eastAsia" w:hAnsi="Calibri" w:eastAsia="Times New Roman" w:cs="Times New Roman"/>
                      <w:b w:val="0"/>
                      <w:bCs/>
                      <w:color w:val="auto"/>
                      <w:spacing w:val="-4"/>
                      <w:kern w:val="0"/>
                      <w:sz w:val="21"/>
                      <w:szCs w:val="22"/>
                      <w:u w:val="none"/>
                      <w:lang w:val="en-US" w:eastAsia="zh-CN" w:bidi="ar-SA"/>
                    </w:rPr>
                    <w:t>6</w:t>
                  </w:r>
                </w:p>
              </w:tc>
              <w:tc>
                <w:tcPr>
                  <w:tcW w:w="1582" w:type="dxa"/>
                  <w:tcBorders>
                    <w:top w:val="single" w:color="000000" w:sz="6" w:space="0"/>
                    <w:left w:val="single" w:color="000000" w:sz="6" w:space="0"/>
                    <w:bottom w:val="single" w:color="000000" w:sz="6" w:space="0"/>
                    <w:right w:val="single" w:color="000000" w:sz="6" w:space="0"/>
                  </w:tcBorders>
                  <w:vAlign w:val="center"/>
                </w:tcPr>
                <w:p w14:paraId="79DD6603">
                  <w:pPr>
                    <w:pStyle w:val="23"/>
                    <w:keepNext w:val="0"/>
                    <w:keepLines w:val="0"/>
                    <w:widowControl/>
                    <w:suppressLineNumbers w:val="0"/>
                    <w:adjustRightInd w:val="0"/>
                    <w:snapToGrid w:val="0"/>
                    <w:spacing w:line="240" w:lineRule="auto"/>
                    <w:ind w:left="0" w:leftChars="0" w:firstLine="0" w:firstLineChars="0"/>
                    <w:jc w:val="center"/>
                    <w:rPr>
                      <w:rFonts w:hint="default" w:ascii="Times New Roman" w:hAnsi="Calibri" w:eastAsia="Times New Roman" w:cs="Times New Roman"/>
                      <w:b w:val="0"/>
                      <w:bCs/>
                      <w:color w:val="auto"/>
                      <w:spacing w:val="-4"/>
                      <w:kern w:val="0"/>
                      <w:sz w:val="21"/>
                      <w:szCs w:val="22"/>
                      <w:u w:val="none"/>
                      <w:lang w:val="en-US" w:eastAsia="zh-CN" w:bidi="ar-SA"/>
                    </w:rPr>
                  </w:pPr>
                  <w:r>
                    <w:rPr>
                      <w:rFonts w:hint="eastAsia" w:ascii="Times New Roman" w:hAnsi="Calibri" w:eastAsia="Times New Roman" w:cs="Times New Roman"/>
                      <w:b w:val="0"/>
                      <w:bCs/>
                      <w:color w:val="auto"/>
                      <w:spacing w:val="-4"/>
                      <w:kern w:val="0"/>
                      <w:sz w:val="21"/>
                      <w:szCs w:val="22"/>
                      <w:u w:val="none"/>
                      <w:lang w:val="en-US" w:eastAsia="zh-CN" w:bidi="ar-SA"/>
                    </w:rPr>
                    <w:t>37369028</w:t>
                  </w:r>
                </w:p>
              </w:tc>
              <w:tc>
                <w:tcPr>
                  <w:tcW w:w="1582" w:type="dxa"/>
                  <w:tcBorders>
                    <w:top w:val="single" w:color="000000" w:sz="6" w:space="0"/>
                    <w:left w:val="single" w:color="000000" w:sz="6" w:space="0"/>
                    <w:bottom w:val="single" w:color="000000" w:sz="6" w:space="0"/>
                    <w:right w:val="single" w:color="000000" w:sz="6" w:space="0"/>
                  </w:tcBorders>
                  <w:vAlign w:val="center"/>
                </w:tcPr>
                <w:p w14:paraId="7084320D">
                  <w:pPr>
                    <w:pStyle w:val="23"/>
                    <w:keepNext w:val="0"/>
                    <w:keepLines w:val="0"/>
                    <w:widowControl/>
                    <w:suppressLineNumbers w:val="0"/>
                    <w:adjustRightInd w:val="0"/>
                    <w:snapToGrid w:val="0"/>
                    <w:spacing w:line="240" w:lineRule="auto"/>
                    <w:ind w:left="0" w:leftChars="0" w:firstLine="0" w:firstLineChars="0"/>
                    <w:jc w:val="center"/>
                    <w:rPr>
                      <w:rFonts w:hint="default" w:ascii="Times New Roman" w:hAnsi="Calibri" w:eastAsia="Times New Roman" w:cs="Times New Roman"/>
                      <w:b w:val="0"/>
                      <w:bCs/>
                      <w:color w:val="auto"/>
                      <w:spacing w:val="-4"/>
                      <w:kern w:val="0"/>
                      <w:sz w:val="21"/>
                      <w:szCs w:val="22"/>
                      <w:u w:val="none"/>
                      <w:lang w:val="en-US" w:eastAsia="zh-CN" w:bidi="ar-SA"/>
                    </w:rPr>
                  </w:pPr>
                  <w:r>
                    <w:rPr>
                      <w:rFonts w:hint="eastAsia" w:ascii="Times New Roman" w:hAnsi="Calibri" w:eastAsia="Times New Roman" w:cs="Times New Roman"/>
                      <w:b w:val="0"/>
                      <w:bCs/>
                      <w:color w:val="auto"/>
                      <w:spacing w:val="-4"/>
                      <w:kern w:val="0"/>
                      <w:sz w:val="21"/>
                      <w:szCs w:val="22"/>
                      <w:u w:val="none"/>
                      <w:lang w:val="en-US" w:eastAsia="zh-CN" w:bidi="ar-SA"/>
                    </w:rPr>
                    <w:t>2894997</w:t>
                  </w:r>
                </w:p>
              </w:tc>
              <w:tc>
                <w:tcPr>
                  <w:tcW w:w="1582" w:type="dxa"/>
                  <w:tcBorders>
                    <w:top w:val="single" w:color="000000" w:sz="6" w:space="0"/>
                    <w:left w:val="single" w:color="000000" w:sz="6" w:space="0"/>
                    <w:bottom w:val="single" w:color="000000" w:sz="6" w:space="0"/>
                    <w:right w:val="single" w:color="000000" w:sz="6" w:space="0"/>
                  </w:tcBorders>
                  <w:vAlign w:val="center"/>
                </w:tcPr>
                <w:p w14:paraId="12C694FF">
                  <w:pPr>
                    <w:pStyle w:val="23"/>
                    <w:keepNext w:val="0"/>
                    <w:keepLines w:val="0"/>
                    <w:widowControl/>
                    <w:suppressLineNumbers w:val="0"/>
                    <w:adjustRightInd w:val="0"/>
                    <w:snapToGrid w:val="0"/>
                    <w:spacing w:line="240" w:lineRule="auto"/>
                    <w:ind w:left="0" w:leftChars="0" w:firstLine="0" w:firstLineChars="0"/>
                    <w:jc w:val="center"/>
                    <w:rPr>
                      <w:rFonts w:hint="default" w:ascii="Times New Roman" w:hAnsi="Calibri" w:eastAsia="Times New Roman" w:cs="Times New Roman"/>
                      <w:b w:val="0"/>
                      <w:bCs/>
                      <w:color w:val="auto"/>
                      <w:spacing w:val="-4"/>
                      <w:kern w:val="0"/>
                      <w:sz w:val="21"/>
                      <w:szCs w:val="22"/>
                      <w:u w:val="none"/>
                      <w:lang w:val="en-US" w:eastAsia="zh-CN" w:bidi="ar-SA"/>
                    </w:rPr>
                  </w:pPr>
                  <w:r>
                    <w:rPr>
                      <w:rFonts w:hint="eastAsia" w:ascii="Times New Roman" w:hAnsi="Calibri" w:eastAsia="Times New Roman" w:cs="Times New Roman"/>
                      <w:b w:val="0"/>
                      <w:bCs/>
                      <w:color w:val="auto"/>
                      <w:spacing w:val="-4"/>
                      <w:kern w:val="0"/>
                      <w:sz w:val="21"/>
                      <w:szCs w:val="22"/>
                      <w:u w:val="none"/>
                      <w:lang w:val="en-US" w:eastAsia="zh-CN" w:bidi="ar-SA"/>
                    </w:rPr>
                    <w:t>1078.8</w:t>
                  </w:r>
                </w:p>
              </w:tc>
              <w:tc>
                <w:tcPr>
                  <w:tcW w:w="1585" w:type="dxa"/>
                  <w:tcBorders>
                    <w:top w:val="single" w:color="000000" w:sz="6" w:space="0"/>
                    <w:left w:val="single" w:color="000000" w:sz="6" w:space="0"/>
                    <w:bottom w:val="single" w:color="000000" w:sz="6" w:space="0"/>
                    <w:right w:val="single" w:color="000000" w:sz="6" w:space="0"/>
                  </w:tcBorders>
                  <w:vAlign w:val="center"/>
                </w:tcPr>
                <w:p w14:paraId="72D7B0B6">
                  <w:pPr>
                    <w:keepNext w:val="0"/>
                    <w:keepLines w:val="0"/>
                    <w:widowControl/>
                    <w:suppressLineNumbers w:val="0"/>
                    <w:adjustRightInd w:val="0"/>
                    <w:snapToGrid w:val="0"/>
                    <w:spacing w:line="240" w:lineRule="auto"/>
                    <w:ind w:left="0" w:leftChars="0" w:firstLine="0" w:firstLineChars="0"/>
                    <w:jc w:val="center"/>
                    <w:rPr>
                      <w:rFonts w:hint="default" w:ascii="Times New Roman" w:hAnsi="Calibri" w:eastAsia="Times New Roman" w:cs="Times New Roman"/>
                      <w:b w:val="0"/>
                      <w:bCs/>
                      <w:color w:val="auto"/>
                      <w:spacing w:val="-4"/>
                      <w:kern w:val="0"/>
                      <w:sz w:val="21"/>
                      <w:szCs w:val="22"/>
                      <w:u w:val="none"/>
                      <w:lang w:val="en-US" w:eastAsia="zh-CN" w:bidi="ar-SA"/>
                    </w:rPr>
                  </w:pPr>
                  <w:r>
                    <w:rPr>
                      <w:rFonts w:hint="eastAsia" w:ascii="Times New Roman" w:hAnsi="Calibri" w:eastAsia="Times New Roman" w:cs="Times New Roman"/>
                      <w:b w:val="0"/>
                      <w:bCs/>
                      <w:color w:val="auto"/>
                      <w:spacing w:val="-4"/>
                      <w:kern w:val="0"/>
                      <w:sz w:val="21"/>
                      <w:szCs w:val="22"/>
                      <w:u w:val="none"/>
                      <w:lang w:val="en-US" w:eastAsia="zh-CN" w:bidi="ar-SA"/>
                    </w:rPr>
                    <w:t>115</w:t>
                  </w:r>
                </w:p>
              </w:tc>
            </w:tr>
            <w:tr w14:paraId="589ECC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509" w:type="dxa"/>
                  <w:tcBorders>
                    <w:top w:val="single" w:color="000000" w:sz="6" w:space="0"/>
                    <w:bottom w:val="single" w:color="000000" w:sz="6" w:space="0"/>
                    <w:right w:val="single" w:color="000000" w:sz="6" w:space="0"/>
                  </w:tcBorders>
                  <w:vAlign w:val="center"/>
                </w:tcPr>
                <w:p w14:paraId="59C34D0F">
                  <w:pPr>
                    <w:keepNext w:val="0"/>
                    <w:keepLines w:val="0"/>
                    <w:widowControl/>
                    <w:suppressLineNumbers w:val="0"/>
                    <w:adjustRightInd w:val="0"/>
                    <w:snapToGrid w:val="0"/>
                    <w:spacing w:line="240" w:lineRule="auto"/>
                    <w:ind w:left="0" w:leftChars="0" w:firstLine="0" w:firstLineChars="0"/>
                    <w:jc w:val="center"/>
                    <w:rPr>
                      <w:rFonts w:hint="default" w:ascii="Times New Roman" w:hAnsi="Calibri" w:eastAsia="Times New Roman" w:cs="Times New Roman"/>
                      <w:b w:val="0"/>
                      <w:bCs/>
                      <w:color w:val="auto"/>
                      <w:spacing w:val="-4"/>
                      <w:kern w:val="0"/>
                      <w:sz w:val="21"/>
                      <w:szCs w:val="22"/>
                      <w:u w:val="none"/>
                      <w:lang w:val="en-US" w:eastAsia="zh-CN" w:bidi="ar-SA"/>
                    </w:rPr>
                  </w:pPr>
                  <w:r>
                    <w:rPr>
                      <w:rFonts w:hint="eastAsia" w:ascii="Times New Roman" w:hAnsi="Calibri" w:eastAsia="Times New Roman" w:cs="Times New Roman"/>
                      <w:b w:val="0"/>
                      <w:bCs/>
                      <w:color w:val="auto"/>
                      <w:spacing w:val="-4"/>
                      <w:kern w:val="0"/>
                      <w:sz w:val="21"/>
                      <w:szCs w:val="22"/>
                      <w:u w:val="none"/>
                      <w:lang w:val="en-US" w:eastAsia="zh-CN" w:bidi="ar-SA"/>
                    </w:rPr>
                    <w:t>TPS</w:t>
                  </w:r>
                  <w:r>
                    <w:rPr>
                      <w:rFonts w:hint="eastAsia" w:hAnsi="Calibri" w:eastAsia="Times New Roman" w:cs="Times New Roman"/>
                      <w:b w:val="0"/>
                      <w:bCs/>
                      <w:color w:val="auto"/>
                      <w:spacing w:val="-4"/>
                      <w:kern w:val="0"/>
                      <w:sz w:val="21"/>
                      <w:szCs w:val="22"/>
                      <w:u w:val="none"/>
                      <w:lang w:val="en-US" w:eastAsia="zh-CN" w:bidi="ar-SA"/>
                    </w:rPr>
                    <w:t>7</w:t>
                  </w:r>
                </w:p>
              </w:tc>
              <w:tc>
                <w:tcPr>
                  <w:tcW w:w="1582" w:type="dxa"/>
                  <w:tcBorders>
                    <w:top w:val="single" w:color="000000" w:sz="6" w:space="0"/>
                    <w:left w:val="single" w:color="000000" w:sz="6" w:space="0"/>
                    <w:bottom w:val="single" w:color="000000" w:sz="6" w:space="0"/>
                    <w:right w:val="single" w:color="000000" w:sz="6" w:space="0"/>
                  </w:tcBorders>
                  <w:vAlign w:val="center"/>
                </w:tcPr>
                <w:p w14:paraId="6B3553C7">
                  <w:pPr>
                    <w:pStyle w:val="23"/>
                    <w:keepNext w:val="0"/>
                    <w:keepLines w:val="0"/>
                    <w:widowControl/>
                    <w:suppressLineNumbers w:val="0"/>
                    <w:adjustRightInd w:val="0"/>
                    <w:snapToGrid w:val="0"/>
                    <w:spacing w:line="240" w:lineRule="auto"/>
                    <w:ind w:left="0" w:leftChars="0" w:firstLine="0" w:firstLineChars="0"/>
                    <w:jc w:val="center"/>
                    <w:rPr>
                      <w:rFonts w:hint="default" w:ascii="Times New Roman" w:hAnsi="Calibri" w:eastAsia="Times New Roman" w:cs="Times New Roman"/>
                      <w:b w:val="0"/>
                      <w:bCs/>
                      <w:color w:val="auto"/>
                      <w:spacing w:val="-4"/>
                      <w:kern w:val="0"/>
                      <w:sz w:val="21"/>
                      <w:szCs w:val="22"/>
                      <w:u w:val="none"/>
                      <w:lang w:val="en-US" w:eastAsia="zh-CN" w:bidi="ar-SA"/>
                    </w:rPr>
                  </w:pPr>
                  <w:r>
                    <w:rPr>
                      <w:rFonts w:hint="default" w:ascii="Times New Roman" w:hAnsi="Calibri" w:eastAsia="Times New Roman" w:cs="Times New Roman"/>
                      <w:b w:val="0"/>
                      <w:bCs/>
                      <w:color w:val="auto"/>
                      <w:spacing w:val="-4"/>
                      <w:kern w:val="0"/>
                      <w:sz w:val="21"/>
                      <w:szCs w:val="22"/>
                      <w:u w:val="none"/>
                      <w:lang w:val="en-US" w:eastAsia="zh-CN" w:bidi="ar-SA"/>
                    </w:rPr>
                    <w:t>37368773</w:t>
                  </w:r>
                </w:p>
              </w:tc>
              <w:tc>
                <w:tcPr>
                  <w:tcW w:w="1582" w:type="dxa"/>
                  <w:tcBorders>
                    <w:top w:val="single" w:color="000000" w:sz="6" w:space="0"/>
                    <w:left w:val="single" w:color="000000" w:sz="6" w:space="0"/>
                    <w:bottom w:val="single" w:color="000000" w:sz="6" w:space="0"/>
                    <w:right w:val="single" w:color="000000" w:sz="6" w:space="0"/>
                  </w:tcBorders>
                  <w:vAlign w:val="center"/>
                </w:tcPr>
                <w:p w14:paraId="214A5726">
                  <w:pPr>
                    <w:pStyle w:val="23"/>
                    <w:keepNext w:val="0"/>
                    <w:keepLines w:val="0"/>
                    <w:widowControl/>
                    <w:suppressLineNumbers w:val="0"/>
                    <w:adjustRightInd w:val="0"/>
                    <w:snapToGrid w:val="0"/>
                    <w:spacing w:line="240" w:lineRule="auto"/>
                    <w:ind w:left="0" w:leftChars="0" w:firstLine="0" w:firstLineChars="0"/>
                    <w:jc w:val="center"/>
                    <w:rPr>
                      <w:rFonts w:hint="default" w:ascii="Times New Roman" w:hAnsi="Calibri" w:eastAsia="Times New Roman" w:cs="Times New Roman"/>
                      <w:b w:val="0"/>
                      <w:bCs/>
                      <w:color w:val="auto"/>
                      <w:spacing w:val="-4"/>
                      <w:kern w:val="0"/>
                      <w:sz w:val="21"/>
                      <w:szCs w:val="22"/>
                      <w:u w:val="none"/>
                      <w:lang w:val="en-US" w:eastAsia="zh-CN" w:bidi="ar-SA"/>
                    </w:rPr>
                  </w:pPr>
                  <w:r>
                    <w:rPr>
                      <w:rFonts w:hint="default" w:ascii="Times New Roman" w:hAnsi="Calibri" w:eastAsia="Times New Roman" w:cs="Times New Roman"/>
                      <w:b w:val="0"/>
                      <w:bCs/>
                      <w:color w:val="auto"/>
                      <w:spacing w:val="-4"/>
                      <w:kern w:val="0"/>
                      <w:sz w:val="21"/>
                      <w:szCs w:val="22"/>
                      <w:u w:val="none"/>
                      <w:lang w:val="en-US" w:eastAsia="zh-CN" w:bidi="ar-SA"/>
                    </w:rPr>
                    <w:t>2895363</w:t>
                  </w:r>
                </w:p>
              </w:tc>
              <w:tc>
                <w:tcPr>
                  <w:tcW w:w="1582" w:type="dxa"/>
                  <w:tcBorders>
                    <w:top w:val="single" w:color="000000" w:sz="6" w:space="0"/>
                    <w:left w:val="single" w:color="000000" w:sz="6" w:space="0"/>
                    <w:bottom w:val="single" w:color="000000" w:sz="6" w:space="0"/>
                    <w:right w:val="single" w:color="000000" w:sz="6" w:space="0"/>
                  </w:tcBorders>
                  <w:vAlign w:val="center"/>
                </w:tcPr>
                <w:p w14:paraId="754E30F3">
                  <w:pPr>
                    <w:pStyle w:val="23"/>
                    <w:keepNext w:val="0"/>
                    <w:keepLines w:val="0"/>
                    <w:widowControl/>
                    <w:suppressLineNumbers w:val="0"/>
                    <w:adjustRightInd w:val="0"/>
                    <w:snapToGrid w:val="0"/>
                    <w:spacing w:line="240" w:lineRule="auto"/>
                    <w:ind w:left="0" w:leftChars="0" w:firstLine="0" w:firstLineChars="0"/>
                    <w:jc w:val="center"/>
                    <w:rPr>
                      <w:rFonts w:hint="default" w:ascii="Times New Roman" w:hAnsi="Calibri" w:eastAsia="Times New Roman" w:cs="Times New Roman"/>
                      <w:b w:val="0"/>
                      <w:bCs/>
                      <w:color w:val="auto"/>
                      <w:spacing w:val="-4"/>
                      <w:kern w:val="0"/>
                      <w:sz w:val="21"/>
                      <w:szCs w:val="22"/>
                      <w:u w:val="none"/>
                      <w:lang w:val="en-US" w:eastAsia="zh-CN" w:bidi="ar-SA"/>
                    </w:rPr>
                  </w:pPr>
                  <w:r>
                    <w:rPr>
                      <w:rFonts w:hint="eastAsia" w:ascii="Times New Roman" w:hAnsi="Calibri" w:eastAsia="Times New Roman" w:cs="Times New Roman"/>
                      <w:b w:val="0"/>
                      <w:bCs/>
                      <w:color w:val="auto"/>
                      <w:spacing w:val="-4"/>
                      <w:kern w:val="0"/>
                      <w:sz w:val="21"/>
                      <w:szCs w:val="22"/>
                      <w:u w:val="none"/>
                      <w:lang w:val="en-US" w:eastAsia="zh-CN" w:bidi="ar-SA"/>
                    </w:rPr>
                    <w:t>1073</w:t>
                  </w:r>
                </w:p>
              </w:tc>
              <w:tc>
                <w:tcPr>
                  <w:tcW w:w="1585" w:type="dxa"/>
                  <w:tcBorders>
                    <w:top w:val="single" w:color="000000" w:sz="6" w:space="0"/>
                    <w:left w:val="single" w:color="000000" w:sz="6" w:space="0"/>
                    <w:bottom w:val="single" w:color="000000" w:sz="6" w:space="0"/>
                    <w:right w:val="single" w:color="000000" w:sz="6" w:space="0"/>
                  </w:tcBorders>
                  <w:vAlign w:val="center"/>
                </w:tcPr>
                <w:p w14:paraId="79DF8048">
                  <w:pPr>
                    <w:keepNext w:val="0"/>
                    <w:keepLines w:val="0"/>
                    <w:widowControl/>
                    <w:suppressLineNumbers w:val="0"/>
                    <w:adjustRightInd w:val="0"/>
                    <w:snapToGrid w:val="0"/>
                    <w:spacing w:line="240" w:lineRule="auto"/>
                    <w:ind w:left="0" w:leftChars="0" w:firstLine="0" w:firstLineChars="0"/>
                    <w:jc w:val="center"/>
                    <w:rPr>
                      <w:rFonts w:hint="default" w:ascii="Times New Roman" w:hAnsi="Calibri" w:eastAsia="Times New Roman" w:cs="Times New Roman"/>
                      <w:b w:val="0"/>
                      <w:bCs/>
                      <w:color w:val="auto"/>
                      <w:spacing w:val="-4"/>
                      <w:kern w:val="0"/>
                      <w:sz w:val="21"/>
                      <w:szCs w:val="22"/>
                      <w:u w:val="none"/>
                      <w:lang w:val="en-US" w:eastAsia="zh-CN" w:bidi="ar-SA"/>
                    </w:rPr>
                  </w:pPr>
                  <w:r>
                    <w:rPr>
                      <w:rFonts w:hint="eastAsia" w:ascii="Times New Roman" w:hAnsi="Calibri" w:eastAsia="Times New Roman" w:cs="Times New Roman"/>
                      <w:b w:val="0"/>
                      <w:bCs/>
                      <w:color w:val="auto"/>
                      <w:spacing w:val="-4"/>
                      <w:kern w:val="0"/>
                      <w:sz w:val="21"/>
                      <w:szCs w:val="22"/>
                      <w:u w:val="none"/>
                      <w:lang w:val="en-US" w:eastAsia="zh-CN" w:bidi="ar-SA"/>
                    </w:rPr>
                    <w:t>115</w:t>
                  </w:r>
                </w:p>
              </w:tc>
            </w:tr>
            <w:tr w14:paraId="1CF0DD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509" w:type="dxa"/>
                  <w:tcBorders>
                    <w:top w:val="single" w:color="000000" w:sz="6" w:space="0"/>
                    <w:bottom w:val="single" w:color="000000" w:sz="6" w:space="0"/>
                    <w:right w:val="single" w:color="000000" w:sz="6" w:space="0"/>
                  </w:tcBorders>
                  <w:vAlign w:val="center"/>
                </w:tcPr>
                <w:p w14:paraId="4FAD5BF8">
                  <w:pPr>
                    <w:keepNext w:val="0"/>
                    <w:keepLines w:val="0"/>
                    <w:widowControl/>
                    <w:suppressLineNumbers w:val="0"/>
                    <w:adjustRightInd w:val="0"/>
                    <w:snapToGrid w:val="0"/>
                    <w:spacing w:line="240" w:lineRule="auto"/>
                    <w:ind w:left="0" w:leftChars="0" w:firstLine="0" w:firstLineChars="0"/>
                    <w:jc w:val="center"/>
                    <w:rPr>
                      <w:rFonts w:hint="default" w:ascii="Times New Roman" w:hAnsi="Calibri" w:eastAsia="Times New Roman" w:cs="Times New Roman"/>
                      <w:b w:val="0"/>
                      <w:bCs/>
                      <w:color w:val="auto"/>
                      <w:spacing w:val="-4"/>
                      <w:kern w:val="0"/>
                      <w:sz w:val="21"/>
                      <w:szCs w:val="22"/>
                      <w:u w:val="none"/>
                      <w:lang w:val="en-US" w:eastAsia="zh-CN" w:bidi="ar-SA"/>
                    </w:rPr>
                  </w:pPr>
                  <w:r>
                    <w:rPr>
                      <w:rFonts w:hint="eastAsia" w:ascii="Times New Roman" w:hAnsi="Calibri" w:eastAsia="Times New Roman" w:cs="Times New Roman"/>
                      <w:b w:val="0"/>
                      <w:bCs/>
                      <w:color w:val="auto"/>
                      <w:spacing w:val="-4"/>
                      <w:kern w:val="0"/>
                      <w:sz w:val="21"/>
                      <w:szCs w:val="22"/>
                      <w:u w:val="none"/>
                      <w:lang w:val="en-US" w:eastAsia="zh-CN" w:bidi="ar-SA"/>
                    </w:rPr>
                    <w:t>TPS</w:t>
                  </w:r>
                  <w:r>
                    <w:rPr>
                      <w:rFonts w:hint="eastAsia" w:hAnsi="Calibri" w:eastAsia="Times New Roman" w:cs="Times New Roman"/>
                      <w:b w:val="0"/>
                      <w:bCs/>
                      <w:color w:val="auto"/>
                      <w:spacing w:val="-4"/>
                      <w:kern w:val="0"/>
                      <w:sz w:val="21"/>
                      <w:szCs w:val="22"/>
                      <w:u w:val="none"/>
                      <w:lang w:val="en-US" w:eastAsia="zh-CN" w:bidi="ar-SA"/>
                    </w:rPr>
                    <w:t>8</w:t>
                  </w:r>
                </w:p>
              </w:tc>
              <w:tc>
                <w:tcPr>
                  <w:tcW w:w="1582" w:type="dxa"/>
                  <w:tcBorders>
                    <w:top w:val="single" w:color="000000" w:sz="6" w:space="0"/>
                    <w:left w:val="single" w:color="000000" w:sz="6" w:space="0"/>
                    <w:bottom w:val="single" w:color="000000" w:sz="6" w:space="0"/>
                    <w:right w:val="single" w:color="000000" w:sz="6" w:space="0"/>
                  </w:tcBorders>
                  <w:vAlign w:val="center"/>
                </w:tcPr>
                <w:p w14:paraId="5BCAD5F8">
                  <w:pPr>
                    <w:pStyle w:val="23"/>
                    <w:keepNext w:val="0"/>
                    <w:keepLines w:val="0"/>
                    <w:widowControl/>
                    <w:suppressLineNumbers w:val="0"/>
                    <w:adjustRightInd w:val="0"/>
                    <w:snapToGrid w:val="0"/>
                    <w:spacing w:line="240" w:lineRule="auto"/>
                    <w:ind w:left="0" w:leftChars="0" w:firstLine="0" w:firstLineChars="0"/>
                    <w:jc w:val="center"/>
                    <w:rPr>
                      <w:rFonts w:hint="default" w:ascii="Times New Roman" w:hAnsi="Calibri" w:eastAsia="Times New Roman" w:cs="Times New Roman"/>
                      <w:b w:val="0"/>
                      <w:bCs/>
                      <w:color w:val="auto"/>
                      <w:spacing w:val="-4"/>
                      <w:kern w:val="0"/>
                      <w:sz w:val="21"/>
                      <w:szCs w:val="22"/>
                      <w:u w:val="none"/>
                      <w:lang w:val="en-US" w:eastAsia="zh-CN" w:bidi="ar-SA"/>
                    </w:rPr>
                  </w:pPr>
                  <w:r>
                    <w:rPr>
                      <w:rFonts w:hint="default" w:ascii="Times New Roman" w:hAnsi="Calibri" w:eastAsia="Times New Roman" w:cs="Times New Roman"/>
                      <w:b w:val="0"/>
                      <w:bCs/>
                      <w:color w:val="auto"/>
                      <w:spacing w:val="-4"/>
                      <w:kern w:val="0"/>
                      <w:sz w:val="21"/>
                      <w:szCs w:val="22"/>
                      <w:u w:val="none"/>
                      <w:lang w:val="en-US" w:eastAsia="zh-CN" w:bidi="ar-SA"/>
                    </w:rPr>
                    <w:t>37368156</w:t>
                  </w:r>
                </w:p>
              </w:tc>
              <w:tc>
                <w:tcPr>
                  <w:tcW w:w="1582" w:type="dxa"/>
                  <w:tcBorders>
                    <w:top w:val="single" w:color="000000" w:sz="6" w:space="0"/>
                    <w:left w:val="single" w:color="000000" w:sz="6" w:space="0"/>
                    <w:bottom w:val="single" w:color="000000" w:sz="6" w:space="0"/>
                    <w:right w:val="single" w:color="000000" w:sz="6" w:space="0"/>
                  </w:tcBorders>
                  <w:vAlign w:val="center"/>
                </w:tcPr>
                <w:p w14:paraId="7CD11455">
                  <w:pPr>
                    <w:pStyle w:val="23"/>
                    <w:keepNext w:val="0"/>
                    <w:keepLines w:val="0"/>
                    <w:widowControl/>
                    <w:suppressLineNumbers w:val="0"/>
                    <w:adjustRightInd w:val="0"/>
                    <w:snapToGrid w:val="0"/>
                    <w:spacing w:line="240" w:lineRule="auto"/>
                    <w:ind w:left="0" w:leftChars="0" w:firstLine="0" w:firstLineChars="0"/>
                    <w:jc w:val="center"/>
                    <w:rPr>
                      <w:rFonts w:hint="default" w:ascii="Times New Roman" w:hAnsi="Calibri" w:eastAsia="Times New Roman" w:cs="Times New Roman"/>
                      <w:b w:val="0"/>
                      <w:bCs/>
                      <w:color w:val="auto"/>
                      <w:spacing w:val="-4"/>
                      <w:kern w:val="0"/>
                      <w:sz w:val="21"/>
                      <w:szCs w:val="22"/>
                      <w:u w:val="none"/>
                      <w:lang w:val="en-US" w:eastAsia="zh-CN" w:bidi="ar-SA"/>
                    </w:rPr>
                  </w:pPr>
                  <w:r>
                    <w:rPr>
                      <w:rFonts w:hint="default" w:ascii="Times New Roman" w:hAnsi="Calibri" w:eastAsia="Times New Roman" w:cs="Times New Roman"/>
                      <w:b w:val="0"/>
                      <w:bCs/>
                      <w:color w:val="auto"/>
                      <w:spacing w:val="-4"/>
                      <w:kern w:val="0"/>
                      <w:sz w:val="21"/>
                      <w:szCs w:val="22"/>
                      <w:u w:val="none"/>
                      <w:lang w:val="en-US" w:eastAsia="zh-CN" w:bidi="ar-SA"/>
                    </w:rPr>
                    <w:t>2893791</w:t>
                  </w:r>
                </w:p>
              </w:tc>
              <w:tc>
                <w:tcPr>
                  <w:tcW w:w="1582" w:type="dxa"/>
                  <w:tcBorders>
                    <w:top w:val="single" w:color="000000" w:sz="6" w:space="0"/>
                    <w:left w:val="single" w:color="000000" w:sz="6" w:space="0"/>
                    <w:bottom w:val="single" w:color="000000" w:sz="6" w:space="0"/>
                    <w:right w:val="single" w:color="000000" w:sz="6" w:space="0"/>
                  </w:tcBorders>
                  <w:vAlign w:val="center"/>
                </w:tcPr>
                <w:p w14:paraId="4E6DA9E5">
                  <w:pPr>
                    <w:pStyle w:val="23"/>
                    <w:keepNext w:val="0"/>
                    <w:keepLines w:val="0"/>
                    <w:widowControl/>
                    <w:suppressLineNumbers w:val="0"/>
                    <w:adjustRightInd w:val="0"/>
                    <w:snapToGrid w:val="0"/>
                    <w:spacing w:line="240" w:lineRule="auto"/>
                    <w:ind w:left="0" w:leftChars="0" w:firstLine="0" w:firstLineChars="0"/>
                    <w:jc w:val="center"/>
                    <w:rPr>
                      <w:rFonts w:hint="default" w:ascii="Times New Roman" w:hAnsi="Calibri" w:eastAsia="Times New Roman" w:cs="Times New Roman"/>
                      <w:b w:val="0"/>
                      <w:bCs/>
                      <w:color w:val="auto"/>
                      <w:spacing w:val="-4"/>
                      <w:kern w:val="0"/>
                      <w:sz w:val="21"/>
                      <w:szCs w:val="22"/>
                      <w:u w:val="none"/>
                      <w:lang w:val="en-US" w:eastAsia="zh-CN" w:bidi="ar-SA"/>
                    </w:rPr>
                  </w:pPr>
                  <w:r>
                    <w:rPr>
                      <w:rFonts w:hint="eastAsia" w:ascii="Times New Roman" w:hAnsi="Calibri" w:eastAsia="Times New Roman" w:cs="Times New Roman"/>
                      <w:b w:val="0"/>
                      <w:bCs/>
                      <w:color w:val="auto"/>
                      <w:spacing w:val="-4"/>
                      <w:kern w:val="0"/>
                      <w:sz w:val="21"/>
                      <w:szCs w:val="22"/>
                      <w:u w:val="none"/>
                      <w:lang w:val="en-US" w:eastAsia="zh-CN" w:bidi="ar-SA"/>
                    </w:rPr>
                    <w:t>1197.4</w:t>
                  </w:r>
                </w:p>
              </w:tc>
              <w:tc>
                <w:tcPr>
                  <w:tcW w:w="1585" w:type="dxa"/>
                  <w:tcBorders>
                    <w:top w:val="single" w:color="000000" w:sz="6" w:space="0"/>
                    <w:left w:val="single" w:color="000000" w:sz="6" w:space="0"/>
                    <w:bottom w:val="single" w:color="000000" w:sz="6" w:space="0"/>
                    <w:right w:val="single" w:color="000000" w:sz="6" w:space="0"/>
                  </w:tcBorders>
                  <w:vAlign w:val="center"/>
                </w:tcPr>
                <w:p w14:paraId="35E34937">
                  <w:pPr>
                    <w:keepNext w:val="0"/>
                    <w:keepLines w:val="0"/>
                    <w:widowControl/>
                    <w:suppressLineNumbers w:val="0"/>
                    <w:adjustRightInd w:val="0"/>
                    <w:snapToGrid w:val="0"/>
                    <w:spacing w:line="240" w:lineRule="auto"/>
                    <w:ind w:left="0" w:leftChars="0" w:firstLine="0" w:firstLineChars="0"/>
                    <w:jc w:val="center"/>
                    <w:rPr>
                      <w:rFonts w:hint="default" w:ascii="Times New Roman" w:hAnsi="Calibri" w:eastAsia="Times New Roman" w:cs="Times New Roman"/>
                      <w:b w:val="0"/>
                      <w:bCs/>
                      <w:color w:val="auto"/>
                      <w:spacing w:val="-4"/>
                      <w:kern w:val="0"/>
                      <w:sz w:val="21"/>
                      <w:szCs w:val="22"/>
                      <w:u w:val="none"/>
                      <w:lang w:val="en-US" w:eastAsia="zh-CN" w:bidi="ar-SA"/>
                    </w:rPr>
                  </w:pPr>
                  <w:r>
                    <w:rPr>
                      <w:rFonts w:hint="eastAsia" w:ascii="Times New Roman" w:hAnsi="Calibri" w:eastAsia="Times New Roman" w:cs="Times New Roman"/>
                      <w:b w:val="0"/>
                      <w:bCs/>
                      <w:color w:val="auto"/>
                      <w:spacing w:val="-4"/>
                      <w:kern w:val="0"/>
                      <w:sz w:val="21"/>
                      <w:szCs w:val="22"/>
                      <w:u w:val="none"/>
                      <w:lang w:val="en-US" w:eastAsia="zh-CN" w:bidi="ar-SA"/>
                    </w:rPr>
                    <w:t>115</w:t>
                  </w:r>
                </w:p>
              </w:tc>
            </w:tr>
            <w:tr w14:paraId="2396D0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509" w:type="dxa"/>
                  <w:tcBorders>
                    <w:top w:val="single" w:color="000000" w:sz="6" w:space="0"/>
                    <w:bottom w:val="single" w:color="000000" w:sz="6" w:space="0"/>
                    <w:right w:val="single" w:color="000000" w:sz="6" w:space="0"/>
                  </w:tcBorders>
                  <w:vAlign w:val="center"/>
                </w:tcPr>
                <w:p w14:paraId="169CADAF">
                  <w:pPr>
                    <w:keepNext w:val="0"/>
                    <w:keepLines w:val="0"/>
                    <w:widowControl/>
                    <w:suppressLineNumbers w:val="0"/>
                    <w:adjustRightInd w:val="0"/>
                    <w:snapToGrid w:val="0"/>
                    <w:spacing w:line="240" w:lineRule="auto"/>
                    <w:ind w:left="0" w:leftChars="0" w:firstLine="0" w:firstLineChars="0"/>
                    <w:jc w:val="center"/>
                    <w:rPr>
                      <w:rFonts w:hint="default" w:ascii="Times New Roman" w:hAnsi="Calibri" w:eastAsia="Times New Roman" w:cs="Times New Roman"/>
                      <w:b w:val="0"/>
                      <w:bCs/>
                      <w:color w:val="auto"/>
                      <w:spacing w:val="-4"/>
                      <w:kern w:val="0"/>
                      <w:sz w:val="21"/>
                      <w:szCs w:val="22"/>
                      <w:u w:val="none"/>
                      <w:lang w:val="en-US" w:eastAsia="zh-CN" w:bidi="ar-SA"/>
                    </w:rPr>
                  </w:pPr>
                  <w:r>
                    <w:rPr>
                      <w:rFonts w:hint="eastAsia" w:ascii="Times New Roman" w:hAnsi="Calibri" w:eastAsia="Times New Roman" w:cs="Times New Roman"/>
                      <w:b w:val="0"/>
                      <w:bCs/>
                      <w:color w:val="auto"/>
                      <w:spacing w:val="-4"/>
                      <w:kern w:val="0"/>
                      <w:sz w:val="21"/>
                      <w:szCs w:val="22"/>
                      <w:u w:val="none"/>
                      <w:lang w:val="en-US" w:eastAsia="zh-CN" w:bidi="ar-SA"/>
                    </w:rPr>
                    <w:t>TPS</w:t>
                  </w:r>
                  <w:r>
                    <w:rPr>
                      <w:rFonts w:hint="eastAsia" w:hAnsi="Calibri" w:eastAsia="Times New Roman" w:cs="Times New Roman"/>
                      <w:b w:val="0"/>
                      <w:bCs/>
                      <w:color w:val="auto"/>
                      <w:spacing w:val="-4"/>
                      <w:kern w:val="0"/>
                      <w:sz w:val="21"/>
                      <w:szCs w:val="22"/>
                      <w:u w:val="none"/>
                      <w:lang w:val="en-US" w:eastAsia="zh-CN" w:bidi="ar-SA"/>
                    </w:rPr>
                    <w:t>9</w:t>
                  </w:r>
                </w:p>
              </w:tc>
              <w:tc>
                <w:tcPr>
                  <w:tcW w:w="1582" w:type="dxa"/>
                  <w:tcBorders>
                    <w:top w:val="single" w:color="000000" w:sz="6" w:space="0"/>
                    <w:left w:val="single" w:color="000000" w:sz="6" w:space="0"/>
                    <w:bottom w:val="single" w:color="000000" w:sz="6" w:space="0"/>
                    <w:right w:val="single" w:color="000000" w:sz="6" w:space="0"/>
                  </w:tcBorders>
                  <w:vAlign w:val="center"/>
                </w:tcPr>
                <w:p w14:paraId="33BD5A63">
                  <w:pPr>
                    <w:pStyle w:val="23"/>
                    <w:keepNext w:val="0"/>
                    <w:keepLines w:val="0"/>
                    <w:widowControl/>
                    <w:suppressLineNumbers w:val="0"/>
                    <w:adjustRightInd w:val="0"/>
                    <w:snapToGrid w:val="0"/>
                    <w:spacing w:line="240" w:lineRule="auto"/>
                    <w:ind w:left="0" w:leftChars="0" w:firstLine="0" w:firstLineChars="0"/>
                    <w:jc w:val="center"/>
                    <w:rPr>
                      <w:rFonts w:hint="default" w:ascii="Times New Roman" w:hAnsi="Calibri" w:eastAsia="Times New Roman" w:cs="Times New Roman"/>
                      <w:b w:val="0"/>
                      <w:bCs/>
                      <w:color w:val="auto"/>
                      <w:spacing w:val="-4"/>
                      <w:kern w:val="0"/>
                      <w:sz w:val="21"/>
                      <w:szCs w:val="22"/>
                      <w:u w:val="none"/>
                      <w:lang w:val="en-US" w:eastAsia="zh-CN" w:bidi="ar-SA"/>
                    </w:rPr>
                  </w:pPr>
                  <w:r>
                    <w:rPr>
                      <w:rFonts w:hint="default" w:ascii="Times New Roman" w:hAnsi="Calibri" w:eastAsia="Times New Roman" w:cs="Times New Roman"/>
                      <w:b w:val="0"/>
                      <w:bCs/>
                      <w:color w:val="auto"/>
                      <w:spacing w:val="-4"/>
                      <w:kern w:val="0"/>
                      <w:sz w:val="21"/>
                      <w:szCs w:val="22"/>
                      <w:u w:val="none"/>
                      <w:lang w:val="en-US" w:eastAsia="zh-CN" w:bidi="ar-SA"/>
                    </w:rPr>
                    <w:t>37367941</w:t>
                  </w:r>
                </w:p>
              </w:tc>
              <w:tc>
                <w:tcPr>
                  <w:tcW w:w="1582" w:type="dxa"/>
                  <w:tcBorders>
                    <w:top w:val="single" w:color="000000" w:sz="6" w:space="0"/>
                    <w:left w:val="single" w:color="000000" w:sz="6" w:space="0"/>
                    <w:bottom w:val="single" w:color="000000" w:sz="6" w:space="0"/>
                    <w:right w:val="single" w:color="000000" w:sz="6" w:space="0"/>
                  </w:tcBorders>
                  <w:vAlign w:val="center"/>
                </w:tcPr>
                <w:p w14:paraId="774D8095">
                  <w:pPr>
                    <w:pStyle w:val="23"/>
                    <w:keepNext w:val="0"/>
                    <w:keepLines w:val="0"/>
                    <w:widowControl/>
                    <w:suppressLineNumbers w:val="0"/>
                    <w:adjustRightInd w:val="0"/>
                    <w:snapToGrid w:val="0"/>
                    <w:spacing w:line="240" w:lineRule="auto"/>
                    <w:ind w:left="0" w:leftChars="0" w:firstLine="0" w:firstLineChars="0"/>
                    <w:jc w:val="center"/>
                    <w:rPr>
                      <w:rFonts w:hint="default" w:ascii="Times New Roman" w:hAnsi="Calibri" w:eastAsia="Times New Roman" w:cs="Times New Roman"/>
                      <w:b w:val="0"/>
                      <w:bCs/>
                      <w:color w:val="auto"/>
                      <w:spacing w:val="-4"/>
                      <w:kern w:val="0"/>
                      <w:sz w:val="21"/>
                      <w:szCs w:val="22"/>
                      <w:u w:val="none"/>
                      <w:lang w:val="en-US" w:eastAsia="zh-CN" w:bidi="ar-SA"/>
                    </w:rPr>
                  </w:pPr>
                  <w:r>
                    <w:rPr>
                      <w:rFonts w:hint="default" w:ascii="Times New Roman" w:hAnsi="Calibri" w:eastAsia="Times New Roman" w:cs="Times New Roman"/>
                      <w:b w:val="0"/>
                      <w:bCs/>
                      <w:color w:val="auto"/>
                      <w:spacing w:val="-4"/>
                      <w:kern w:val="0"/>
                      <w:sz w:val="21"/>
                      <w:szCs w:val="22"/>
                      <w:u w:val="none"/>
                      <w:lang w:val="en-US" w:eastAsia="zh-CN" w:bidi="ar-SA"/>
                    </w:rPr>
                    <w:t>2892062</w:t>
                  </w:r>
                </w:p>
              </w:tc>
              <w:tc>
                <w:tcPr>
                  <w:tcW w:w="1582" w:type="dxa"/>
                  <w:tcBorders>
                    <w:top w:val="single" w:color="000000" w:sz="6" w:space="0"/>
                    <w:left w:val="single" w:color="000000" w:sz="6" w:space="0"/>
                    <w:bottom w:val="single" w:color="000000" w:sz="6" w:space="0"/>
                    <w:right w:val="single" w:color="000000" w:sz="6" w:space="0"/>
                  </w:tcBorders>
                  <w:vAlign w:val="center"/>
                </w:tcPr>
                <w:p w14:paraId="5EC531CB">
                  <w:pPr>
                    <w:pStyle w:val="23"/>
                    <w:keepNext w:val="0"/>
                    <w:keepLines w:val="0"/>
                    <w:widowControl/>
                    <w:suppressLineNumbers w:val="0"/>
                    <w:adjustRightInd w:val="0"/>
                    <w:snapToGrid w:val="0"/>
                    <w:spacing w:line="240" w:lineRule="auto"/>
                    <w:ind w:left="0" w:leftChars="0" w:firstLine="0" w:firstLineChars="0"/>
                    <w:jc w:val="center"/>
                    <w:rPr>
                      <w:rFonts w:hint="default" w:ascii="Times New Roman" w:hAnsi="Calibri" w:eastAsia="Times New Roman" w:cs="Times New Roman"/>
                      <w:b w:val="0"/>
                      <w:bCs/>
                      <w:color w:val="auto"/>
                      <w:spacing w:val="-4"/>
                      <w:kern w:val="0"/>
                      <w:sz w:val="21"/>
                      <w:szCs w:val="22"/>
                      <w:u w:val="none"/>
                      <w:lang w:val="en-US" w:eastAsia="zh-CN" w:bidi="ar-SA"/>
                    </w:rPr>
                  </w:pPr>
                  <w:r>
                    <w:rPr>
                      <w:rFonts w:hint="eastAsia" w:ascii="Times New Roman" w:hAnsi="Calibri" w:eastAsia="Times New Roman" w:cs="Times New Roman"/>
                      <w:b w:val="0"/>
                      <w:bCs/>
                      <w:color w:val="auto"/>
                      <w:spacing w:val="-4"/>
                      <w:kern w:val="0"/>
                      <w:sz w:val="21"/>
                      <w:szCs w:val="22"/>
                      <w:u w:val="none"/>
                      <w:lang w:val="en-US" w:eastAsia="zh-CN" w:bidi="ar-SA"/>
                    </w:rPr>
                    <w:t>1097.8</w:t>
                  </w:r>
                </w:p>
              </w:tc>
              <w:tc>
                <w:tcPr>
                  <w:tcW w:w="1585" w:type="dxa"/>
                  <w:tcBorders>
                    <w:top w:val="single" w:color="000000" w:sz="6" w:space="0"/>
                    <w:left w:val="single" w:color="000000" w:sz="6" w:space="0"/>
                    <w:bottom w:val="single" w:color="000000" w:sz="6" w:space="0"/>
                    <w:right w:val="single" w:color="000000" w:sz="6" w:space="0"/>
                  </w:tcBorders>
                  <w:vAlign w:val="center"/>
                </w:tcPr>
                <w:p w14:paraId="65D9F05B">
                  <w:pPr>
                    <w:keepNext w:val="0"/>
                    <w:keepLines w:val="0"/>
                    <w:widowControl/>
                    <w:suppressLineNumbers w:val="0"/>
                    <w:adjustRightInd w:val="0"/>
                    <w:snapToGrid w:val="0"/>
                    <w:spacing w:line="240" w:lineRule="auto"/>
                    <w:ind w:left="0" w:leftChars="0" w:firstLine="0" w:firstLineChars="0"/>
                    <w:jc w:val="center"/>
                    <w:rPr>
                      <w:rFonts w:hint="default" w:ascii="Times New Roman" w:hAnsi="Calibri" w:eastAsia="Times New Roman" w:cs="Times New Roman"/>
                      <w:b w:val="0"/>
                      <w:bCs/>
                      <w:color w:val="auto"/>
                      <w:spacing w:val="-4"/>
                      <w:kern w:val="0"/>
                      <w:sz w:val="21"/>
                      <w:szCs w:val="22"/>
                      <w:u w:val="none"/>
                      <w:lang w:val="en-US" w:eastAsia="zh-CN" w:bidi="ar-SA"/>
                    </w:rPr>
                  </w:pPr>
                  <w:r>
                    <w:rPr>
                      <w:rFonts w:hint="eastAsia" w:ascii="Times New Roman" w:hAnsi="Calibri" w:eastAsia="Times New Roman" w:cs="Times New Roman"/>
                      <w:b w:val="0"/>
                      <w:bCs/>
                      <w:color w:val="auto"/>
                      <w:spacing w:val="-4"/>
                      <w:kern w:val="0"/>
                      <w:sz w:val="21"/>
                      <w:szCs w:val="22"/>
                      <w:u w:val="none"/>
                      <w:lang w:val="en-US" w:eastAsia="zh-CN" w:bidi="ar-SA"/>
                    </w:rPr>
                    <w:t>115</w:t>
                  </w:r>
                </w:p>
              </w:tc>
            </w:tr>
            <w:tr w14:paraId="54B1B7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509" w:type="dxa"/>
                  <w:tcBorders>
                    <w:top w:val="single" w:color="000000" w:sz="6" w:space="0"/>
                    <w:bottom w:val="single" w:color="000000" w:sz="6" w:space="0"/>
                    <w:right w:val="single" w:color="000000" w:sz="6" w:space="0"/>
                  </w:tcBorders>
                  <w:vAlign w:val="center"/>
                </w:tcPr>
                <w:p w14:paraId="14D58CF0">
                  <w:pPr>
                    <w:keepNext w:val="0"/>
                    <w:keepLines w:val="0"/>
                    <w:widowControl/>
                    <w:suppressLineNumbers w:val="0"/>
                    <w:adjustRightInd w:val="0"/>
                    <w:snapToGrid w:val="0"/>
                    <w:spacing w:line="240" w:lineRule="auto"/>
                    <w:ind w:left="0" w:leftChars="0" w:firstLine="0" w:firstLineChars="0"/>
                    <w:jc w:val="center"/>
                    <w:rPr>
                      <w:rFonts w:hint="default" w:ascii="Times New Roman" w:hAnsi="Calibri" w:eastAsia="Times New Roman" w:cs="Times New Roman"/>
                      <w:b w:val="0"/>
                      <w:bCs/>
                      <w:color w:val="auto"/>
                      <w:spacing w:val="-4"/>
                      <w:kern w:val="0"/>
                      <w:sz w:val="21"/>
                      <w:szCs w:val="22"/>
                      <w:u w:val="none"/>
                      <w:lang w:val="en-US" w:eastAsia="zh-CN" w:bidi="ar-SA"/>
                    </w:rPr>
                  </w:pPr>
                  <w:r>
                    <w:rPr>
                      <w:rFonts w:hint="eastAsia" w:ascii="Times New Roman" w:hAnsi="Calibri" w:eastAsia="Times New Roman" w:cs="Times New Roman"/>
                      <w:b w:val="0"/>
                      <w:bCs/>
                      <w:color w:val="auto"/>
                      <w:spacing w:val="-4"/>
                      <w:kern w:val="0"/>
                      <w:sz w:val="21"/>
                      <w:szCs w:val="22"/>
                      <w:u w:val="none"/>
                      <w:lang w:val="en-US" w:eastAsia="zh-CN" w:bidi="ar-SA"/>
                    </w:rPr>
                    <w:t>TPS</w:t>
                  </w:r>
                  <w:r>
                    <w:rPr>
                      <w:rFonts w:hint="eastAsia" w:hAnsi="Calibri" w:eastAsia="Times New Roman" w:cs="Times New Roman"/>
                      <w:b w:val="0"/>
                      <w:bCs/>
                      <w:color w:val="auto"/>
                      <w:spacing w:val="-4"/>
                      <w:kern w:val="0"/>
                      <w:sz w:val="21"/>
                      <w:szCs w:val="22"/>
                      <w:u w:val="none"/>
                      <w:lang w:val="en-US" w:eastAsia="zh-CN" w:bidi="ar-SA"/>
                    </w:rPr>
                    <w:t>10</w:t>
                  </w:r>
                </w:p>
              </w:tc>
              <w:tc>
                <w:tcPr>
                  <w:tcW w:w="1582" w:type="dxa"/>
                  <w:tcBorders>
                    <w:top w:val="single" w:color="000000" w:sz="6" w:space="0"/>
                    <w:left w:val="single" w:color="000000" w:sz="6" w:space="0"/>
                    <w:bottom w:val="single" w:color="000000" w:sz="6" w:space="0"/>
                    <w:right w:val="single" w:color="000000" w:sz="6" w:space="0"/>
                  </w:tcBorders>
                  <w:vAlign w:val="center"/>
                </w:tcPr>
                <w:p w14:paraId="0E19DABE">
                  <w:pPr>
                    <w:pStyle w:val="23"/>
                    <w:keepNext w:val="0"/>
                    <w:keepLines w:val="0"/>
                    <w:widowControl/>
                    <w:suppressLineNumbers w:val="0"/>
                    <w:adjustRightInd w:val="0"/>
                    <w:snapToGrid w:val="0"/>
                    <w:spacing w:line="240" w:lineRule="auto"/>
                    <w:ind w:left="0" w:leftChars="0" w:firstLine="0" w:firstLineChars="0"/>
                    <w:jc w:val="center"/>
                    <w:rPr>
                      <w:rFonts w:hint="default" w:ascii="Times New Roman" w:hAnsi="Calibri" w:eastAsia="Times New Roman" w:cs="Times New Roman"/>
                      <w:b w:val="0"/>
                      <w:bCs/>
                      <w:color w:val="auto"/>
                      <w:spacing w:val="-4"/>
                      <w:kern w:val="0"/>
                      <w:sz w:val="21"/>
                      <w:szCs w:val="22"/>
                      <w:u w:val="none"/>
                      <w:lang w:val="en-US" w:eastAsia="zh-CN" w:bidi="ar-SA"/>
                    </w:rPr>
                  </w:pPr>
                  <w:r>
                    <w:rPr>
                      <w:rFonts w:hint="default" w:ascii="Times New Roman" w:hAnsi="Calibri" w:eastAsia="Times New Roman" w:cs="Times New Roman"/>
                      <w:b w:val="0"/>
                      <w:bCs/>
                      <w:color w:val="auto"/>
                      <w:spacing w:val="-4"/>
                      <w:kern w:val="0"/>
                      <w:sz w:val="21"/>
                      <w:szCs w:val="22"/>
                      <w:u w:val="none"/>
                      <w:lang w:val="en-US" w:eastAsia="zh-CN" w:bidi="ar-SA"/>
                    </w:rPr>
                    <w:t>37367561</w:t>
                  </w:r>
                </w:p>
              </w:tc>
              <w:tc>
                <w:tcPr>
                  <w:tcW w:w="1582" w:type="dxa"/>
                  <w:tcBorders>
                    <w:top w:val="single" w:color="000000" w:sz="6" w:space="0"/>
                    <w:left w:val="single" w:color="000000" w:sz="6" w:space="0"/>
                    <w:bottom w:val="single" w:color="000000" w:sz="6" w:space="0"/>
                    <w:right w:val="single" w:color="000000" w:sz="6" w:space="0"/>
                  </w:tcBorders>
                  <w:vAlign w:val="center"/>
                </w:tcPr>
                <w:p w14:paraId="1EA0BE87">
                  <w:pPr>
                    <w:pStyle w:val="23"/>
                    <w:keepNext w:val="0"/>
                    <w:keepLines w:val="0"/>
                    <w:widowControl/>
                    <w:suppressLineNumbers w:val="0"/>
                    <w:adjustRightInd w:val="0"/>
                    <w:snapToGrid w:val="0"/>
                    <w:spacing w:line="240" w:lineRule="auto"/>
                    <w:ind w:left="0" w:leftChars="0" w:firstLine="0" w:firstLineChars="0"/>
                    <w:jc w:val="center"/>
                    <w:rPr>
                      <w:rFonts w:hint="default" w:ascii="Times New Roman" w:hAnsi="Calibri" w:eastAsia="Times New Roman" w:cs="Times New Roman"/>
                      <w:b w:val="0"/>
                      <w:bCs/>
                      <w:color w:val="auto"/>
                      <w:spacing w:val="-4"/>
                      <w:kern w:val="0"/>
                      <w:sz w:val="21"/>
                      <w:szCs w:val="22"/>
                      <w:u w:val="none"/>
                      <w:lang w:val="en-US" w:eastAsia="zh-CN" w:bidi="ar-SA"/>
                    </w:rPr>
                  </w:pPr>
                  <w:r>
                    <w:rPr>
                      <w:rFonts w:hint="default" w:ascii="Times New Roman" w:hAnsi="Calibri" w:eastAsia="Times New Roman" w:cs="Times New Roman"/>
                      <w:b w:val="0"/>
                      <w:bCs/>
                      <w:color w:val="auto"/>
                      <w:spacing w:val="-4"/>
                      <w:kern w:val="0"/>
                      <w:sz w:val="21"/>
                      <w:szCs w:val="22"/>
                      <w:u w:val="none"/>
                      <w:lang w:val="en-US" w:eastAsia="zh-CN" w:bidi="ar-SA"/>
                    </w:rPr>
                    <w:t>2890984</w:t>
                  </w:r>
                </w:p>
              </w:tc>
              <w:tc>
                <w:tcPr>
                  <w:tcW w:w="1582" w:type="dxa"/>
                  <w:tcBorders>
                    <w:top w:val="single" w:color="000000" w:sz="6" w:space="0"/>
                    <w:left w:val="single" w:color="000000" w:sz="6" w:space="0"/>
                    <w:bottom w:val="single" w:color="000000" w:sz="6" w:space="0"/>
                    <w:right w:val="single" w:color="000000" w:sz="6" w:space="0"/>
                  </w:tcBorders>
                  <w:vAlign w:val="center"/>
                </w:tcPr>
                <w:p w14:paraId="778B6F97">
                  <w:pPr>
                    <w:pStyle w:val="23"/>
                    <w:keepNext w:val="0"/>
                    <w:keepLines w:val="0"/>
                    <w:widowControl/>
                    <w:suppressLineNumbers w:val="0"/>
                    <w:adjustRightInd w:val="0"/>
                    <w:snapToGrid w:val="0"/>
                    <w:spacing w:line="240" w:lineRule="auto"/>
                    <w:ind w:left="0" w:leftChars="0" w:firstLine="0" w:firstLineChars="0"/>
                    <w:jc w:val="center"/>
                    <w:rPr>
                      <w:rFonts w:hint="default" w:ascii="Times New Roman" w:hAnsi="Calibri" w:eastAsia="Times New Roman" w:cs="Times New Roman"/>
                      <w:b w:val="0"/>
                      <w:bCs/>
                      <w:color w:val="auto"/>
                      <w:spacing w:val="-4"/>
                      <w:kern w:val="0"/>
                      <w:sz w:val="21"/>
                      <w:szCs w:val="22"/>
                      <w:u w:val="none"/>
                      <w:lang w:val="en-US" w:eastAsia="zh-CN" w:bidi="ar-SA"/>
                    </w:rPr>
                  </w:pPr>
                  <w:r>
                    <w:rPr>
                      <w:rFonts w:hint="eastAsia" w:ascii="Times New Roman" w:hAnsi="Calibri" w:eastAsia="Times New Roman" w:cs="Times New Roman"/>
                      <w:b w:val="0"/>
                      <w:bCs/>
                      <w:color w:val="auto"/>
                      <w:spacing w:val="-4"/>
                      <w:kern w:val="0"/>
                      <w:sz w:val="21"/>
                      <w:szCs w:val="22"/>
                      <w:u w:val="none"/>
                      <w:lang w:val="en-US" w:eastAsia="zh-CN" w:bidi="ar-SA"/>
                    </w:rPr>
                    <w:t>1097.9</w:t>
                  </w:r>
                </w:p>
              </w:tc>
              <w:tc>
                <w:tcPr>
                  <w:tcW w:w="1585" w:type="dxa"/>
                  <w:tcBorders>
                    <w:top w:val="single" w:color="000000" w:sz="6" w:space="0"/>
                    <w:left w:val="single" w:color="000000" w:sz="6" w:space="0"/>
                    <w:bottom w:val="single" w:color="000000" w:sz="6" w:space="0"/>
                    <w:right w:val="single" w:color="000000" w:sz="6" w:space="0"/>
                  </w:tcBorders>
                  <w:vAlign w:val="center"/>
                </w:tcPr>
                <w:p w14:paraId="4DDB38A0">
                  <w:pPr>
                    <w:keepNext w:val="0"/>
                    <w:keepLines w:val="0"/>
                    <w:widowControl/>
                    <w:suppressLineNumbers w:val="0"/>
                    <w:adjustRightInd w:val="0"/>
                    <w:snapToGrid w:val="0"/>
                    <w:spacing w:line="240" w:lineRule="auto"/>
                    <w:ind w:left="0" w:leftChars="0" w:firstLine="0" w:firstLineChars="0"/>
                    <w:jc w:val="center"/>
                    <w:rPr>
                      <w:rFonts w:hint="default" w:ascii="Times New Roman" w:hAnsi="Calibri" w:eastAsia="Times New Roman" w:cs="Times New Roman"/>
                      <w:b w:val="0"/>
                      <w:bCs/>
                      <w:color w:val="auto"/>
                      <w:spacing w:val="-4"/>
                      <w:kern w:val="0"/>
                      <w:sz w:val="21"/>
                      <w:szCs w:val="22"/>
                      <w:u w:val="none"/>
                      <w:lang w:val="en-US" w:eastAsia="zh-CN" w:bidi="ar-SA"/>
                    </w:rPr>
                  </w:pPr>
                  <w:r>
                    <w:rPr>
                      <w:rFonts w:hint="eastAsia" w:ascii="Times New Roman" w:hAnsi="Calibri" w:eastAsia="Times New Roman" w:cs="Times New Roman"/>
                      <w:b w:val="0"/>
                      <w:bCs/>
                      <w:color w:val="auto"/>
                      <w:spacing w:val="-4"/>
                      <w:kern w:val="0"/>
                      <w:sz w:val="21"/>
                      <w:szCs w:val="22"/>
                      <w:u w:val="none"/>
                      <w:lang w:val="en-US" w:eastAsia="zh-CN" w:bidi="ar-SA"/>
                    </w:rPr>
                    <w:t>115</w:t>
                  </w:r>
                </w:p>
              </w:tc>
            </w:tr>
            <w:tr w14:paraId="7C5354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509" w:type="dxa"/>
                  <w:tcBorders>
                    <w:top w:val="single" w:color="000000" w:sz="6" w:space="0"/>
                    <w:bottom w:val="single" w:color="000000" w:sz="6" w:space="0"/>
                    <w:right w:val="single" w:color="000000" w:sz="6" w:space="0"/>
                  </w:tcBorders>
                  <w:vAlign w:val="center"/>
                </w:tcPr>
                <w:p w14:paraId="1928523A">
                  <w:pPr>
                    <w:keepNext w:val="0"/>
                    <w:keepLines w:val="0"/>
                    <w:widowControl/>
                    <w:suppressLineNumbers w:val="0"/>
                    <w:adjustRightInd w:val="0"/>
                    <w:snapToGrid w:val="0"/>
                    <w:spacing w:line="240" w:lineRule="auto"/>
                    <w:ind w:left="0" w:leftChars="0" w:firstLine="0" w:firstLineChars="0"/>
                    <w:jc w:val="center"/>
                    <w:rPr>
                      <w:rFonts w:hint="default" w:ascii="Times New Roman" w:hAnsi="Calibri" w:eastAsia="Times New Roman" w:cs="Times New Roman"/>
                      <w:b w:val="0"/>
                      <w:bCs/>
                      <w:color w:val="auto"/>
                      <w:spacing w:val="-4"/>
                      <w:kern w:val="0"/>
                      <w:sz w:val="21"/>
                      <w:szCs w:val="22"/>
                      <w:u w:val="wave"/>
                      <w:lang w:val="en-US" w:eastAsia="zh-CN" w:bidi="ar-SA"/>
                    </w:rPr>
                  </w:pPr>
                  <w:r>
                    <w:rPr>
                      <w:rFonts w:hint="eastAsia" w:ascii="Times New Roman" w:hAnsi="Calibri" w:eastAsia="Times New Roman" w:cs="Times New Roman"/>
                      <w:b w:val="0"/>
                      <w:bCs/>
                      <w:color w:val="auto"/>
                      <w:spacing w:val="-4"/>
                      <w:kern w:val="0"/>
                      <w:sz w:val="21"/>
                      <w:szCs w:val="22"/>
                      <w:u w:val="none"/>
                      <w:lang w:val="en-US" w:eastAsia="zh-CN" w:bidi="ar-SA"/>
                    </w:rPr>
                    <w:t>TPS</w:t>
                  </w:r>
                  <w:r>
                    <w:rPr>
                      <w:rFonts w:hint="eastAsia" w:hAnsi="Calibri" w:eastAsia="Times New Roman" w:cs="Times New Roman"/>
                      <w:b w:val="0"/>
                      <w:bCs/>
                      <w:color w:val="auto"/>
                      <w:spacing w:val="-4"/>
                      <w:kern w:val="0"/>
                      <w:sz w:val="21"/>
                      <w:szCs w:val="22"/>
                      <w:u w:val="none"/>
                      <w:lang w:val="en-US" w:eastAsia="zh-CN" w:bidi="ar-SA"/>
                    </w:rPr>
                    <w:t>11</w:t>
                  </w:r>
                </w:p>
              </w:tc>
              <w:tc>
                <w:tcPr>
                  <w:tcW w:w="1582" w:type="dxa"/>
                  <w:tcBorders>
                    <w:top w:val="single" w:color="000000" w:sz="6" w:space="0"/>
                    <w:left w:val="single" w:color="000000" w:sz="6" w:space="0"/>
                    <w:bottom w:val="single" w:color="000000" w:sz="6" w:space="0"/>
                    <w:right w:val="single" w:color="000000" w:sz="6" w:space="0"/>
                  </w:tcBorders>
                  <w:vAlign w:val="center"/>
                </w:tcPr>
                <w:p w14:paraId="0114E089">
                  <w:pPr>
                    <w:pStyle w:val="23"/>
                    <w:keepNext w:val="0"/>
                    <w:keepLines w:val="0"/>
                    <w:widowControl/>
                    <w:suppressLineNumbers w:val="0"/>
                    <w:adjustRightInd w:val="0"/>
                    <w:snapToGrid w:val="0"/>
                    <w:spacing w:line="240" w:lineRule="auto"/>
                    <w:ind w:left="0" w:leftChars="0" w:firstLine="0" w:firstLineChars="0"/>
                    <w:jc w:val="center"/>
                    <w:rPr>
                      <w:rFonts w:hint="default" w:ascii="Times New Roman" w:hAnsi="Calibri" w:eastAsia="Times New Roman" w:cs="Times New Roman"/>
                      <w:b w:val="0"/>
                      <w:bCs/>
                      <w:i w:val="0"/>
                      <w:iCs w:val="0"/>
                      <w:color w:val="auto"/>
                      <w:spacing w:val="-4"/>
                      <w:kern w:val="0"/>
                      <w:sz w:val="21"/>
                      <w:szCs w:val="22"/>
                      <w:u w:val="none"/>
                      <w:lang w:val="en-US" w:eastAsia="zh-CN" w:bidi="ar-SA"/>
                    </w:rPr>
                  </w:pPr>
                  <w:r>
                    <w:rPr>
                      <w:rFonts w:hint="default" w:ascii="Times New Roman" w:hAnsi="Calibri" w:eastAsia="Times New Roman" w:cs="Times New Roman"/>
                      <w:b w:val="0"/>
                      <w:bCs/>
                      <w:i w:val="0"/>
                      <w:iCs w:val="0"/>
                      <w:color w:val="auto"/>
                      <w:spacing w:val="-4"/>
                      <w:kern w:val="0"/>
                      <w:sz w:val="21"/>
                      <w:szCs w:val="22"/>
                      <w:u w:val="none"/>
                      <w:lang w:val="en-US" w:eastAsia="zh-CN" w:bidi="ar-SA"/>
                    </w:rPr>
                    <w:t>37366858</w:t>
                  </w:r>
                </w:p>
              </w:tc>
              <w:tc>
                <w:tcPr>
                  <w:tcW w:w="1582" w:type="dxa"/>
                  <w:tcBorders>
                    <w:top w:val="single" w:color="000000" w:sz="6" w:space="0"/>
                    <w:left w:val="single" w:color="000000" w:sz="6" w:space="0"/>
                    <w:bottom w:val="single" w:color="000000" w:sz="6" w:space="0"/>
                    <w:right w:val="single" w:color="000000" w:sz="6" w:space="0"/>
                  </w:tcBorders>
                  <w:vAlign w:val="center"/>
                </w:tcPr>
                <w:p w14:paraId="09872B1D">
                  <w:pPr>
                    <w:pStyle w:val="23"/>
                    <w:keepNext w:val="0"/>
                    <w:keepLines w:val="0"/>
                    <w:widowControl/>
                    <w:suppressLineNumbers w:val="0"/>
                    <w:adjustRightInd w:val="0"/>
                    <w:snapToGrid w:val="0"/>
                    <w:spacing w:line="240" w:lineRule="auto"/>
                    <w:ind w:left="0" w:leftChars="0" w:firstLine="0" w:firstLineChars="0"/>
                    <w:jc w:val="center"/>
                    <w:rPr>
                      <w:rFonts w:hint="default" w:ascii="Times New Roman" w:hAnsi="Calibri" w:eastAsia="Times New Roman" w:cs="Times New Roman"/>
                      <w:b w:val="0"/>
                      <w:bCs/>
                      <w:color w:val="auto"/>
                      <w:spacing w:val="-4"/>
                      <w:kern w:val="0"/>
                      <w:sz w:val="21"/>
                      <w:szCs w:val="22"/>
                      <w:u w:val="none"/>
                      <w:lang w:val="en-US" w:eastAsia="zh-CN" w:bidi="ar-SA"/>
                    </w:rPr>
                  </w:pPr>
                  <w:r>
                    <w:rPr>
                      <w:rFonts w:hint="default" w:ascii="Times New Roman" w:hAnsi="Calibri" w:eastAsia="Times New Roman" w:cs="Times New Roman"/>
                      <w:b w:val="0"/>
                      <w:bCs/>
                      <w:color w:val="auto"/>
                      <w:spacing w:val="-4"/>
                      <w:kern w:val="0"/>
                      <w:sz w:val="21"/>
                      <w:szCs w:val="22"/>
                      <w:u w:val="none"/>
                      <w:lang w:val="en-US" w:eastAsia="zh-CN" w:bidi="ar-SA"/>
                    </w:rPr>
                    <w:t>2889504</w:t>
                  </w:r>
                </w:p>
              </w:tc>
              <w:tc>
                <w:tcPr>
                  <w:tcW w:w="1582" w:type="dxa"/>
                  <w:tcBorders>
                    <w:top w:val="single" w:color="000000" w:sz="6" w:space="0"/>
                    <w:left w:val="single" w:color="000000" w:sz="6" w:space="0"/>
                    <w:bottom w:val="single" w:color="000000" w:sz="6" w:space="0"/>
                    <w:right w:val="single" w:color="000000" w:sz="6" w:space="0"/>
                  </w:tcBorders>
                  <w:vAlign w:val="center"/>
                </w:tcPr>
                <w:p w14:paraId="598F0BF6">
                  <w:pPr>
                    <w:pStyle w:val="23"/>
                    <w:keepNext w:val="0"/>
                    <w:keepLines w:val="0"/>
                    <w:widowControl/>
                    <w:suppressLineNumbers w:val="0"/>
                    <w:adjustRightInd w:val="0"/>
                    <w:snapToGrid w:val="0"/>
                    <w:spacing w:line="240" w:lineRule="auto"/>
                    <w:ind w:left="0" w:leftChars="0" w:firstLine="0" w:firstLineChars="0"/>
                    <w:jc w:val="center"/>
                    <w:rPr>
                      <w:rFonts w:hint="default" w:ascii="Times New Roman" w:hAnsi="Calibri" w:eastAsia="Times New Roman" w:cs="Times New Roman"/>
                      <w:b w:val="0"/>
                      <w:bCs/>
                      <w:color w:val="auto"/>
                      <w:spacing w:val="-4"/>
                      <w:kern w:val="0"/>
                      <w:sz w:val="21"/>
                      <w:szCs w:val="22"/>
                      <w:u w:val="none"/>
                      <w:lang w:val="en-US" w:eastAsia="zh-CN" w:bidi="ar-SA"/>
                    </w:rPr>
                  </w:pPr>
                  <w:r>
                    <w:rPr>
                      <w:rFonts w:hint="eastAsia" w:ascii="Times New Roman" w:hAnsi="Calibri" w:eastAsia="Times New Roman" w:cs="Times New Roman"/>
                      <w:b w:val="0"/>
                      <w:bCs/>
                      <w:color w:val="auto"/>
                      <w:spacing w:val="-4"/>
                      <w:kern w:val="0"/>
                      <w:sz w:val="21"/>
                      <w:szCs w:val="22"/>
                      <w:u w:val="none"/>
                      <w:lang w:val="en-US" w:eastAsia="zh-CN" w:bidi="ar-SA"/>
                    </w:rPr>
                    <w:t>1069</w:t>
                  </w:r>
                </w:p>
              </w:tc>
              <w:tc>
                <w:tcPr>
                  <w:tcW w:w="1585" w:type="dxa"/>
                  <w:tcBorders>
                    <w:top w:val="single" w:color="000000" w:sz="6" w:space="0"/>
                    <w:left w:val="single" w:color="000000" w:sz="6" w:space="0"/>
                    <w:bottom w:val="single" w:color="000000" w:sz="6" w:space="0"/>
                    <w:right w:val="single" w:color="000000" w:sz="6" w:space="0"/>
                  </w:tcBorders>
                  <w:vAlign w:val="center"/>
                </w:tcPr>
                <w:p w14:paraId="19094175">
                  <w:pPr>
                    <w:keepNext w:val="0"/>
                    <w:keepLines w:val="0"/>
                    <w:widowControl/>
                    <w:suppressLineNumbers w:val="0"/>
                    <w:adjustRightInd w:val="0"/>
                    <w:snapToGrid w:val="0"/>
                    <w:spacing w:line="240" w:lineRule="auto"/>
                    <w:ind w:left="0" w:leftChars="0" w:firstLine="0" w:firstLineChars="0"/>
                    <w:jc w:val="center"/>
                    <w:rPr>
                      <w:rFonts w:hint="default" w:ascii="Times New Roman" w:hAnsi="Calibri" w:eastAsia="Times New Roman" w:cs="Times New Roman"/>
                      <w:b w:val="0"/>
                      <w:bCs/>
                      <w:color w:val="auto"/>
                      <w:spacing w:val="-4"/>
                      <w:kern w:val="0"/>
                      <w:sz w:val="21"/>
                      <w:szCs w:val="22"/>
                      <w:u w:val="none"/>
                      <w:lang w:val="en-US" w:eastAsia="zh-CN" w:bidi="ar-SA"/>
                    </w:rPr>
                  </w:pPr>
                  <w:r>
                    <w:rPr>
                      <w:rFonts w:hint="eastAsia" w:ascii="Times New Roman" w:hAnsi="Calibri" w:eastAsia="Times New Roman" w:cs="Times New Roman"/>
                      <w:b w:val="0"/>
                      <w:bCs/>
                      <w:color w:val="auto"/>
                      <w:spacing w:val="-4"/>
                      <w:kern w:val="0"/>
                      <w:sz w:val="21"/>
                      <w:szCs w:val="22"/>
                      <w:u w:val="none"/>
                      <w:lang w:val="en-US" w:eastAsia="zh-CN" w:bidi="ar-SA"/>
                    </w:rPr>
                    <w:t>115</w:t>
                  </w:r>
                </w:p>
              </w:tc>
            </w:tr>
            <w:tr w14:paraId="46F5C8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509" w:type="dxa"/>
                  <w:tcBorders>
                    <w:top w:val="single" w:color="000000" w:sz="6" w:space="0"/>
                    <w:bottom w:val="single" w:color="000000" w:sz="6" w:space="0"/>
                    <w:right w:val="single" w:color="000000" w:sz="6" w:space="0"/>
                  </w:tcBorders>
                  <w:vAlign w:val="center"/>
                </w:tcPr>
                <w:p w14:paraId="27D9FF64">
                  <w:pPr>
                    <w:keepNext w:val="0"/>
                    <w:keepLines w:val="0"/>
                    <w:widowControl/>
                    <w:suppressLineNumbers w:val="0"/>
                    <w:adjustRightInd w:val="0"/>
                    <w:snapToGrid w:val="0"/>
                    <w:spacing w:line="240" w:lineRule="auto"/>
                    <w:ind w:left="0" w:leftChars="0" w:firstLine="0" w:firstLineChars="0"/>
                    <w:jc w:val="center"/>
                    <w:rPr>
                      <w:rFonts w:hint="default" w:ascii="Times New Roman" w:hAnsi="Calibri" w:eastAsia="Times New Roman" w:cs="Times New Roman"/>
                      <w:b w:val="0"/>
                      <w:bCs/>
                      <w:color w:val="auto"/>
                      <w:spacing w:val="-4"/>
                      <w:kern w:val="0"/>
                      <w:sz w:val="21"/>
                      <w:szCs w:val="22"/>
                      <w:u w:val="wave"/>
                      <w:lang w:val="en-US" w:eastAsia="zh-CN" w:bidi="ar-SA"/>
                    </w:rPr>
                  </w:pPr>
                  <w:r>
                    <w:rPr>
                      <w:rFonts w:hint="eastAsia" w:ascii="Times New Roman" w:hAnsi="Calibri" w:eastAsia="Times New Roman" w:cs="Times New Roman"/>
                      <w:b w:val="0"/>
                      <w:bCs/>
                      <w:color w:val="auto"/>
                      <w:spacing w:val="-4"/>
                      <w:kern w:val="0"/>
                      <w:sz w:val="21"/>
                      <w:szCs w:val="22"/>
                      <w:u w:val="none"/>
                      <w:lang w:val="en-US" w:eastAsia="zh-CN" w:bidi="ar-SA"/>
                    </w:rPr>
                    <w:t>TPS</w:t>
                  </w:r>
                  <w:r>
                    <w:rPr>
                      <w:rFonts w:hint="eastAsia" w:hAnsi="Calibri" w:eastAsia="Times New Roman" w:cs="Times New Roman"/>
                      <w:b w:val="0"/>
                      <w:bCs/>
                      <w:color w:val="auto"/>
                      <w:spacing w:val="-4"/>
                      <w:kern w:val="0"/>
                      <w:sz w:val="21"/>
                      <w:szCs w:val="22"/>
                      <w:u w:val="none"/>
                      <w:lang w:val="en-US" w:eastAsia="zh-CN" w:bidi="ar-SA"/>
                    </w:rPr>
                    <w:t>12</w:t>
                  </w:r>
                </w:p>
              </w:tc>
              <w:tc>
                <w:tcPr>
                  <w:tcW w:w="1582" w:type="dxa"/>
                  <w:tcBorders>
                    <w:top w:val="single" w:color="000000" w:sz="6" w:space="0"/>
                    <w:left w:val="single" w:color="000000" w:sz="6" w:space="0"/>
                    <w:bottom w:val="single" w:color="000000" w:sz="6" w:space="0"/>
                    <w:right w:val="single" w:color="000000" w:sz="6" w:space="0"/>
                  </w:tcBorders>
                  <w:vAlign w:val="center"/>
                </w:tcPr>
                <w:p w14:paraId="678B848C">
                  <w:pPr>
                    <w:pStyle w:val="23"/>
                    <w:keepNext w:val="0"/>
                    <w:keepLines w:val="0"/>
                    <w:widowControl/>
                    <w:suppressLineNumbers w:val="0"/>
                    <w:adjustRightInd w:val="0"/>
                    <w:snapToGrid w:val="0"/>
                    <w:spacing w:line="240" w:lineRule="auto"/>
                    <w:ind w:left="0" w:leftChars="0" w:firstLine="0" w:firstLineChars="0"/>
                    <w:jc w:val="center"/>
                    <w:rPr>
                      <w:rFonts w:hint="default" w:ascii="Times New Roman" w:hAnsi="Calibri" w:eastAsia="Times New Roman" w:cs="Times New Roman"/>
                      <w:b w:val="0"/>
                      <w:bCs/>
                      <w:i w:val="0"/>
                      <w:iCs w:val="0"/>
                      <w:color w:val="auto"/>
                      <w:spacing w:val="-4"/>
                      <w:kern w:val="0"/>
                      <w:sz w:val="21"/>
                      <w:szCs w:val="22"/>
                      <w:u w:val="none"/>
                      <w:lang w:val="en-US" w:eastAsia="zh-CN" w:bidi="ar-SA"/>
                    </w:rPr>
                  </w:pPr>
                  <w:r>
                    <w:rPr>
                      <w:rFonts w:hint="default" w:ascii="Times New Roman" w:hAnsi="Calibri" w:eastAsia="Times New Roman" w:cs="Times New Roman"/>
                      <w:b w:val="0"/>
                      <w:bCs/>
                      <w:i w:val="0"/>
                      <w:iCs w:val="0"/>
                      <w:color w:val="auto"/>
                      <w:spacing w:val="-4"/>
                      <w:kern w:val="0"/>
                      <w:sz w:val="21"/>
                      <w:szCs w:val="22"/>
                      <w:u w:val="none"/>
                      <w:lang w:val="en-US" w:eastAsia="zh-CN" w:bidi="ar-SA"/>
                    </w:rPr>
                    <w:t>37364854</w:t>
                  </w:r>
                </w:p>
              </w:tc>
              <w:tc>
                <w:tcPr>
                  <w:tcW w:w="1582" w:type="dxa"/>
                  <w:tcBorders>
                    <w:top w:val="single" w:color="000000" w:sz="6" w:space="0"/>
                    <w:left w:val="single" w:color="000000" w:sz="6" w:space="0"/>
                    <w:bottom w:val="single" w:color="000000" w:sz="6" w:space="0"/>
                    <w:right w:val="single" w:color="000000" w:sz="6" w:space="0"/>
                  </w:tcBorders>
                  <w:vAlign w:val="center"/>
                </w:tcPr>
                <w:p w14:paraId="29C80639">
                  <w:pPr>
                    <w:pStyle w:val="23"/>
                    <w:keepNext w:val="0"/>
                    <w:keepLines w:val="0"/>
                    <w:widowControl/>
                    <w:suppressLineNumbers w:val="0"/>
                    <w:adjustRightInd w:val="0"/>
                    <w:snapToGrid w:val="0"/>
                    <w:spacing w:line="240" w:lineRule="auto"/>
                    <w:ind w:left="0" w:leftChars="0" w:firstLine="0" w:firstLineChars="0"/>
                    <w:jc w:val="center"/>
                    <w:rPr>
                      <w:rFonts w:hint="default" w:ascii="Times New Roman" w:hAnsi="Calibri" w:eastAsia="Times New Roman" w:cs="Times New Roman"/>
                      <w:b w:val="0"/>
                      <w:bCs/>
                      <w:color w:val="auto"/>
                      <w:spacing w:val="-4"/>
                      <w:kern w:val="0"/>
                      <w:sz w:val="21"/>
                      <w:szCs w:val="22"/>
                      <w:u w:val="none"/>
                      <w:lang w:val="en-US" w:eastAsia="zh-CN" w:bidi="ar-SA"/>
                    </w:rPr>
                  </w:pPr>
                  <w:r>
                    <w:rPr>
                      <w:rFonts w:hint="default" w:ascii="Times New Roman" w:hAnsi="Calibri" w:eastAsia="Times New Roman" w:cs="Times New Roman"/>
                      <w:b w:val="0"/>
                      <w:bCs/>
                      <w:color w:val="auto"/>
                      <w:spacing w:val="-4"/>
                      <w:kern w:val="0"/>
                      <w:sz w:val="21"/>
                      <w:szCs w:val="22"/>
                      <w:u w:val="none"/>
                      <w:lang w:val="en-US" w:eastAsia="zh-CN" w:bidi="ar-SA"/>
                    </w:rPr>
                    <w:t>2890325</w:t>
                  </w:r>
                </w:p>
              </w:tc>
              <w:tc>
                <w:tcPr>
                  <w:tcW w:w="1582" w:type="dxa"/>
                  <w:tcBorders>
                    <w:top w:val="single" w:color="000000" w:sz="6" w:space="0"/>
                    <w:left w:val="single" w:color="000000" w:sz="6" w:space="0"/>
                    <w:bottom w:val="single" w:color="000000" w:sz="6" w:space="0"/>
                    <w:right w:val="single" w:color="000000" w:sz="6" w:space="0"/>
                  </w:tcBorders>
                  <w:vAlign w:val="center"/>
                </w:tcPr>
                <w:p w14:paraId="37C35AC1">
                  <w:pPr>
                    <w:pStyle w:val="23"/>
                    <w:keepNext w:val="0"/>
                    <w:keepLines w:val="0"/>
                    <w:widowControl/>
                    <w:suppressLineNumbers w:val="0"/>
                    <w:adjustRightInd w:val="0"/>
                    <w:snapToGrid w:val="0"/>
                    <w:spacing w:line="240" w:lineRule="auto"/>
                    <w:ind w:left="0" w:leftChars="0" w:firstLine="0" w:firstLineChars="0"/>
                    <w:jc w:val="center"/>
                    <w:rPr>
                      <w:rFonts w:hint="default" w:ascii="Times New Roman" w:hAnsi="Calibri" w:eastAsia="Times New Roman" w:cs="Times New Roman"/>
                      <w:b w:val="0"/>
                      <w:bCs/>
                      <w:color w:val="auto"/>
                      <w:spacing w:val="-4"/>
                      <w:kern w:val="0"/>
                      <w:sz w:val="21"/>
                      <w:szCs w:val="22"/>
                      <w:u w:val="none"/>
                      <w:lang w:val="en-US" w:eastAsia="zh-CN" w:bidi="ar-SA"/>
                    </w:rPr>
                  </w:pPr>
                  <w:r>
                    <w:rPr>
                      <w:rFonts w:hint="eastAsia" w:ascii="Times New Roman" w:hAnsi="Calibri" w:eastAsia="Times New Roman" w:cs="Times New Roman"/>
                      <w:b w:val="0"/>
                      <w:bCs/>
                      <w:color w:val="auto"/>
                      <w:spacing w:val="-4"/>
                      <w:kern w:val="0"/>
                      <w:sz w:val="21"/>
                      <w:szCs w:val="22"/>
                      <w:u w:val="none"/>
                      <w:lang w:val="en-US" w:eastAsia="zh-CN" w:bidi="ar-SA"/>
                    </w:rPr>
                    <w:t>946.2</w:t>
                  </w:r>
                </w:p>
              </w:tc>
              <w:tc>
                <w:tcPr>
                  <w:tcW w:w="1585" w:type="dxa"/>
                  <w:tcBorders>
                    <w:top w:val="single" w:color="000000" w:sz="6" w:space="0"/>
                    <w:left w:val="single" w:color="000000" w:sz="6" w:space="0"/>
                    <w:bottom w:val="single" w:color="000000" w:sz="6" w:space="0"/>
                    <w:right w:val="single" w:color="000000" w:sz="6" w:space="0"/>
                  </w:tcBorders>
                  <w:vAlign w:val="center"/>
                </w:tcPr>
                <w:p w14:paraId="753BCCE8">
                  <w:pPr>
                    <w:keepNext w:val="0"/>
                    <w:keepLines w:val="0"/>
                    <w:widowControl/>
                    <w:suppressLineNumbers w:val="0"/>
                    <w:adjustRightInd w:val="0"/>
                    <w:snapToGrid w:val="0"/>
                    <w:spacing w:line="240" w:lineRule="auto"/>
                    <w:ind w:left="0" w:leftChars="0" w:firstLine="0" w:firstLineChars="0"/>
                    <w:jc w:val="center"/>
                    <w:rPr>
                      <w:rFonts w:hint="default" w:ascii="Times New Roman" w:hAnsi="Calibri" w:eastAsia="Times New Roman" w:cs="Times New Roman"/>
                      <w:b w:val="0"/>
                      <w:bCs/>
                      <w:color w:val="auto"/>
                      <w:spacing w:val="-4"/>
                      <w:kern w:val="0"/>
                      <w:sz w:val="21"/>
                      <w:szCs w:val="22"/>
                      <w:u w:val="none"/>
                      <w:lang w:val="en-US" w:eastAsia="zh-CN" w:bidi="ar-SA"/>
                    </w:rPr>
                  </w:pPr>
                  <w:r>
                    <w:rPr>
                      <w:rFonts w:hint="eastAsia" w:ascii="Times New Roman" w:hAnsi="Calibri" w:eastAsia="Times New Roman" w:cs="Times New Roman"/>
                      <w:b w:val="0"/>
                      <w:bCs/>
                      <w:color w:val="auto"/>
                      <w:spacing w:val="-4"/>
                      <w:kern w:val="0"/>
                      <w:sz w:val="21"/>
                      <w:szCs w:val="22"/>
                      <w:u w:val="none"/>
                      <w:lang w:val="en-US" w:eastAsia="zh-CN" w:bidi="ar-SA"/>
                    </w:rPr>
                    <w:t>115</w:t>
                  </w:r>
                </w:p>
              </w:tc>
            </w:tr>
            <w:tr w14:paraId="486B86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509" w:type="dxa"/>
                  <w:tcBorders>
                    <w:top w:val="single" w:color="000000" w:sz="6" w:space="0"/>
                    <w:bottom w:val="single" w:color="000000" w:sz="6" w:space="0"/>
                    <w:right w:val="single" w:color="000000" w:sz="6" w:space="0"/>
                  </w:tcBorders>
                  <w:vAlign w:val="center"/>
                </w:tcPr>
                <w:p w14:paraId="6FD1FEF1">
                  <w:pPr>
                    <w:keepNext w:val="0"/>
                    <w:keepLines w:val="0"/>
                    <w:widowControl/>
                    <w:suppressLineNumbers w:val="0"/>
                    <w:adjustRightInd w:val="0"/>
                    <w:snapToGrid w:val="0"/>
                    <w:spacing w:line="240" w:lineRule="auto"/>
                    <w:ind w:left="0" w:leftChars="0" w:firstLine="0" w:firstLineChars="0"/>
                    <w:jc w:val="center"/>
                    <w:rPr>
                      <w:rFonts w:hint="default" w:ascii="Times New Roman" w:hAnsi="Calibri" w:eastAsia="Times New Roman" w:cs="Times New Roman"/>
                      <w:b w:val="0"/>
                      <w:bCs/>
                      <w:color w:val="auto"/>
                      <w:spacing w:val="-4"/>
                      <w:kern w:val="0"/>
                      <w:sz w:val="21"/>
                      <w:szCs w:val="22"/>
                      <w:u w:val="wave"/>
                      <w:lang w:val="en-US" w:eastAsia="zh-CN" w:bidi="ar-SA"/>
                    </w:rPr>
                  </w:pPr>
                  <w:r>
                    <w:rPr>
                      <w:rFonts w:hint="eastAsia" w:ascii="Times New Roman" w:hAnsi="Calibri" w:eastAsia="Times New Roman" w:cs="Times New Roman"/>
                      <w:b w:val="0"/>
                      <w:bCs/>
                      <w:color w:val="auto"/>
                      <w:spacing w:val="-4"/>
                      <w:kern w:val="0"/>
                      <w:sz w:val="21"/>
                      <w:szCs w:val="22"/>
                      <w:u w:val="none"/>
                      <w:lang w:val="en-US" w:eastAsia="zh-CN" w:bidi="ar-SA"/>
                    </w:rPr>
                    <w:t>TPS</w:t>
                  </w:r>
                  <w:r>
                    <w:rPr>
                      <w:rFonts w:hint="eastAsia" w:hAnsi="Calibri" w:eastAsia="Times New Roman" w:cs="Times New Roman"/>
                      <w:b w:val="0"/>
                      <w:bCs/>
                      <w:color w:val="auto"/>
                      <w:spacing w:val="-4"/>
                      <w:kern w:val="0"/>
                      <w:sz w:val="21"/>
                      <w:szCs w:val="22"/>
                      <w:u w:val="none"/>
                      <w:lang w:val="en-US" w:eastAsia="zh-CN" w:bidi="ar-SA"/>
                    </w:rPr>
                    <w:t>13</w:t>
                  </w:r>
                </w:p>
              </w:tc>
              <w:tc>
                <w:tcPr>
                  <w:tcW w:w="1582" w:type="dxa"/>
                  <w:tcBorders>
                    <w:top w:val="single" w:color="000000" w:sz="6" w:space="0"/>
                    <w:left w:val="single" w:color="000000" w:sz="6" w:space="0"/>
                    <w:bottom w:val="single" w:color="000000" w:sz="6" w:space="0"/>
                    <w:right w:val="single" w:color="000000" w:sz="6" w:space="0"/>
                  </w:tcBorders>
                  <w:vAlign w:val="center"/>
                </w:tcPr>
                <w:p w14:paraId="48312FD7">
                  <w:pPr>
                    <w:pStyle w:val="23"/>
                    <w:keepNext w:val="0"/>
                    <w:keepLines w:val="0"/>
                    <w:widowControl/>
                    <w:suppressLineNumbers w:val="0"/>
                    <w:adjustRightInd w:val="0"/>
                    <w:snapToGrid w:val="0"/>
                    <w:spacing w:line="240" w:lineRule="auto"/>
                    <w:ind w:left="0" w:leftChars="0" w:firstLine="0" w:firstLineChars="0"/>
                    <w:jc w:val="center"/>
                    <w:rPr>
                      <w:rFonts w:hint="default" w:ascii="Times New Roman" w:hAnsi="Calibri" w:eastAsia="Times New Roman" w:cs="Times New Roman"/>
                      <w:b w:val="0"/>
                      <w:bCs/>
                      <w:i w:val="0"/>
                      <w:iCs w:val="0"/>
                      <w:color w:val="auto"/>
                      <w:spacing w:val="-4"/>
                      <w:kern w:val="0"/>
                      <w:sz w:val="21"/>
                      <w:szCs w:val="22"/>
                      <w:u w:val="none"/>
                      <w:lang w:val="en-US" w:eastAsia="zh-CN" w:bidi="ar-SA"/>
                    </w:rPr>
                  </w:pPr>
                  <w:r>
                    <w:rPr>
                      <w:rFonts w:hint="default" w:ascii="Times New Roman" w:hAnsi="Calibri" w:eastAsia="Times New Roman" w:cs="Times New Roman"/>
                      <w:b w:val="0"/>
                      <w:bCs/>
                      <w:i w:val="0"/>
                      <w:iCs w:val="0"/>
                      <w:color w:val="auto"/>
                      <w:spacing w:val="-4"/>
                      <w:kern w:val="0"/>
                      <w:sz w:val="21"/>
                      <w:szCs w:val="22"/>
                      <w:u w:val="none"/>
                      <w:lang w:val="en-US" w:eastAsia="zh-CN" w:bidi="ar-SA"/>
                    </w:rPr>
                    <w:t>37364409</w:t>
                  </w:r>
                </w:p>
              </w:tc>
              <w:tc>
                <w:tcPr>
                  <w:tcW w:w="1582" w:type="dxa"/>
                  <w:tcBorders>
                    <w:top w:val="single" w:color="000000" w:sz="6" w:space="0"/>
                    <w:left w:val="single" w:color="000000" w:sz="6" w:space="0"/>
                    <w:bottom w:val="single" w:color="000000" w:sz="6" w:space="0"/>
                    <w:right w:val="single" w:color="000000" w:sz="6" w:space="0"/>
                  </w:tcBorders>
                  <w:vAlign w:val="center"/>
                </w:tcPr>
                <w:p w14:paraId="49B1B0E0">
                  <w:pPr>
                    <w:pStyle w:val="23"/>
                    <w:keepNext w:val="0"/>
                    <w:keepLines w:val="0"/>
                    <w:widowControl/>
                    <w:suppressLineNumbers w:val="0"/>
                    <w:adjustRightInd w:val="0"/>
                    <w:snapToGrid w:val="0"/>
                    <w:spacing w:line="240" w:lineRule="auto"/>
                    <w:ind w:left="0" w:leftChars="0" w:firstLine="0" w:firstLineChars="0"/>
                    <w:jc w:val="center"/>
                    <w:rPr>
                      <w:rFonts w:hint="default" w:ascii="Times New Roman" w:hAnsi="Calibri" w:eastAsia="Times New Roman" w:cs="Times New Roman"/>
                      <w:b w:val="0"/>
                      <w:bCs/>
                      <w:color w:val="auto"/>
                      <w:spacing w:val="-4"/>
                      <w:kern w:val="0"/>
                      <w:sz w:val="21"/>
                      <w:szCs w:val="22"/>
                      <w:u w:val="none"/>
                      <w:lang w:val="en-US" w:eastAsia="zh-CN" w:bidi="ar-SA"/>
                    </w:rPr>
                  </w:pPr>
                  <w:r>
                    <w:rPr>
                      <w:rFonts w:hint="default" w:ascii="Times New Roman" w:hAnsi="Calibri" w:eastAsia="Times New Roman" w:cs="Times New Roman"/>
                      <w:b w:val="0"/>
                      <w:bCs/>
                      <w:color w:val="auto"/>
                      <w:spacing w:val="-4"/>
                      <w:kern w:val="0"/>
                      <w:sz w:val="21"/>
                      <w:szCs w:val="22"/>
                      <w:u w:val="none"/>
                      <w:lang w:val="en-US" w:eastAsia="zh-CN" w:bidi="ar-SA"/>
                    </w:rPr>
                    <w:t>2890198</w:t>
                  </w:r>
                </w:p>
              </w:tc>
              <w:tc>
                <w:tcPr>
                  <w:tcW w:w="1582" w:type="dxa"/>
                  <w:tcBorders>
                    <w:top w:val="single" w:color="000000" w:sz="6" w:space="0"/>
                    <w:left w:val="single" w:color="000000" w:sz="6" w:space="0"/>
                    <w:bottom w:val="single" w:color="000000" w:sz="6" w:space="0"/>
                    <w:right w:val="single" w:color="000000" w:sz="6" w:space="0"/>
                  </w:tcBorders>
                  <w:vAlign w:val="center"/>
                </w:tcPr>
                <w:p w14:paraId="72404A31">
                  <w:pPr>
                    <w:pStyle w:val="23"/>
                    <w:keepNext w:val="0"/>
                    <w:keepLines w:val="0"/>
                    <w:widowControl/>
                    <w:suppressLineNumbers w:val="0"/>
                    <w:adjustRightInd w:val="0"/>
                    <w:snapToGrid w:val="0"/>
                    <w:spacing w:line="240" w:lineRule="auto"/>
                    <w:ind w:left="0" w:leftChars="0" w:firstLine="0" w:firstLineChars="0"/>
                    <w:jc w:val="center"/>
                    <w:rPr>
                      <w:rFonts w:hint="default" w:ascii="Times New Roman" w:hAnsi="Calibri" w:eastAsia="Times New Roman" w:cs="Times New Roman"/>
                      <w:b w:val="0"/>
                      <w:bCs/>
                      <w:color w:val="auto"/>
                      <w:spacing w:val="-4"/>
                      <w:kern w:val="0"/>
                      <w:sz w:val="21"/>
                      <w:szCs w:val="22"/>
                      <w:u w:val="none"/>
                      <w:lang w:val="en-US" w:eastAsia="zh-CN" w:bidi="ar-SA"/>
                    </w:rPr>
                  </w:pPr>
                  <w:r>
                    <w:rPr>
                      <w:rFonts w:hint="eastAsia" w:ascii="Times New Roman" w:hAnsi="Calibri" w:eastAsia="Times New Roman" w:cs="Times New Roman"/>
                      <w:b w:val="0"/>
                      <w:bCs/>
                      <w:color w:val="auto"/>
                      <w:spacing w:val="-4"/>
                      <w:kern w:val="0"/>
                      <w:sz w:val="21"/>
                      <w:szCs w:val="22"/>
                      <w:u w:val="none"/>
                      <w:lang w:val="en-US" w:eastAsia="zh-CN" w:bidi="ar-SA"/>
                    </w:rPr>
                    <w:t>880.5</w:t>
                  </w:r>
                </w:p>
              </w:tc>
              <w:tc>
                <w:tcPr>
                  <w:tcW w:w="1585" w:type="dxa"/>
                  <w:tcBorders>
                    <w:top w:val="single" w:color="000000" w:sz="6" w:space="0"/>
                    <w:left w:val="single" w:color="000000" w:sz="6" w:space="0"/>
                    <w:bottom w:val="single" w:color="000000" w:sz="6" w:space="0"/>
                    <w:right w:val="single" w:color="000000" w:sz="6" w:space="0"/>
                  </w:tcBorders>
                  <w:vAlign w:val="center"/>
                </w:tcPr>
                <w:p w14:paraId="33F8673B">
                  <w:pPr>
                    <w:keepNext w:val="0"/>
                    <w:keepLines w:val="0"/>
                    <w:widowControl/>
                    <w:suppressLineNumbers w:val="0"/>
                    <w:adjustRightInd w:val="0"/>
                    <w:snapToGrid w:val="0"/>
                    <w:spacing w:line="240" w:lineRule="auto"/>
                    <w:ind w:left="0" w:leftChars="0" w:firstLine="0" w:firstLineChars="0"/>
                    <w:jc w:val="center"/>
                    <w:rPr>
                      <w:rFonts w:hint="default" w:ascii="Times New Roman" w:hAnsi="Calibri" w:eastAsia="Times New Roman" w:cs="Times New Roman"/>
                      <w:b w:val="0"/>
                      <w:bCs/>
                      <w:color w:val="auto"/>
                      <w:spacing w:val="-4"/>
                      <w:kern w:val="0"/>
                      <w:sz w:val="21"/>
                      <w:szCs w:val="22"/>
                      <w:u w:val="none"/>
                      <w:lang w:val="en-US" w:eastAsia="zh-CN" w:bidi="ar-SA"/>
                    </w:rPr>
                  </w:pPr>
                  <w:r>
                    <w:rPr>
                      <w:rFonts w:hint="eastAsia" w:ascii="Times New Roman" w:hAnsi="Calibri" w:eastAsia="Times New Roman" w:cs="Times New Roman"/>
                      <w:b w:val="0"/>
                      <w:bCs/>
                      <w:color w:val="auto"/>
                      <w:spacing w:val="-4"/>
                      <w:kern w:val="0"/>
                      <w:sz w:val="21"/>
                      <w:szCs w:val="22"/>
                      <w:u w:val="none"/>
                      <w:lang w:val="en-US" w:eastAsia="zh-CN" w:bidi="ar-SA"/>
                    </w:rPr>
                    <w:t>115</w:t>
                  </w:r>
                </w:p>
              </w:tc>
            </w:tr>
            <w:tr w14:paraId="166DEB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509" w:type="dxa"/>
                  <w:tcBorders>
                    <w:top w:val="single" w:color="000000" w:sz="6" w:space="0"/>
                    <w:bottom w:val="single" w:color="000000" w:sz="6" w:space="0"/>
                    <w:right w:val="single" w:color="000000" w:sz="6" w:space="0"/>
                  </w:tcBorders>
                  <w:vAlign w:val="center"/>
                </w:tcPr>
                <w:p w14:paraId="5189D38D">
                  <w:pPr>
                    <w:keepNext w:val="0"/>
                    <w:keepLines w:val="0"/>
                    <w:widowControl/>
                    <w:suppressLineNumbers w:val="0"/>
                    <w:adjustRightInd w:val="0"/>
                    <w:snapToGrid w:val="0"/>
                    <w:spacing w:line="240" w:lineRule="auto"/>
                    <w:ind w:left="0" w:leftChars="0" w:firstLine="0" w:firstLineChars="0"/>
                    <w:jc w:val="center"/>
                    <w:rPr>
                      <w:rFonts w:hint="default" w:ascii="Times New Roman" w:hAnsi="Calibri" w:eastAsia="Times New Roman" w:cs="Times New Roman"/>
                      <w:b w:val="0"/>
                      <w:bCs/>
                      <w:color w:val="auto"/>
                      <w:spacing w:val="-4"/>
                      <w:kern w:val="0"/>
                      <w:sz w:val="21"/>
                      <w:szCs w:val="22"/>
                      <w:u w:val="none"/>
                      <w:lang w:val="en-US" w:eastAsia="zh-CN" w:bidi="ar-SA"/>
                    </w:rPr>
                  </w:pPr>
                  <w:r>
                    <w:rPr>
                      <w:rFonts w:hint="eastAsia" w:ascii="Times New Roman" w:hAnsi="Calibri" w:eastAsia="Times New Roman" w:cs="Times New Roman"/>
                      <w:b w:val="0"/>
                      <w:bCs/>
                      <w:color w:val="auto"/>
                      <w:spacing w:val="-4"/>
                      <w:kern w:val="0"/>
                      <w:sz w:val="21"/>
                      <w:szCs w:val="22"/>
                      <w:u w:val="none"/>
                      <w:lang w:val="en-US" w:eastAsia="zh-CN" w:bidi="ar-SA"/>
                    </w:rPr>
                    <w:t>TPS</w:t>
                  </w:r>
                  <w:r>
                    <w:rPr>
                      <w:rFonts w:hint="eastAsia" w:hAnsi="Calibri" w:eastAsia="Times New Roman" w:cs="Times New Roman"/>
                      <w:b w:val="0"/>
                      <w:bCs/>
                      <w:color w:val="auto"/>
                      <w:spacing w:val="-4"/>
                      <w:kern w:val="0"/>
                      <w:sz w:val="21"/>
                      <w:szCs w:val="22"/>
                      <w:u w:val="none"/>
                      <w:lang w:val="en-US" w:eastAsia="zh-CN" w:bidi="ar-SA"/>
                    </w:rPr>
                    <w:t>14</w:t>
                  </w:r>
                </w:p>
              </w:tc>
              <w:tc>
                <w:tcPr>
                  <w:tcW w:w="1582" w:type="dxa"/>
                  <w:tcBorders>
                    <w:top w:val="single" w:color="000000" w:sz="6" w:space="0"/>
                    <w:left w:val="single" w:color="000000" w:sz="6" w:space="0"/>
                    <w:bottom w:val="single" w:color="000000" w:sz="6" w:space="0"/>
                    <w:right w:val="single" w:color="000000" w:sz="6" w:space="0"/>
                  </w:tcBorders>
                  <w:vAlign w:val="center"/>
                </w:tcPr>
                <w:p w14:paraId="54CBB3B8">
                  <w:pPr>
                    <w:pStyle w:val="23"/>
                    <w:keepNext w:val="0"/>
                    <w:keepLines w:val="0"/>
                    <w:widowControl/>
                    <w:suppressLineNumbers w:val="0"/>
                    <w:adjustRightInd w:val="0"/>
                    <w:snapToGrid w:val="0"/>
                    <w:spacing w:line="240" w:lineRule="auto"/>
                    <w:ind w:left="0" w:leftChars="0" w:firstLine="0" w:firstLineChars="0"/>
                    <w:jc w:val="center"/>
                    <w:rPr>
                      <w:rFonts w:hint="default" w:ascii="Times New Roman" w:hAnsi="Calibri" w:eastAsia="Times New Roman" w:cs="Times New Roman"/>
                      <w:b w:val="0"/>
                      <w:bCs/>
                      <w:i w:val="0"/>
                      <w:iCs w:val="0"/>
                      <w:color w:val="auto"/>
                      <w:spacing w:val="-4"/>
                      <w:kern w:val="0"/>
                      <w:sz w:val="21"/>
                      <w:szCs w:val="22"/>
                      <w:u w:val="none"/>
                      <w:lang w:val="en-US" w:eastAsia="zh-CN" w:bidi="ar-SA"/>
                    </w:rPr>
                  </w:pPr>
                  <w:r>
                    <w:rPr>
                      <w:rFonts w:hint="default" w:ascii="Times New Roman" w:hAnsi="Calibri" w:eastAsia="Times New Roman" w:cs="Times New Roman"/>
                      <w:b w:val="0"/>
                      <w:bCs/>
                      <w:i w:val="0"/>
                      <w:iCs w:val="0"/>
                      <w:color w:val="auto"/>
                      <w:spacing w:val="-4"/>
                      <w:kern w:val="0"/>
                      <w:sz w:val="21"/>
                      <w:szCs w:val="22"/>
                      <w:u w:val="none"/>
                      <w:lang w:val="en-US" w:eastAsia="zh-CN" w:bidi="ar-SA"/>
                    </w:rPr>
                    <w:t>37364051</w:t>
                  </w:r>
                </w:p>
              </w:tc>
              <w:tc>
                <w:tcPr>
                  <w:tcW w:w="1582" w:type="dxa"/>
                  <w:tcBorders>
                    <w:top w:val="single" w:color="000000" w:sz="6" w:space="0"/>
                    <w:left w:val="single" w:color="000000" w:sz="6" w:space="0"/>
                    <w:bottom w:val="single" w:color="000000" w:sz="6" w:space="0"/>
                    <w:right w:val="single" w:color="000000" w:sz="6" w:space="0"/>
                  </w:tcBorders>
                  <w:vAlign w:val="center"/>
                </w:tcPr>
                <w:p w14:paraId="6DB192DB">
                  <w:pPr>
                    <w:pStyle w:val="23"/>
                    <w:keepNext w:val="0"/>
                    <w:keepLines w:val="0"/>
                    <w:widowControl/>
                    <w:suppressLineNumbers w:val="0"/>
                    <w:adjustRightInd w:val="0"/>
                    <w:snapToGrid w:val="0"/>
                    <w:spacing w:line="240" w:lineRule="auto"/>
                    <w:ind w:left="0" w:leftChars="0" w:firstLine="0" w:firstLineChars="0"/>
                    <w:jc w:val="center"/>
                    <w:rPr>
                      <w:rFonts w:hint="default" w:ascii="Times New Roman" w:hAnsi="Calibri" w:eastAsia="Times New Roman" w:cs="Times New Roman"/>
                      <w:b w:val="0"/>
                      <w:bCs/>
                      <w:color w:val="auto"/>
                      <w:spacing w:val="-4"/>
                      <w:kern w:val="0"/>
                      <w:sz w:val="21"/>
                      <w:szCs w:val="22"/>
                      <w:u w:val="none"/>
                      <w:lang w:val="en-US" w:eastAsia="zh-CN" w:bidi="ar-SA"/>
                    </w:rPr>
                  </w:pPr>
                  <w:r>
                    <w:rPr>
                      <w:rFonts w:hint="default" w:ascii="Times New Roman" w:hAnsi="Calibri" w:eastAsia="Times New Roman" w:cs="Times New Roman"/>
                      <w:b w:val="0"/>
                      <w:bCs/>
                      <w:color w:val="auto"/>
                      <w:spacing w:val="-4"/>
                      <w:kern w:val="0"/>
                      <w:sz w:val="21"/>
                      <w:szCs w:val="22"/>
                      <w:u w:val="none"/>
                      <w:lang w:val="en-US" w:eastAsia="zh-CN" w:bidi="ar-SA"/>
                    </w:rPr>
                    <w:t>2890061</w:t>
                  </w:r>
                </w:p>
              </w:tc>
              <w:tc>
                <w:tcPr>
                  <w:tcW w:w="1582" w:type="dxa"/>
                  <w:tcBorders>
                    <w:top w:val="single" w:color="000000" w:sz="6" w:space="0"/>
                    <w:left w:val="single" w:color="000000" w:sz="6" w:space="0"/>
                    <w:bottom w:val="single" w:color="000000" w:sz="6" w:space="0"/>
                    <w:right w:val="single" w:color="000000" w:sz="6" w:space="0"/>
                  </w:tcBorders>
                  <w:vAlign w:val="center"/>
                </w:tcPr>
                <w:p w14:paraId="5AB7C94D">
                  <w:pPr>
                    <w:pStyle w:val="23"/>
                    <w:keepNext w:val="0"/>
                    <w:keepLines w:val="0"/>
                    <w:widowControl/>
                    <w:suppressLineNumbers w:val="0"/>
                    <w:adjustRightInd w:val="0"/>
                    <w:snapToGrid w:val="0"/>
                    <w:spacing w:line="240" w:lineRule="auto"/>
                    <w:ind w:left="0" w:leftChars="0" w:firstLine="0" w:firstLineChars="0"/>
                    <w:jc w:val="center"/>
                    <w:rPr>
                      <w:rFonts w:hint="default" w:ascii="Times New Roman" w:hAnsi="Calibri" w:eastAsia="Times New Roman" w:cs="Times New Roman"/>
                      <w:b w:val="0"/>
                      <w:bCs/>
                      <w:color w:val="auto"/>
                      <w:spacing w:val="-4"/>
                      <w:kern w:val="0"/>
                      <w:sz w:val="21"/>
                      <w:szCs w:val="22"/>
                      <w:u w:val="none"/>
                      <w:lang w:val="en-US" w:eastAsia="zh-CN" w:bidi="ar-SA"/>
                    </w:rPr>
                  </w:pPr>
                  <w:r>
                    <w:rPr>
                      <w:rFonts w:hint="eastAsia" w:ascii="Times New Roman" w:hAnsi="Calibri" w:eastAsia="Times New Roman" w:cs="Times New Roman"/>
                      <w:b w:val="0"/>
                      <w:bCs/>
                      <w:color w:val="auto"/>
                      <w:spacing w:val="-4"/>
                      <w:kern w:val="0"/>
                      <w:sz w:val="21"/>
                      <w:szCs w:val="22"/>
                      <w:u w:val="none"/>
                      <w:lang w:val="en-US" w:eastAsia="zh-CN" w:bidi="ar-SA"/>
                    </w:rPr>
                    <w:t>878.2</w:t>
                  </w:r>
                </w:p>
              </w:tc>
              <w:tc>
                <w:tcPr>
                  <w:tcW w:w="1585" w:type="dxa"/>
                  <w:tcBorders>
                    <w:top w:val="single" w:color="000000" w:sz="6" w:space="0"/>
                    <w:left w:val="single" w:color="000000" w:sz="6" w:space="0"/>
                    <w:bottom w:val="single" w:color="000000" w:sz="6" w:space="0"/>
                    <w:right w:val="single" w:color="000000" w:sz="6" w:space="0"/>
                  </w:tcBorders>
                  <w:vAlign w:val="center"/>
                </w:tcPr>
                <w:p w14:paraId="62BFC966">
                  <w:pPr>
                    <w:keepNext w:val="0"/>
                    <w:keepLines w:val="0"/>
                    <w:widowControl/>
                    <w:suppressLineNumbers w:val="0"/>
                    <w:adjustRightInd w:val="0"/>
                    <w:snapToGrid w:val="0"/>
                    <w:spacing w:line="240" w:lineRule="auto"/>
                    <w:ind w:left="0" w:leftChars="0" w:firstLine="0" w:firstLineChars="0"/>
                    <w:jc w:val="center"/>
                    <w:rPr>
                      <w:rFonts w:hint="eastAsia" w:ascii="Times New Roman" w:hAnsi="Calibri" w:eastAsia="Times New Roman" w:cs="Times New Roman"/>
                      <w:b w:val="0"/>
                      <w:bCs/>
                      <w:color w:val="auto"/>
                      <w:spacing w:val="-4"/>
                      <w:kern w:val="0"/>
                      <w:sz w:val="21"/>
                      <w:szCs w:val="22"/>
                      <w:u w:val="none"/>
                      <w:lang w:val="en-US" w:eastAsia="zh-CN" w:bidi="ar-SA"/>
                    </w:rPr>
                  </w:pPr>
                  <w:r>
                    <w:rPr>
                      <w:rFonts w:hint="eastAsia" w:ascii="Times New Roman" w:hAnsi="Calibri" w:eastAsia="Times New Roman" w:cs="Times New Roman"/>
                      <w:b w:val="0"/>
                      <w:bCs/>
                      <w:color w:val="auto"/>
                      <w:spacing w:val="-4"/>
                      <w:kern w:val="0"/>
                      <w:sz w:val="21"/>
                      <w:szCs w:val="22"/>
                      <w:u w:val="none"/>
                      <w:lang w:val="en-US" w:eastAsia="zh-CN" w:bidi="ar-SA"/>
                    </w:rPr>
                    <w:t>115</w:t>
                  </w:r>
                </w:p>
              </w:tc>
            </w:tr>
            <w:tr w14:paraId="701CF2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509" w:type="dxa"/>
                  <w:tcBorders>
                    <w:top w:val="single" w:color="000000" w:sz="6" w:space="0"/>
                    <w:bottom w:val="single" w:color="000000" w:sz="6" w:space="0"/>
                    <w:right w:val="single" w:color="000000" w:sz="6" w:space="0"/>
                  </w:tcBorders>
                  <w:vAlign w:val="center"/>
                </w:tcPr>
                <w:p w14:paraId="7361E3EF">
                  <w:pPr>
                    <w:keepNext w:val="0"/>
                    <w:keepLines w:val="0"/>
                    <w:widowControl/>
                    <w:suppressLineNumbers w:val="0"/>
                    <w:adjustRightInd w:val="0"/>
                    <w:snapToGrid w:val="0"/>
                    <w:spacing w:line="240" w:lineRule="auto"/>
                    <w:ind w:left="0" w:leftChars="0" w:firstLine="0" w:firstLineChars="0"/>
                    <w:jc w:val="center"/>
                    <w:rPr>
                      <w:rFonts w:hint="default" w:ascii="Times New Roman" w:hAnsi="Calibri" w:eastAsia="Times New Roman" w:cs="Times New Roman"/>
                      <w:b w:val="0"/>
                      <w:bCs/>
                      <w:color w:val="auto"/>
                      <w:spacing w:val="-4"/>
                      <w:kern w:val="0"/>
                      <w:sz w:val="21"/>
                      <w:szCs w:val="22"/>
                      <w:u w:val="none"/>
                      <w:lang w:val="en-US" w:eastAsia="zh-CN" w:bidi="ar-SA"/>
                    </w:rPr>
                  </w:pPr>
                  <w:r>
                    <w:rPr>
                      <w:rFonts w:hint="eastAsia" w:ascii="Times New Roman" w:hAnsi="Calibri" w:eastAsia="Times New Roman" w:cs="Times New Roman"/>
                      <w:b w:val="0"/>
                      <w:bCs/>
                      <w:color w:val="auto"/>
                      <w:spacing w:val="-4"/>
                      <w:kern w:val="0"/>
                      <w:sz w:val="21"/>
                      <w:szCs w:val="22"/>
                      <w:u w:val="none"/>
                      <w:lang w:val="en-US" w:eastAsia="zh-CN" w:bidi="ar-SA"/>
                    </w:rPr>
                    <w:t>TPS</w:t>
                  </w:r>
                  <w:r>
                    <w:rPr>
                      <w:rFonts w:hint="eastAsia" w:hAnsi="Calibri" w:eastAsia="Times New Roman" w:cs="Times New Roman"/>
                      <w:b w:val="0"/>
                      <w:bCs/>
                      <w:color w:val="auto"/>
                      <w:spacing w:val="-4"/>
                      <w:kern w:val="0"/>
                      <w:sz w:val="21"/>
                      <w:szCs w:val="22"/>
                      <w:u w:val="none"/>
                      <w:lang w:val="en-US" w:eastAsia="zh-CN" w:bidi="ar-SA"/>
                    </w:rPr>
                    <w:t>15</w:t>
                  </w:r>
                </w:p>
              </w:tc>
              <w:tc>
                <w:tcPr>
                  <w:tcW w:w="1582" w:type="dxa"/>
                  <w:tcBorders>
                    <w:top w:val="single" w:color="000000" w:sz="6" w:space="0"/>
                    <w:left w:val="single" w:color="000000" w:sz="6" w:space="0"/>
                    <w:bottom w:val="single" w:color="000000" w:sz="6" w:space="0"/>
                    <w:right w:val="single" w:color="000000" w:sz="6" w:space="0"/>
                  </w:tcBorders>
                  <w:vAlign w:val="center"/>
                </w:tcPr>
                <w:p w14:paraId="23988525">
                  <w:pPr>
                    <w:pStyle w:val="23"/>
                    <w:keepNext w:val="0"/>
                    <w:keepLines w:val="0"/>
                    <w:widowControl/>
                    <w:suppressLineNumbers w:val="0"/>
                    <w:adjustRightInd w:val="0"/>
                    <w:snapToGrid w:val="0"/>
                    <w:spacing w:line="240" w:lineRule="auto"/>
                    <w:ind w:left="0" w:leftChars="0" w:firstLine="0" w:firstLineChars="0"/>
                    <w:jc w:val="center"/>
                    <w:rPr>
                      <w:rFonts w:hint="default" w:ascii="Times New Roman" w:hAnsi="Calibri" w:eastAsia="Times New Roman" w:cs="Times New Roman"/>
                      <w:b w:val="0"/>
                      <w:bCs/>
                      <w:i w:val="0"/>
                      <w:iCs w:val="0"/>
                      <w:color w:val="auto"/>
                      <w:spacing w:val="-4"/>
                      <w:kern w:val="0"/>
                      <w:sz w:val="21"/>
                      <w:szCs w:val="22"/>
                      <w:u w:val="none"/>
                      <w:lang w:val="en-US" w:eastAsia="zh-CN" w:bidi="ar-SA"/>
                    </w:rPr>
                  </w:pPr>
                  <w:r>
                    <w:rPr>
                      <w:rFonts w:hint="default" w:ascii="Times New Roman" w:hAnsi="Calibri" w:eastAsia="Times New Roman" w:cs="Times New Roman"/>
                      <w:b w:val="0"/>
                      <w:bCs/>
                      <w:i w:val="0"/>
                      <w:iCs w:val="0"/>
                      <w:color w:val="auto"/>
                      <w:spacing w:val="-4"/>
                      <w:kern w:val="0"/>
                      <w:sz w:val="21"/>
                      <w:szCs w:val="22"/>
                      <w:u w:val="none"/>
                      <w:lang w:val="en-US" w:eastAsia="zh-CN" w:bidi="ar-SA"/>
                    </w:rPr>
                    <w:t>37363636</w:t>
                  </w:r>
                </w:p>
              </w:tc>
              <w:tc>
                <w:tcPr>
                  <w:tcW w:w="1582" w:type="dxa"/>
                  <w:tcBorders>
                    <w:top w:val="single" w:color="000000" w:sz="6" w:space="0"/>
                    <w:left w:val="single" w:color="000000" w:sz="6" w:space="0"/>
                    <w:bottom w:val="single" w:color="000000" w:sz="6" w:space="0"/>
                    <w:right w:val="single" w:color="000000" w:sz="6" w:space="0"/>
                  </w:tcBorders>
                  <w:vAlign w:val="center"/>
                </w:tcPr>
                <w:p w14:paraId="418B0424">
                  <w:pPr>
                    <w:pStyle w:val="23"/>
                    <w:keepNext w:val="0"/>
                    <w:keepLines w:val="0"/>
                    <w:widowControl/>
                    <w:suppressLineNumbers w:val="0"/>
                    <w:adjustRightInd w:val="0"/>
                    <w:snapToGrid w:val="0"/>
                    <w:spacing w:line="240" w:lineRule="auto"/>
                    <w:ind w:left="0" w:leftChars="0" w:firstLine="0" w:firstLineChars="0"/>
                    <w:jc w:val="center"/>
                    <w:rPr>
                      <w:rFonts w:hint="default" w:ascii="Times New Roman" w:hAnsi="Calibri" w:eastAsia="Times New Roman" w:cs="Times New Roman"/>
                      <w:b w:val="0"/>
                      <w:bCs/>
                      <w:color w:val="auto"/>
                      <w:spacing w:val="-4"/>
                      <w:kern w:val="0"/>
                      <w:sz w:val="21"/>
                      <w:szCs w:val="22"/>
                      <w:u w:val="none"/>
                      <w:lang w:val="en-US" w:eastAsia="zh-CN" w:bidi="ar-SA"/>
                    </w:rPr>
                  </w:pPr>
                  <w:r>
                    <w:rPr>
                      <w:rFonts w:hint="default" w:ascii="Times New Roman" w:hAnsi="Calibri" w:eastAsia="Times New Roman" w:cs="Times New Roman"/>
                      <w:b w:val="0"/>
                      <w:bCs/>
                      <w:color w:val="auto"/>
                      <w:spacing w:val="-4"/>
                      <w:kern w:val="0"/>
                      <w:sz w:val="21"/>
                      <w:szCs w:val="22"/>
                      <w:u w:val="none"/>
                      <w:lang w:val="en-US" w:eastAsia="zh-CN" w:bidi="ar-SA"/>
                    </w:rPr>
                    <w:t>2889930</w:t>
                  </w:r>
                </w:p>
              </w:tc>
              <w:tc>
                <w:tcPr>
                  <w:tcW w:w="1582" w:type="dxa"/>
                  <w:tcBorders>
                    <w:top w:val="single" w:color="000000" w:sz="6" w:space="0"/>
                    <w:left w:val="single" w:color="000000" w:sz="6" w:space="0"/>
                    <w:bottom w:val="single" w:color="000000" w:sz="6" w:space="0"/>
                    <w:right w:val="single" w:color="000000" w:sz="6" w:space="0"/>
                  </w:tcBorders>
                  <w:vAlign w:val="center"/>
                </w:tcPr>
                <w:p w14:paraId="16D6F490">
                  <w:pPr>
                    <w:pStyle w:val="23"/>
                    <w:keepNext w:val="0"/>
                    <w:keepLines w:val="0"/>
                    <w:widowControl/>
                    <w:suppressLineNumbers w:val="0"/>
                    <w:adjustRightInd w:val="0"/>
                    <w:snapToGrid w:val="0"/>
                    <w:spacing w:line="240" w:lineRule="auto"/>
                    <w:ind w:left="0" w:leftChars="0" w:firstLine="0" w:firstLineChars="0"/>
                    <w:jc w:val="center"/>
                    <w:rPr>
                      <w:rFonts w:hint="eastAsia" w:ascii="Times New Roman" w:hAnsi="Calibri" w:eastAsia="Times New Roman" w:cs="Times New Roman"/>
                      <w:b w:val="0"/>
                      <w:bCs/>
                      <w:color w:val="auto"/>
                      <w:spacing w:val="-4"/>
                      <w:kern w:val="0"/>
                      <w:sz w:val="21"/>
                      <w:szCs w:val="22"/>
                      <w:u w:val="none"/>
                      <w:lang w:val="en-US" w:eastAsia="zh-CN" w:bidi="ar-SA"/>
                    </w:rPr>
                  </w:pPr>
                  <w:r>
                    <w:rPr>
                      <w:rFonts w:hint="eastAsia" w:ascii="Times New Roman" w:hAnsi="Calibri" w:eastAsia="Times New Roman" w:cs="Times New Roman"/>
                      <w:b w:val="0"/>
                      <w:bCs/>
                      <w:color w:val="auto"/>
                      <w:spacing w:val="-4"/>
                      <w:kern w:val="0"/>
                      <w:sz w:val="21"/>
                      <w:szCs w:val="22"/>
                      <w:u w:val="none"/>
                      <w:lang w:val="en-US" w:eastAsia="zh-CN" w:bidi="ar-SA"/>
                    </w:rPr>
                    <w:t>807.5</w:t>
                  </w:r>
                </w:p>
              </w:tc>
              <w:tc>
                <w:tcPr>
                  <w:tcW w:w="1585" w:type="dxa"/>
                  <w:tcBorders>
                    <w:top w:val="single" w:color="000000" w:sz="6" w:space="0"/>
                    <w:left w:val="single" w:color="000000" w:sz="6" w:space="0"/>
                    <w:bottom w:val="single" w:color="000000" w:sz="6" w:space="0"/>
                    <w:right w:val="single" w:color="000000" w:sz="6" w:space="0"/>
                  </w:tcBorders>
                  <w:vAlign w:val="center"/>
                </w:tcPr>
                <w:p w14:paraId="27B738DB">
                  <w:pPr>
                    <w:keepNext w:val="0"/>
                    <w:keepLines w:val="0"/>
                    <w:widowControl/>
                    <w:suppressLineNumbers w:val="0"/>
                    <w:adjustRightInd w:val="0"/>
                    <w:snapToGrid w:val="0"/>
                    <w:spacing w:line="240" w:lineRule="auto"/>
                    <w:ind w:left="0" w:leftChars="0" w:firstLine="0" w:firstLineChars="0"/>
                    <w:jc w:val="center"/>
                    <w:rPr>
                      <w:rFonts w:hint="eastAsia" w:ascii="Times New Roman" w:hAnsi="Calibri" w:eastAsia="Times New Roman" w:cs="Times New Roman"/>
                      <w:b w:val="0"/>
                      <w:bCs/>
                      <w:color w:val="auto"/>
                      <w:spacing w:val="-4"/>
                      <w:kern w:val="0"/>
                      <w:sz w:val="21"/>
                      <w:szCs w:val="22"/>
                      <w:u w:val="none"/>
                      <w:lang w:val="en-US" w:eastAsia="zh-CN" w:bidi="ar-SA"/>
                    </w:rPr>
                  </w:pPr>
                  <w:r>
                    <w:rPr>
                      <w:rFonts w:hint="eastAsia" w:ascii="Times New Roman" w:hAnsi="Calibri" w:eastAsia="Times New Roman" w:cs="Times New Roman"/>
                      <w:b w:val="0"/>
                      <w:bCs/>
                      <w:color w:val="auto"/>
                      <w:spacing w:val="-4"/>
                      <w:kern w:val="0"/>
                      <w:sz w:val="21"/>
                      <w:szCs w:val="22"/>
                      <w:u w:val="none"/>
                      <w:lang w:val="en-US" w:eastAsia="zh-CN" w:bidi="ar-SA"/>
                    </w:rPr>
                    <w:t>115</w:t>
                  </w:r>
                </w:p>
              </w:tc>
            </w:tr>
          </w:tbl>
          <w:p w14:paraId="2194ECF1">
            <w:pPr>
              <w:pStyle w:val="89"/>
              <w:rPr>
                <w:color w:val="FF0000"/>
              </w:rPr>
            </w:pPr>
            <w:r>
              <w:rPr>
                <w:color w:val="FF0000"/>
                <w:highlight w:val="none"/>
              </w:rPr>
              <w:drawing>
                <wp:anchor distT="0" distB="0" distL="114935" distR="114935" simplePos="0" relativeHeight="251680768" behindDoc="0" locked="0" layoutInCell="1" allowOverlap="1">
                  <wp:simplePos x="0" y="0"/>
                  <wp:positionH relativeFrom="column">
                    <wp:posOffset>-4445</wp:posOffset>
                  </wp:positionH>
                  <wp:positionV relativeFrom="paragraph">
                    <wp:posOffset>5080</wp:posOffset>
                  </wp:positionV>
                  <wp:extent cx="210820" cy="323215"/>
                  <wp:effectExtent l="0" t="0" r="17780" b="635"/>
                  <wp:wrapNone/>
                  <wp:docPr id="26" name="图片 732" descr="C:/Users/230zz/AppData/Local/Temp/picturecompress_20211115115827/output_3.pngoutput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32" descr="C:/Users/230zz/AppData/Local/Temp/picturecompress_20211115115827/output_3.pngoutput_3"/>
                          <pic:cNvPicPr>
                            <a:picLocks noChangeAspect="1" noChangeArrowheads="1"/>
                          </pic:cNvPicPr>
                        </pic:nvPicPr>
                        <pic:blipFill>
                          <a:blip r:embed="rId24"/>
                          <a:srcRect/>
                          <a:stretch>
                            <a:fillRect/>
                          </a:stretch>
                        </pic:blipFill>
                        <pic:spPr>
                          <a:xfrm>
                            <a:off x="0" y="0"/>
                            <a:ext cx="210820" cy="323215"/>
                          </a:xfrm>
                          <a:prstGeom prst="rect">
                            <a:avLst/>
                          </a:prstGeom>
                          <a:noFill/>
                          <a:ln>
                            <a:noFill/>
                          </a:ln>
                        </pic:spPr>
                      </pic:pic>
                    </a:graphicData>
                  </a:graphic>
                </wp:anchor>
              </w:drawing>
            </w:r>
            <w:r>
              <w:drawing>
                <wp:inline distT="0" distB="0" distL="114300" distR="114300">
                  <wp:extent cx="4988560" cy="4486275"/>
                  <wp:effectExtent l="0" t="0" r="2540" b="9525"/>
                  <wp:docPr id="2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5"/>
                          <pic:cNvPicPr>
                            <a:picLocks noChangeAspect="1"/>
                          </pic:cNvPicPr>
                        </pic:nvPicPr>
                        <pic:blipFill>
                          <a:blip r:embed="rId28"/>
                          <a:stretch>
                            <a:fillRect/>
                          </a:stretch>
                        </pic:blipFill>
                        <pic:spPr>
                          <a:xfrm>
                            <a:off x="0" y="0"/>
                            <a:ext cx="4988560" cy="4486275"/>
                          </a:xfrm>
                          <a:prstGeom prst="rect">
                            <a:avLst/>
                          </a:prstGeom>
                          <a:noFill/>
                          <a:ln>
                            <a:noFill/>
                          </a:ln>
                        </pic:spPr>
                      </pic:pic>
                    </a:graphicData>
                  </a:graphic>
                </wp:inline>
              </w:drawing>
            </w:r>
          </w:p>
          <w:p w14:paraId="5AEC1484">
            <w:pPr>
              <w:pStyle w:val="8"/>
              <w:spacing w:line="240" w:lineRule="auto"/>
              <w:ind w:firstLine="2530" w:firstLineChars="1200"/>
              <w:jc w:val="both"/>
              <w:rPr>
                <w:color w:val="auto"/>
                <w:highlight w:val="none"/>
              </w:rPr>
            </w:pPr>
            <w:r>
              <w:rPr>
                <w:color w:val="auto"/>
                <w:highlight w:val="none"/>
              </w:rPr>
              <w:t>图2</w:t>
            </w:r>
            <w:r>
              <w:rPr>
                <w:rFonts w:hint="eastAsia"/>
                <w:color w:val="auto"/>
                <w:highlight w:val="none"/>
              </w:rPr>
              <w:t>.4</w:t>
            </w:r>
            <w:r>
              <w:rPr>
                <w:color w:val="auto"/>
                <w:highlight w:val="none"/>
              </w:rPr>
              <w:t>-</w:t>
            </w:r>
            <w:r>
              <w:rPr>
                <w:rFonts w:hint="eastAsia"/>
                <w:color w:val="auto"/>
                <w:highlight w:val="none"/>
              </w:rPr>
              <w:t>1</w:t>
            </w:r>
            <w:r>
              <w:rPr>
                <w:color w:val="auto"/>
                <w:highlight w:val="none"/>
              </w:rPr>
              <w:t xml:space="preserve">  风电场机位布置</w:t>
            </w:r>
            <w:r>
              <w:rPr>
                <w:rFonts w:hint="eastAsia"/>
                <w:color w:val="auto"/>
                <w:highlight w:val="none"/>
              </w:rPr>
              <w:t>示意</w:t>
            </w:r>
            <w:r>
              <w:rPr>
                <w:color w:val="auto"/>
                <w:highlight w:val="none"/>
              </w:rPr>
              <w:t>图</w:t>
            </w:r>
          </w:p>
          <w:p w14:paraId="34E811D3">
            <w:pPr>
              <w:ind w:firstLine="420"/>
              <w:rPr>
                <w:color w:val="auto"/>
              </w:rPr>
            </w:pPr>
            <w:r>
              <w:rPr>
                <w:color w:val="auto"/>
              </w:rPr>
              <w:t>（</w:t>
            </w:r>
            <w:r>
              <w:rPr>
                <w:rFonts w:hint="eastAsia"/>
                <w:color w:val="auto"/>
                <w:lang w:val="en-US" w:eastAsia="zh-CN"/>
              </w:rPr>
              <w:t>6</w:t>
            </w:r>
            <w:r>
              <w:rPr>
                <w:color w:val="auto"/>
              </w:rPr>
              <w:t>）风机基础设计</w:t>
            </w:r>
          </w:p>
          <w:p w14:paraId="119315C3">
            <w:pPr>
              <w:ind w:firstLine="420"/>
              <w:rPr>
                <w:color w:val="FF0000"/>
              </w:rPr>
            </w:pPr>
            <w:r>
              <w:rPr>
                <w:rFonts w:hint="eastAsia"/>
                <w:color w:val="auto"/>
                <w:lang w:val="en-US" w:eastAsia="zh-CN"/>
              </w:rPr>
              <w:t>华电通道太平山</w:t>
            </w:r>
            <w:r>
              <w:rPr>
                <w:rFonts w:hint="eastAsia"/>
                <w:color w:val="auto"/>
                <w:lang w:eastAsia="zh-CN"/>
              </w:rPr>
              <w:t>风电场</w:t>
            </w:r>
            <w:r>
              <w:rPr>
                <w:rFonts w:hint="eastAsia"/>
                <w:color w:val="auto"/>
              </w:rPr>
              <w:t>共安装</w:t>
            </w:r>
            <w:r>
              <w:rPr>
                <w:rFonts w:hint="eastAsia"/>
                <w:color w:val="auto"/>
                <w:lang w:val="en-US" w:eastAsia="zh-CN"/>
              </w:rPr>
              <w:t>15</w:t>
            </w:r>
            <w:r>
              <w:rPr>
                <w:rFonts w:hint="eastAsia"/>
                <w:color w:val="auto"/>
              </w:rPr>
              <w:t>台</w:t>
            </w:r>
            <w:r>
              <w:rPr>
                <w:rFonts w:hint="eastAsia"/>
                <w:color w:val="auto"/>
                <w:lang w:val="en-US" w:eastAsia="zh-CN"/>
              </w:rPr>
              <w:t>WTG5.0-200型</w:t>
            </w:r>
            <w:r>
              <w:rPr>
                <w:rFonts w:hint="eastAsia"/>
                <w:color w:val="auto"/>
              </w:rPr>
              <w:t>风力发电机组。</w:t>
            </w:r>
            <w:r>
              <w:rPr>
                <w:rFonts w:hint="eastAsia"/>
                <w:color w:val="auto"/>
                <w:lang w:val="en-US" w:eastAsia="zh-CN"/>
              </w:rPr>
              <w:t>风机基础圆形扩展基础方案采用C40钢筋混凝土，基础分上、下两部分，上部为圆柱体，高1.0m，直径为7.40m；下部为圆形台柱体，底面直径为22.0m，最大高度为3.10m，最小高度为1.00m，风机基础埋深为3.9m。</w:t>
            </w:r>
          </w:p>
          <w:p w14:paraId="5930A30D">
            <w:pPr>
              <w:ind w:firstLine="420"/>
              <w:rPr>
                <w:color w:val="auto"/>
              </w:rPr>
            </w:pPr>
            <w:r>
              <w:rPr>
                <w:color w:val="auto"/>
              </w:rPr>
              <w:t>（</w:t>
            </w:r>
            <w:r>
              <w:rPr>
                <w:rFonts w:hint="eastAsia"/>
                <w:color w:val="auto"/>
                <w:lang w:val="en-US" w:eastAsia="zh-CN"/>
              </w:rPr>
              <w:t>7</w:t>
            </w:r>
            <w:r>
              <w:rPr>
                <w:color w:val="auto"/>
              </w:rPr>
              <w:t>）箱式变电站基础</w:t>
            </w:r>
          </w:p>
          <w:p w14:paraId="3B168BBD">
            <w:pPr>
              <w:pStyle w:val="4"/>
              <w:tabs>
                <w:tab w:val="left" w:pos="425"/>
              </w:tabs>
              <w:ind w:firstLine="480" w:firstLineChars="200"/>
              <w:rPr>
                <w:rFonts w:hint="eastAsia" w:ascii="Times New Roman" w:hAnsi="Times New Roman" w:eastAsia="宋体" w:cs="Times New Roman"/>
                <w:b w:val="0"/>
                <w:bCs w:val="0"/>
                <w:color w:val="FF0000"/>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本工程风力发电机组采用一机一变，每台风力发电机组均配置电压等级 35kV的箱式变压器，选取粉质粘土或粉土层作为变压器基础的持力层。基础形式采用砖砌箱型基础，采用M10水泥砂浆 MU10烧结普通砖砌筑。C30 钢筋混凝土圈梁、板、构造柱。基础下设300mm厚C20素混凝土垫层兼做基础底板，基础埋深约1.</w:t>
            </w:r>
            <w:r>
              <w:rPr>
                <w:rFonts w:hint="eastAsia" w:cs="Times New Roman"/>
                <w:b w:val="0"/>
                <w:bCs w:val="0"/>
                <w:color w:val="auto"/>
                <w:kern w:val="2"/>
                <w:sz w:val="24"/>
                <w:szCs w:val="24"/>
                <w:lang w:val="en-US" w:eastAsia="zh-CN" w:bidi="ar-SA"/>
              </w:rPr>
              <w:t>8</w:t>
            </w:r>
            <w:r>
              <w:rPr>
                <w:rFonts w:hint="eastAsia" w:ascii="Times New Roman" w:hAnsi="Times New Roman" w:eastAsia="宋体" w:cs="Times New Roman"/>
                <w:b w:val="0"/>
                <w:bCs w:val="0"/>
                <w:color w:val="auto"/>
                <w:kern w:val="2"/>
                <w:sz w:val="24"/>
                <w:szCs w:val="24"/>
                <w:lang w:val="en-US" w:eastAsia="zh-CN" w:bidi="ar-SA"/>
              </w:rPr>
              <w:t>m，边坡拟采用1:0.5。</w:t>
            </w:r>
          </w:p>
          <w:p w14:paraId="67EE9CAC">
            <w:pPr>
              <w:pStyle w:val="4"/>
              <w:tabs>
                <w:tab w:val="left" w:pos="425"/>
              </w:tabs>
              <w:rPr>
                <w:color w:val="auto"/>
              </w:rPr>
            </w:pPr>
            <w:r>
              <w:rPr>
                <w:color w:val="auto"/>
              </w:rPr>
              <w:t>2.4.2 升压站布置</w:t>
            </w:r>
          </w:p>
          <w:p w14:paraId="34323600">
            <w:pPr>
              <w:ind w:firstLine="420"/>
              <w:rPr>
                <w:rFonts w:hint="eastAsia"/>
                <w:color w:val="auto"/>
                <w:u w:val="none"/>
              </w:rPr>
            </w:pPr>
            <w:r>
              <w:rPr>
                <w:rFonts w:hint="eastAsia"/>
                <w:color w:val="auto"/>
                <w:u w:val="none"/>
              </w:rPr>
              <w:t>升压站址选择结合考虑土地利用规划、接入系统方案、风电机组机位及集电线路布置条件、地形条件、工程地质及水文地质条件、进出线条件、交通运输等多种因素。为满足风电场的检修维护要求，本项目选择在风电场中部新建升压站1座，对外交通较为便利。站址场地没有滑坡、泥石流等其它影响场地稳定性的不良地质现象。</w:t>
            </w:r>
          </w:p>
          <w:p w14:paraId="65C7F063">
            <w:pPr>
              <w:ind w:firstLine="420"/>
              <w:rPr>
                <w:color w:val="000000" w:themeColor="text1"/>
                <w14:textFill>
                  <w14:solidFill>
                    <w14:schemeClr w14:val="tx1"/>
                  </w14:solidFill>
                </w14:textFill>
              </w:rPr>
            </w:pPr>
            <w:r>
              <w:rPr>
                <w:rFonts w:hint="eastAsia"/>
                <w:color w:val="auto"/>
              </w:rPr>
              <w:t>升压站生活区四周为高2.</w:t>
            </w:r>
            <w:r>
              <w:rPr>
                <w:rFonts w:hint="eastAsia"/>
                <w:color w:val="auto"/>
                <w:lang w:val="en-US" w:eastAsia="zh-CN"/>
              </w:rPr>
              <w:t>3</w:t>
            </w:r>
            <w:r>
              <w:rPr>
                <w:rFonts w:hint="eastAsia"/>
                <w:color w:val="auto"/>
              </w:rPr>
              <w:t>m实体</w:t>
            </w:r>
            <w:r>
              <w:rPr>
                <w:rFonts w:hint="eastAsia"/>
                <w:color w:val="auto"/>
                <w:lang w:val="en-US" w:eastAsia="zh-CN"/>
              </w:rPr>
              <w:t>砖砌</w:t>
            </w:r>
            <w:r>
              <w:rPr>
                <w:rFonts w:hint="eastAsia"/>
                <w:color w:val="auto"/>
              </w:rPr>
              <w:t>围墙。围墙内平面尺寸为</w:t>
            </w:r>
            <w:r>
              <w:rPr>
                <w:rFonts w:hint="eastAsia"/>
                <w:color w:val="auto"/>
                <w:lang w:val="en-US" w:eastAsia="zh-CN"/>
              </w:rPr>
              <w:t>68.00</w:t>
            </w:r>
            <w:r>
              <w:rPr>
                <w:rFonts w:hint="eastAsia"/>
                <w:color w:val="auto"/>
              </w:rPr>
              <w:t>m×</w:t>
            </w:r>
            <w:r>
              <w:rPr>
                <w:rFonts w:hint="eastAsia"/>
                <w:color w:val="auto"/>
                <w:lang w:val="en-US" w:eastAsia="zh-CN"/>
              </w:rPr>
              <w:t>117.50</w:t>
            </w:r>
            <w:r>
              <w:rPr>
                <w:rFonts w:hint="eastAsia"/>
                <w:color w:val="auto"/>
              </w:rPr>
              <w:t>m，围墙内占地面积为</w:t>
            </w:r>
            <w:r>
              <w:rPr>
                <w:rFonts w:hint="eastAsia"/>
                <w:color w:val="auto"/>
                <w:lang w:val="en-US" w:eastAsia="zh-CN"/>
              </w:rPr>
              <w:t>7990.00</w:t>
            </w:r>
            <w:r>
              <w:rPr>
                <w:rFonts w:hint="eastAsia"/>
                <w:color w:val="auto"/>
              </w:rPr>
              <w:t>m²。站区主要建构筑物有生产楼、综合楼、主变压器、附属用房、1#SVG支路、1#FC支路、事故油池、污水处理装置、独立避雷针、接地变兼备用变、柴油发电机房及危废暂存间等。升压站总</w:t>
            </w:r>
            <w:r>
              <w:rPr>
                <w:rFonts w:hint="eastAsia"/>
                <w:color w:val="auto"/>
                <w:lang w:val="en-US" w:eastAsia="zh-CN"/>
              </w:rPr>
              <w:t>占地</w:t>
            </w:r>
            <w:r>
              <w:rPr>
                <w:rFonts w:hint="eastAsia"/>
                <w:color w:val="auto"/>
              </w:rPr>
              <w:t>面积</w:t>
            </w:r>
            <w:r>
              <w:rPr>
                <w:rFonts w:hint="eastAsia"/>
                <w:color w:val="auto"/>
                <w:lang w:val="en-US" w:eastAsia="zh-CN"/>
              </w:rPr>
              <w:t>0.7990h</w:t>
            </w:r>
            <w:r>
              <w:rPr>
                <w:rFonts w:hint="eastAsia"/>
                <w:color w:val="auto"/>
              </w:rPr>
              <w:t>m</w:t>
            </w:r>
            <w:r>
              <w:rPr>
                <w:rFonts w:hint="eastAsia"/>
                <w:color w:val="auto"/>
                <w:vertAlign w:val="superscript"/>
                <w:lang w:val="en-US" w:eastAsia="zh-CN"/>
              </w:rPr>
              <w:t>2</w:t>
            </w:r>
            <w:r>
              <w:rPr>
                <w:rFonts w:hint="eastAsia"/>
                <w:color w:val="auto"/>
              </w:rPr>
              <w:t>。</w:t>
            </w:r>
            <w:r>
              <w:rPr>
                <w:color w:val="000000" w:themeColor="text1"/>
                <w14:textFill>
                  <w14:solidFill>
                    <w14:schemeClr w14:val="tx1"/>
                  </w14:solidFill>
                </w14:textFill>
              </w:rPr>
              <w:t>升压站总平面布置见附图</w:t>
            </w:r>
            <w:r>
              <w:rPr>
                <w:rFonts w:hint="eastAsia"/>
                <w:color w:val="000000" w:themeColor="text1"/>
                <w:lang w:val="en-US" w:eastAsia="zh-CN"/>
                <w14:textFill>
                  <w14:solidFill>
                    <w14:schemeClr w14:val="tx1"/>
                  </w14:solidFill>
                </w14:textFill>
              </w:rPr>
              <w:t>5</w:t>
            </w:r>
            <w:r>
              <w:rPr>
                <w:color w:val="000000" w:themeColor="text1"/>
                <w14:textFill>
                  <w14:solidFill>
                    <w14:schemeClr w14:val="tx1"/>
                  </w14:solidFill>
                </w14:textFill>
              </w:rPr>
              <w:t>。</w:t>
            </w:r>
          </w:p>
          <w:p w14:paraId="1329F55D">
            <w:pPr>
              <w:ind w:firstLine="420"/>
              <w:rPr>
                <w:color w:val="auto"/>
              </w:rPr>
            </w:pPr>
            <w:r>
              <w:rPr>
                <w:color w:val="auto"/>
              </w:rPr>
              <w:t>1、</w:t>
            </w:r>
            <w:r>
              <w:rPr>
                <w:rFonts w:hint="eastAsia"/>
                <w:color w:val="auto"/>
              </w:rPr>
              <w:t>升压站建筑物</w:t>
            </w:r>
          </w:p>
          <w:p w14:paraId="07AC56D0">
            <w:pPr>
              <w:autoSpaceDE w:val="0"/>
              <w:autoSpaceDN w:val="0"/>
              <w:adjustRightInd w:val="0"/>
              <w:ind w:firstLine="480" w:firstLineChars="200"/>
              <w:rPr>
                <w:rFonts w:hint="default" w:ascii="Times New Roman" w:hAnsi="Times New Roman" w:cs="Times New Roman"/>
                <w:color w:val="FF0000"/>
                <w:lang w:val="en-US" w:eastAsia="zh-CN"/>
              </w:rPr>
            </w:pPr>
            <w:r>
              <w:rPr>
                <w:rFonts w:hint="eastAsia"/>
                <w:color w:val="auto"/>
              </w:rPr>
              <w:t>升压站内建筑物包括综合楼、生产楼、附属用房、危废暂存间和柴油发电机房。综合楼</w:t>
            </w:r>
            <w:r>
              <w:rPr>
                <w:rFonts w:hint="eastAsia"/>
                <w:color w:val="auto"/>
                <w:lang w:val="en-US" w:eastAsia="zh-CN"/>
              </w:rPr>
              <w:t>为两层建筑物</w:t>
            </w:r>
            <w:r>
              <w:rPr>
                <w:rFonts w:hint="eastAsia"/>
                <w:color w:val="auto"/>
              </w:rPr>
              <w:t>，布置有门厅、餐厅、备餐间、接待室</w:t>
            </w:r>
            <w:r>
              <w:rPr>
                <w:rFonts w:hint="eastAsia"/>
                <w:color w:val="auto"/>
                <w:lang w:eastAsia="zh-CN"/>
              </w:rPr>
              <w:t>、</w:t>
            </w:r>
            <w:r>
              <w:rPr>
                <w:rFonts w:hint="eastAsia"/>
                <w:color w:val="auto"/>
              </w:rPr>
              <w:t>办公室、会议室、资料室、值班室、卫生间</w:t>
            </w:r>
            <w:r>
              <w:rPr>
                <w:rFonts w:hint="eastAsia"/>
                <w:color w:val="auto"/>
                <w:lang w:eastAsia="zh-CN"/>
              </w:rPr>
              <w:t>；</w:t>
            </w:r>
            <w:r>
              <w:rPr>
                <w:rFonts w:hint="eastAsia"/>
                <w:color w:val="auto"/>
              </w:rPr>
              <w:t>生产楼</w:t>
            </w:r>
            <w:r>
              <w:rPr>
                <w:rFonts w:hint="eastAsia"/>
                <w:color w:val="auto"/>
                <w:lang w:val="en-US" w:eastAsia="zh-CN"/>
              </w:rPr>
              <w:t>为一层建筑物，</w:t>
            </w:r>
            <w:r>
              <w:rPr>
                <w:rFonts w:hint="eastAsia"/>
                <w:color w:val="auto"/>
              </w:rPr>
              <w:t>布置有35kV配电装置室、一次交流配电室、继电保护室、中控室、蓄电池室等电气用房</w:t>
            </w:r>
            <w:r>
              <w:rPr>
                <w:rFonts w:hint="eastAsia"/>
                <w:color w:val="auto"/>
                <w:lang w:eastAsia="zh-CN"/>
              </w:rPr>
              <w:t>；</w:t>
            </w:r>
            <w:r>
              <w:rPr>
                <w:rFonts w:hint="eastAsia"/>
                <w:color w:val="auto"/>
              </w:rPr>
              <w:t>附属用房占地面积210m</w:t>
            </w:r>
            <w:r>
              <w:rPr>
                <w:rFonts w:hint="eastAsia"/>
                <w:color w:val="auto"/>
                <w:vertAlign w:val="superscript"/>
                <w:lang w:val="en-US" w:eastAsia="zh-CN"/>
              </w:rPr>
              <w:t>2</w:t>
            </w:r>
            <w:r>
              <w:rPr>
                <w:rFonts w:hint="default" w:ascii="Times New Roman" w:hAnsi="Times New Roman" w:cs="Times New Roman"/>
                <w:color w:val="auto"/>
              </w:rPr>
              <w:t>，危废暂存间占地面积</w:t>
            </w:r>
            <w:r>
              <w:rPr>
                <w:rFonts w:hint="eastAsia" w:cs="Times New Roman"/>
                <w:color w:val="auto"/>
                <w:lang w:val="en-US" w:eastAsia="zh-CN"/>
              </w:rPr>
              <w:t>10</w:t>
            </w:r>
            <w:r>
              <w:rPr>
                <w:rFonts w:hint="eastAsia"/>
                <w:color w:val="auto"/>
              </w:rPr>
              <w:t>m</w:t>
            </w:r>
            <w:r>
              <w:rPr>
                <w:rFonts w:hint="eastAsia"/>
                <w:color w:val="auto"/>
                <w:vertAlign w:val="superscript"/>
                <w:lang w:val="en-US" w:eastAsia="zh-CN"/>
              </w:rPr>
              <w:t>2</w:t>
            </w:r>
            <w:r>
              <w:rPr>
                <w:rFonts w:hint="default" w:ascii="Times New Roman" w:hAnsi="Times New Roman" w:cs="Times New Roman"/>
                <w:color w:val="auto"/>
                <w:lang w:eastAsia="zh-CN"/>
              </w:rPr>
              <w:t>，</w:t>
            </w:r>
            <w:r>
              <w:rPr>
                <w:rFonts w:hint="default" w:ascii="Times New Roman" w:hAnsi="Times New Roman" w:cs="Times New Roman"/>
                <w:color w:val="auto"/>
              </w:rPr>
              <w:t>柴油发电机房占地面积55</w:t>
            </w:r>
            <w:r>
              <w:rPr>
                <w:rFonts w:hint="eastAsia"/>
                <w:color w:val="auto"/>
              </w:rPr>
              <w:t>m</w:t>
            </w:r>
            <w:r>
              <w:rPr>
                <w:rFonts w:hint="eastAsia"/>
                <w:color w:val="auto"/>
                <w:vertAlign w:val="superscript"/>
                <w:lang w:val="en-US" w:eastAsia="zh-CN"/>
              </w:rPr>
              <w:t>2</w:t>
            </w:r>
            <w:r>
              <w:rPr>
                <w:rFonts w:hint="default" w:ascii="Times New Roman" w:hAnsi="Times New Roman" w:cs="Times New Roman"/>
                <w:color w:val="auto"/>
              </w:rPr>
              <w:t>。</w:t>
            </w:r>
            <w:r>
              <w:rPr>
                <w:rFonts w:hint="default" w:ascii="Times New Roman" w:hAnsi="Times New Roman" w:cs="Times New Roman"/>
                <w:color w:val="5B9BD5" w:themeColor="accent1"/>
                <w:lang w:val="en-US" w:eastAsia="zh-CN"/>
                <w14:textFill>
                  <w14:solidFill>
                    <w14:schemeClr w14:val="accent1"/>
                  </w14:solidFill>
                </w14:textFill>
              </w:rPr>
              <w:t xml:space="preserve"> </w:t>
            </w:r>
          </w:p>
          <w:p w14:paraId="192B011E">
            <w:pPr>
              <w:ind w:firstLine="480" w:firstLineChars="200"/>
              <w:rPr>
                <w:color w:val="auto"/>
              </w:rPr>
            </w:pPr>
            <w:r>
              <w:rPr>
                <w:color w:val="auto"/>
              </w:rPr>
              <w:t>2、升压站竖向布置</w:t>
            </w:r>
          </w:p>
          <w:p w14:paraId="613008EA">
            <w:pPr>
              <w:pStyle w:val="89"/>
              <w:spacing w:line="360" w:lineRule="auto"/>
              <w:ind w:firstLine="480" w:firstLineChars="200"/>
              <w:jc w:val="both"/>
              <w:rPr>
                <w:rFonts w:hint="eastAsia" w:cs="Times New Roman"/>
                <w:b w:val="0"/>
                <w:color w:val="FF0000"/>
                <w:kern w:val="2"/>
                <w:sz w:val="24"/>
                <w:szCs w:val="24"/>
                <w:lang w:val="en-US" w:eastAsia="zh-CN" w:bidi="ar-SA"/>
              </w:rPr>
            </w:pPr>
            <w:r>
              <w:rPr>
                <w:rFonts w:hint="eastAsia" w:cs="Times New Roman"/>
                <w:b w:val="0"/>
                <w:color w:val="auto"/>
                <w:kern w:val="2"/>
                <w:sz w:val="24"/>
                <w:szCs w:val="24"/>
                <w:lang w:val="en-US" w:eastAsia="zh-CN" w:bidi="ar-SA"/>
              </w:rPr>
              <w:t>本</w:t>
            </w:r>
            <w:r>
              <w:rPr>
                <w:rFonts w:hint="eastAsia" w:ascii="Times New Roman" w:hAnsi="Times New Roman" w:eastAsia="宋体" w:cs="Times New Roman"/>
                <w:b w:val="0"/>
                <w:color w:val="auto"/>
                <w:kern w:val="2"/>
                <w:sz w:val="24"/>
                <w:szCs w:val="24"/>
                <w:lang w:val="en-US" w:eastAsia="zh-CN" w:bidi="ar-SA"/>
              </w:rPr>
              <w:t>升压站标高宜高出50年一遇洪水位，本工程升压站地势平缓，周围无大的河流，升压站不受洪水影响。地面整平采用平坡式。站内排水考虑采用有组织排水方式，设排水明沟和管道。站内雨水经过管道排入附近地面。</w:t>
            </w:r>
            <w:r>
              <w:rPr>
                <w:rFonts w:hint="eastAsia" w:cs="Times New Roman"/>
                <w:b w:val="0"/>
                <w:color w:val="FF0000"/>
                <w:kern w:val="2"/>
                <w:sz w:val="24"/>
                <w:szCs w:val="24"/>
                <w:lang w:val="en-US" w:eastAsia="zh-CN" w:bidi="ar-SA"/>
              </w:rPr>
              <w:t xml:space="preserve">          </w:t>
            </w:r>
          </w:p>
          <w:p w14:paraId="47A816B0">
            <w:pPr>
              <w:pStyle w:val="89"/>
              <w:spacing w:line="240" w:lineRule="auto"/>
              <w:ind w:firstLine="2319" w:firstLineChars="1100"/>
              <w:jc w:val="both"/>
              <w:rPr>
                <w:color w:val="auto"/>
              </w:rPr>
            </w:pPr>
            <w:r>
              <w:rPr>
                <w:color w:val="auto"/>
              </w:rPr>
              <w:t>表2</w:t>
            </w:r>
            <w:r>
              <w:rPr>
                <w:rFonts w:hint="eastAsia"/>
                <w:color w:val="auto"/>
              </w:rPr>
              <w:t>.4</w:t>
            </w:r>
            <w:r>
              <w:rPr>
                <w:color w:val="auto"/>
              </w:rPr>
              <w:t>-</w:t>
            </w:r>
            <w:r>
              <w:rPr>
                <w:rFonts w:hint="eastAsia"/>
                <w:color w:val="auto"/>
                <w:lang w:val="en-US" w:eastAsia="zh-CN"/>
              </w:rPr>
              <w:t xml:space="preserve">2 </w:t>
            </w:r>
            <w:r>
              <w:rPr>
                <w:color w:val="auto"/>
              </w:rPr>
              <w:t>升压站主要经济技术指标表</w:t>
            </w:r>
          </w:p>
          <w:tbl>
            <w:tblPr>
              <w:tblStyle w:val="26"/>
              <w:tblW w:w="783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903"/>
              <w:gridCol w:w="2379"/>
              <w:gridCol w:w="2384"/>
              <w:gridCol w:w="910"/>
              <w:gridCol w:w="1262"/>
            </w:tblGrid>
            <w:tr w14:paraId="7818CA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03" w:type="dxa"/>
                  <w:vAlign w:val="center"/>
                </w:tcPr>
                <w:p w14:paraId="11BC19D4">
                  <w:pPr>
                    <w:pStyle w:val="90"/>
                    <w:spacing w:before="121" w:line="240" w:lineRule="auto"/>
                    <w:ind w:right="-34" w:rightChars="0"/>
                    <w:jc w:val="center"/>
                    <w:rPr>
                      <w:rFonts w:hint="eastAsia" w:ascii="宋体" w:hAnsi="宋体" w:eastAsia="宋体" w:cs="宋体"/>
                      <w:b/>
                      <w:color w:val="auto"/>
                      <w:spacing w:val="-4"/>
                      <w:sz w:val="21"/>
                    </w:rPr>
                  </w:pPr>
                  <w:r>
                    <w:rPr>
                      <w:rFonts w:hint="eastAsia" w:ascii="宋体" w:hAnsi="宋体" w:eastAsia="宋体" w:cs="宋体"/>
                      <w:b/>
                      <w:color w:val="auto"/>
                      <w:spacing w:val="-4"/>
                      <w:sz w:val="21"/>
                    </w:rPr>
                    <w:t>序号</w:t>
                  </w:r>
                </w:p>
              </w:tc>
              <w:tc>
                <w:tcPr>
                  <w:tcW w:w="4763" w:type="dxa"/>
                  <w:gridSpan w:val="2"/>
                  <w:vAlign w:val="center"/>
                </w:tcPr>
                <w:p w14:paraId="0F4CC9E7">
                  <w:pPr>
                    <w:pStyle w:val="90"/>
                    <w:spacing w:before="121" w:line="240" w:lineRule="auto"/>
                    <w:ind w:right="-34" w:rightChars="0"/>
                    <w:jc w:val="center"/>
                    <w:rPr>
                      <w:rFonts w:hint="eastAsia" w:ascii="宋体" w:hAnsi="宋体" w:eastAsia="宋体" w:cs="宋体"/>
                      <w:b/>
                      <w:color w:val="auto"/>
                      <w:spacing w:val="-4"/>
                      <w:sz w:val="21"/>
                    </w:rPr>
                  </w:pPr>
                  <w:r>
                    <w:rPr>
                      <w:rFonts w:hint="eastAsia" w:ascii="宋体" w:hAnsi="宋体" w:eastAsia="宋体" w:cs="宋体"/>
                      <w:b/>
                      <w:color w:val="auto"/>
                      <w:spacing w:val="-4"/>
                      <w:sz w:val="21"/>
                    </w:rPr>
                    <w:t>项目名称</w:t>
                  </w:r>
                </w:p>
              </w:tc>
              <w:tc>
                <w:tcPr>
                  <w:tcW w:w="910" w:type="dxa"/>
                  <w:vAlign w:val="center"/>
                </w:tcPr>
                <w:p w14:paraId="2F12D2F1">
                  <w:pPr>
                    <w:pStyle w:val="90"/>
                    <w:spacing w:before="121" w:line="240" w:lineRule="auto"/>
                    <w:ind w:right="-34" w:rightChars="0"/>
                    <w:jc w:val="center"/>
                    <w:rPr>
                      <w:rFonts w:hint="eastAsia" w:ascii="宋体" w:hAnsi="宋体" w:eastAsia="宋体" w:cs="宋体"/>
                      <w:b/>
                      <w:color w:val="auto"/>
                      <w:spacing w:val="-4"/>
                      <w:sz w:val="21"/>
                    </w:rPr>
                  </w:pPr>
                  <w:r>
                    <w:rPr>
                      <w:rFonts w:hint="eastAsia" w:ascii="宋体" w:hAnsi="宋体" w:eastAsia="宋体" w:cs="宋体"/>
                      <w:b/>
                      <w:color w:val="auto"/>
                      <w:spacing w:val="-4"/>
                      <w:sz w:val="21"/>
                    </w:rPr>
                    <w:t>单位</w:t>
                  </w:r>
                </w:p>
              </w:tc>
              <w:tc>
                <w:tcPr>
                  <w:tcW w:w="1262" w:type="dxa"/>
                  <w:vAlign w:val="center"/>
                </w:tcPr>
                <w:p w14:paraId="2BBFBA4F">
                  <w:pPr>
                    <w:pStyle w:val="90"/>
                    <w:spacing w:before="121" w:line="240" w:lineRule="auto"/>
                    <w:ind w:right="-34" w:rightChars="0"/>
                    <w:jc w:val="center"/>
                    <w:rPr>
                      <w:rFonts w:hint="eastAsia" w:ascii="宋体" w:hAnsi="宋体" w:eastAsia="宋体" w:cs="宋体"/>
                      <w:b/>
                      <w:color w:val="auto"/>
                      <w:spacing w:val="-4"/>
                      <w:sz w:val="21"/>
                    </w:rPr>
                  </w:pPr>
                  <w:r>
                    <w:rPr>
                      <w:rFonts w:hint="eastAsia" w:ascii="宋体" w:hAnsi="宋体" w:eastAsia="宋体" w:cs="宋体"/>
                      <w:b/>
                      <w:color w:val="auto"/>
                      <w:spacing w:val="-4"/>
                      <w:sz w:val="21"/>
                    </w:rPr>
                    <w:t>数量</w:t>
                  </w:r>
                </w:p>
              </w:tc>
            </w:tr>
            <w:tr w14:paraId="789259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03" w:type="dxa"/>
                  <w:vAlign w:val="center"/>
                </w:tcPr>
                <w:p w14:paraId="5CCA617C">
                  <w:pPr>
                    <w:pStyle w:val="90"/>
                    <w:spacing w:before="121" w:line="240" w:lineRule="auto"/>
                    <w:ind w:right="-34" w:rightChars="0"/>
                    <w:jc w:val="center"/>
                    <w:rPr>
                      <w:rFonts w:hint="default" w:ascii="Times New Roman" w:eastAsia="Times New Roman"/>
                      <w:b w:val="0"/>
                      <w:bCs/>
                      <w:color w:val="auto"/>
                      <w:spacing w:val="-4"/>
                      <w:sz w:val="21"/>
                      <w:lang w:val="en-US" w:eastAsia="zh-CN"/>
                    </w:rPr>
                  </w:pPr>
                  <w:r>
                    <w:rPr>
                      <w:rFonts w:hint="eastAsia" w:ascii="Times New Roman" w:eastAsia="Times New Roman"/>
                      <w:b w:val="0"/>
                      <w:bCs/>
                      <w:color w:val="auto"/>
                      <w:spacing w:val="-4"/>
                      <w:sz w:val="21"/>
                      <w:lang w:val="en-US" w:eastAsia="zh-CN"/>
                    </w:rPr>
                    <w:t>1</w:t>
                  </w:r>
                </w:p>
              </w:tc>
              <w:tc>
                <w:tcPr>
                  <w:tcW w:w="4763" w:type="dxa"/>
                  <w:gridSpan w:val="2"/>
                  <w:vAlign w:val="center"/>
                </w:tcPr>
                <w:p w14:paraId="10DA2088">
                  <w:pPr>
                    <w:pStyle w:val="90"/>
                    <w:spacing w:before="121" w:line="240" w:lineRule="auto"/>
                    <w:ind w:right="-34" w:rightChars="0"/>
                    <w:jc w:val="center"/>
                    <w:rPr>
                      <w:rFonts w:hint="eastAsia" w:ascii="Times New Roman" w:eastAsia="Times New Roman"/>
                      <w:b w:val="0"/>
                      <w:bCs/>
                      <w:color w:val="auto"/>
                      <w:spacing w:val="-4"/>
                      <w:sz w:val="21"/>
                      <w:lang w:val="en-US" w:eastAsia="zh-CN"/>
                    </w:rPr>
                  </w:pPr>
                  <w:r>
                    <w:rPr>
                      <w:rFonts w:hint="eastAsia" w:ascii="Times New Roman" w:eastAsia="Times New Roman"/>
                      <w:b w:val="0"/>
                      <w:bCs/>
                      <w:color w:val="auto"/>
                      <w:spacing w:val="-4"/>
                      <w:sz w:val="21"/>
                      <w:lang w:val="en-US" w:eastAsia="zh-CN"/>
                    </w:rPr>
                    <w:t>升压站围墙内用地面积</w:t>
                  </w:r>
                </w:p>
              </w:tc>
              <w:tc>
                <w:tcPr>
                  <w:tcW w:w="910" w:type="dxa"/>
                  <w:vAlign w:val="center"/>
                </w:tcPr>
                <w:p w14:paraId="6ED4424F">
                  <w:pPr>
                    <w:pStyle w:val="90"/>
                    <w:spacing w:before="121" w:line="240" w:lineRule="auto"/>
                    <w:ind w:right="-34" w:rightChars="0"/>
                    <w:jc w:val="center"/>
                    <w:rPr>
                      <w:rFonts w:hint="eastAsia" w:ascii="Times New Roman" w:eastAsia="Times New Roman"/>
                      <w:b w:val="0"/>
                      <w:bCs/>
                      <w:color w:val="auto"/>
                      <w:spacing w:val="-4"/>
                      <w:sz w:val="21"/>
                      <w:lang w:val="en-US" w:eastAsia="zh-CN"/>
                    </w:rPr>
                  </w:pPr>
                  <w:r>
                    <w:rPr>
                      <w:rFonts w:hint="eastAsia" w:ascii="Times New Roman" w:eastAsia="Times New Roman"/>
                      <w:b w:val="0"/>
                      <w:bCs/>
                      <w:color w:val="auto"/>
                      <w:spacing w:val="-4"/>
                      <w:sz w:val="21"/>
                      <w:lang w:val="en-US" w:eastAsia="zh-CN"/>
                    </w:rPr>
                    <w:t>m</w:t>
                  </w:r>
                  <w:r>
                    <w:rPr>
                      <w:rFonts w:hint="eastAsia" w:ascii="Times New Roman" w:eastAsia="Times New Roman"/>
                      <w:b w:val="0"/>
                      <w:bCs/>
                      <w:color w:val="auto"/>
                      <w:spacing w:val="-4"/>
                      <w:sz w:val="21"/>
                      <w:vertAlign w:val="superscript"/>
                      <w:lang w:val="en-US" w:eastAsia="zh-CN"/>
                    </w:rPr>
                    <w:t>2</w:t>
                  </w:r>
                </w:p>
              </w:tc>
              <w:tc>
                <w:tcPr>
                  <w:tcW w:w="1262" w:type="dxa"/>
                  <w:vAlign w:val="center"/>
                </w:tcPr>
                <w:p w14:paraId="28403D83">
                  <w:pPr>
                    <w:pStyle w:val="90"/>
                    <w:spacing w:before="121" w:line="240" w:lineRule="auto"/>
                    <w:ind w:right="-34" w:rightChars="0"/>
                    <w:jc w:val="center"/>
                    <w:rPr>
                      <w:rFonts w:hint="default" w:ascii="Times New Roman" w:eastAsia="Times New Roman"/>
                      <w:b w:val="0"/>
                      <w:bCs/>
                      <w:color w:val="auto"/>
                      <w:spacing w:val="-4"/>
                      <w:sz w:val="21"/>
                      <w:lang w:val="en-US" w:eastAsia="zh-CN"/>
                    </w:rPr>
                  </w:pPr>
                  <w:r>
                    <w:rPr>
                      <w:rFonts w:hint="eastAsia" w:ascii="Times New Roman" w:eastAsia="Times New Roman"/>
                      <w:b w:val="0"/>
                      <w:bCs/>
                      <w:color w:val="auto"/>
                      <w:spacing w:val="-4"/>
                      <w:sz w:val="21"/>
                      <w:lang w:val="en-US" w:eastAsia="zh-CN"/>
                    </w:rPr>
                    <w:t>7990.00</w:t>
                  </w:r>
                </w:p>
              </w:tc>
            </w:tr>
            <w:tr w14:paraId="2F93E3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03" w:type="dxa"/>
                  <w:vAlign w:val="center"/>
                </w:tcPr>
                <w:p w14:paraId="73B5BA3E">
                  <w:pPr>
                    <w:pStyle w:val="90"/>
                    <w:spacing w:before="121" w:line="240" w:lineRule="auto"/>
                    <w:ind w:right="-34" w:rightChars="0"/>
                    <w:jc w:val="center"/>
                    <w:rPr>
                      <w:rFonts w:hint="eastAsia" w:ascii="Times New Roman" w:hAnsi="Calibri" w:eastAsia="Times New Roman" w:cs="Times New Roman"/>
                      <w:b w:val="0"/>
                      <w:bCs/>
                      <w:color w:val="auto"/>
                      <w:spacing w:val="-4"/>
                      <w:kern w:val="0"/>
                      <w:sz w:val="21"/>
                      <w:szCs w:val="22"/>
                      <w:lang w:val="en-US" w:eastAsia="zh-CN" w:bidi="ar-SA"/>
                    </w:rPr>
                  </w:pPr>
                  <w:r>
                    <w:rPr>
                      <w:rFonts w:hint="eastAsia" w:ascii="Times New Roman" w:eastAsia="Times New Roman"/>
                      <w:b w:val="0"/>
                      <w:bCs/>
                      <w:color w:val="auto"/>
                      <w:spacing w:val="-4"/>
                      <w:sz w:val="21"/>
                      <w:lang w:val="en-US" w:eastAsia="zh-CN"/>
                    </w:rPr>
                    <w:t>2</w:t>
                  </w:r>
                </w:p>
              </w:tc>
              <w:tc>
                <w:tcPr>
                  <w:tcW w:w="4763" w:type="dxa"/>
                  <w:gridSpan w:val="2"/>
                  <w:vAlign w:val="center"/>
                </w:tcPr>
                <w:p w14:paraId="57971FC9">
                  <w:pPr>
                    <w:pStyle w:val="90"/>
                    <w:spacing w:before="121" w:line="240" w:lineRule="auto"/>
                    <w:ind w:right="-34" w:rightChars="0"/>
                    <w:jc w:val="center"/>
                    <w:rPr>
                      <w:rFonts w:hint="eastAsia" w:ascii="Times New Roman" w:eastAsia="Times New Roman"/>
                      <w:b w:val="0"/>
                      <w:bCs/>
                      <w:color w:val="auto"/>
                      <w:spacing w:val="-4"/>
                      <w:sz w:val="21"/>
                      <w:lang w:val="en-US" w:eastAsia="zh-CN"/>
                    </w:rPr>
                  </w:pPr>
                  <w:r>
                    <w:rPr>
                      <w:rFonts w:hint="eastAsia" w:ascii="Times New Roman" w:eastAsia="Times New Roman"/>
                      <w:b w:val="0"/>
                      <w:bCs/>
                      <w:color w:val="auto"/>
                      <w:spacing w:val="-4"/>
                      <w:sz w:val="21"/>
                      <w:lang w:val="en-US" w:eastAsia="zh-CN"/>
                    </w:rPr>
                    <w:t>建（构）筑物占地面积</w:t>
                  </w:r>
                </w:p>
              </w:tc>
              <w:tc>
                <w:tcPr>
                  <w:tcW w:w="910" w:type="dxa"/>
                  <w:vAlign w:val="center"/>
                </w:tcPr>
                <w:p w14:paraId="58F31C22">
                  <w:pPr>
                    <w:pStyle w:val="90"/>
                    <w:spacing w:before="121" w:line="240" w:lineRule="auto"/>
                    <w:ind w:right="-34" w:rightChars="0"/>
                    <w:jc w:val="center"/>
                    <w:rPr>
                      <w:rFonts w:hint="eastAsia" w:ascii="Times New Roman" w:eastAsia="Times New Roman"/>
                      <w:b w:val="0"/>
                      <w:bCs/>
                      <w:color w:val="auto"/>
                      <w:spacing w:val="-4"/>
                      <w:sz w:val="21"/>
                      <w:lang w:val="en-US" w:eastAsia="zh-CN"/>
                    </w:rPr>
                  </w:pPr>
                  <w:r>
                    <w:rPr>
                      <w:rFonts w:hint="eastAsia" w:ascii="Times New Roman" w:eastAsia="Times New Roman"/>
                      <w:b w:val="0"/>
                      <w:bCs/>
                      <w:color w:val="auto"/>
                      <w:spacing w:val="-4"/>
                      <w:sz w:val="21"/>
                      <w:lang w:val="en-US" w:eastAsia="zh-CN"/>
                    </w:rPr>
                    <w:t>m</w:t>
                  </w:r>
                  <w:r>
                    <w:rPr>
                      <w:rFonts w:hint="eastAsia" w:ascii="Times New Roman" w:eastAsia="Times New Roman"/>
                      <w:b w:val="0"/>
                      <w:bCs/>
                      <w:color w:val="auto"/>
                      <w:spacing w:val="-4"/>
                      <w:sz w:val="21"/>
                      <w:vertAlign w:val="superscript"/>
                      <w:lang w:val="en-US" w:eastAsia="zh-CN"/>
                    </w:rPr>
                    <w:t>2</w:t>
                  </w:r>
                </w:p>
              </w:tc>
              <w:tc>
                <w:tcPr>
                  <w:tcW w:w="1262" w:type="dxa"/>
                  <w:vAlign w:val="center"/>
                </w:tcPr>
                <w:p w14:paraId="4DE2D70A">
                  <w:pPr>
                    <w:pStyle w:val="90"/>
                    <w:spacing w:before="121" w:line="240" w:lineRule="auto"/>
                    <w:ind w:right="-34" w:rightChars="0"/>
                    <w:jc w:val="center"/>
                    <w:rPr>
                      <w:rFonts w:hint="default" w:ascii="Times New Roman" w:eastAsia="Times New Roman"/>
                      <w:b w:val="0"/>
                      <w:bCs/>
                      <w:color w:val="auto"/>
                      <w:spacing w:val="-4"/>
                      <w:sz w:val="21"/>
                      <w:lang w:val="en-US" w:eastAsia="zh-CN"/>
                    </w:rPr>
                  </w:pPr>
                  <w:r>
                    <w:rPr>
                      <w:rFonts w:hint="eastAsia" w:ascii="Times New Roman" w:eastAsia="Times New Roman"/>
                      <w:b w:val="0"/>
                      <w:bCs/>
                      <w:color w:val="auto"/>
                      <w:spacing w:val="-4"/>
                      <w:sz w:val="21"/>
                      <w:lang w:val="en-US" w:eastAsia="zh-CN"/>
                    </w:rPr>
                    <w:t>2469.33</w:t>
                  </w:r>
                </w:p>
              </w:tc>
            </w:tr>
            <w:tr w14:paraId="6A26E8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03" w:type="dxa"/>
                  <w:vAlign w:val="center"/>
                </w:tcPr>
                <w:p w14:paraId="6CAE5944">
                  <w:pPr>
                    <w:pStyle w:val="90"/>
                    <w:spacing w:before="121" w:line="240" w:lineRule="auto"/>
                    <w:ind w:right="-34" w:rightChars="0"/>
                    <w:jc w:val="center"/>
                    <w:rPr>
                      <w:rFonts w:hint="eastAsia" w:ascii="Times New Roman" w:hAnsi="Calibri" w:eastAsia="Times New Roman" w:cs="Times New Roman"/>
                      <w:b w:val="0"/>
                      <w:bCs/>
                      <w:color w:val="auto"/>
                      <w:spacing w:val="-4"/>
                      <w:kern w:val="0"/>
                      <w:sz w:val="21"/>
                      <w:szCs w:val="22"/>
                      <w:lang w:val="en-US" w:eastAsia="zh-CN" w:bidi="ar-SA"/>
                    </w:rPr>
                  </w:pPr>
                  <w:r>
                    <w:rPr>
                      <w:rFonts w:hint="eastAsia" w:ascii="Times New Roman" w:eastAsia="Times New Roman"/>
                      <w:b w:val="0"/>
                      <w:bCs/>
                      <w:color w:val="auto"/>
                      <w:spacing w:val="-4"/>
                      <w:sz w:val="21"/>
                      <w:lang w:val="en-US" w:eastAsia="zh-CN"/>
                    </w:rPr>
                    <w:t>3</w:t>
                  </w:r>
                </w:p>
              </w:tc>
              <w:tc>
                <w:tcPr>
                  <w:tcW w:w="4763" w:type="dxa"/>
                  <w:gridSpan w:val="2"/>
                  <w:vAlign w:val="center"/>
                </w:tcPr>
                <w:p w14:paraId="37783529">
                  <w:pPr>
                    <w:pStyle w:val="90"/>
                    <w:spacing w:before="121" w:line="240" w:lineRule="auto"/>
                    <w:ind w:right="-34" w:rightChars="0"/>
                    <w:jc w:val="center"/>
                    <w:rPr>
                      <w:rFonts w:hint="eastAsia" w:ascii="Times New Roman" w:eastAsia="Times New Roman"/>
                      <w:b w:val="0"/>
                      <w:bCs/>
                      <w:color w:val="auto"/>
                      <w:spacing w:val="-4"/>
                      <w:sz w:val="21"/>
                      <w:lang w:val="en-US" w:eastAsia="zh-CN"/>
                    </w:rPr>
                  </w:pPr>
                  <w:r>
                    <w:rPr>
                      <w:rFonts w:hint="eastAsia" w:ascii="Times New Roman" w:eastAsia="Times New Roman"/>
                      <w:b w:val="0"/>
                      <w:bCs/>
                      <w:color w:val="auto"/>
                      <w:spacing w:val="-4"/>
                      <w:sz w:val="21"/>
                      <w:lang w:val="en-US" w:eastAsia="zh-CN"/>
                    </w:rPr>
                    <w:t>建筑系数</w:t>
                  </w:r>
                </w:p>
              </w:tc>
              <w:tc>
                <w:tcPr>
                  <w:tcW w:w="910" w:type="dxa"/>
                  <w:vAlign w:val="center"/>
                </w:tcPr>
                <w:p w14:paraId="00B35F78">
                  <w:pPr>
                    <w:pStyle w:val="90"/>
                    <w:spacing w:before="121" w:line="240" w:lineRule="auto"/>
                    <w:ind w:right="-34" w:rightChars="0"/>
                    <w:jc w:val="center"/>
                    <w:rPr>
                      <w:rFonts w:hint="eastAsia" w:ascii="Times New Roman" w:eastAsia="Times New Roman"/>
                      <w:b w:val="0"/>
                      <w:bCs/>
                      <w:color w:val="auto"/>
                      <w:spacing w:val="-4"/>
                      <w:sz w:val="21"/>
                      <w:lang w:val="en-US" w:eastAsia="zh-CN"/>
                    </w:rPr>
                  </w:pPr>
                  <w:r>
                    <w:rPr>
                      <w:rFonts w:hint="eastAsia" w:ascii="Times New Roman" w:eastAsia="Times New Roman"/>
                      <w:b w:val="0"/>
                      <w:bCs/>
                      <w:color w:val="auto"/>
                      <w:spacing w:val="-4"/>
                      <w:sz w:val="21"/>
                      <w:lang w:val="en-US" w:eastAsia="zh-CN"/>
                    </w:rPr>
                    <w:t>%</w:t>
                  </w:r>
                </w:p>
              </w:tc>
              <w:tc>
                <w:tcPr>
                  <w:tcW w:w="1262" w:type="dxa"/>
                  <w:vAlign w:val="center"/>
                </w:tcPr>
                <w:p w14:paraId="464A326C">
                  <w:pPr>
                    <w:pStyle w:val="90"/>
                    <w:spacing w:before="121" w:line="240" w:lineRule="auto"/>
                    <w:ind w:right="-34" w:rightChars="0"/>
                    <w:jc w:val="center"/>
                    <w:rPr>
                      <w:rFonts w:hint="default" w:ascii="Times New Roman" w:eastAsia="Times New Roman"/>
                      <w:b w:val="0"/>
                      <w:bCs/>
                      <w:color w:val="auto"/>
                      <w:spacing w:val="-4"/>
                      <w:sz w:val="21"/>
                      <w:lang w:val="en-US" w:eastAsia="zh-CN"/>
                    </w:rPr>
                  </w:pPr>
                  <w:r>
                    <w:rPr>
                      <w:rFonts w:hint="eastAsia" w:ascii="Times New Roman" w:eastAsia="Times New Roman"/>
                      <w:b w:val="0"/>
                      <w:bCs/>
                      <w:color w:val="auto"/>
                      <w:spacing w:val="-4"/>
                      <w:sz w:val="21"/>
                      <w:lang w:val="en-US" w:eastAsia="zh-CN"/>
                    </w:rPr>
                    <w:t>30.24</w:t>
                  </w:r>
                </w:p>
              </w:tc>
            </w:tr>
            <w:tr w14:paraId="178F8A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03" w:type="dxa"/>
                  <w:vAlign w:val="center"/>
                </w:tcPr>
                <w:p w14:paraId="04314427">
                  <w:pPr>
                    <w:pStyle w:val="90"/>
                    <w:spacing w:before="121" w:line="240" w:lineRule="auto"/>
                    <w:ind w:right="-34" w:rightChars="0"/>
                    <w:jc w:val="center"/>
                    <w:rPr>
                      <w:rFonts w:hint="eastAsia" w:ascii="Times New Roman" w:hAnsi="Calibri" w:eastAsia="Times New Roman" w:cs="Times New Roman"/>
                      <w:b w:val="0"/>
                      <w:bCs/>
                      <w:color w:val="auto"/>
                      <w:spacing w:val="-4"/>
                      <w:kern w:val="0"/>
                      <w:sz w:val="21"/>
                      <w:szCs w:val="22"/>
                      <w:lang w:val="en-US" w:eastAsia="zh-CN" w:bidi="ar-SA"/>
                    </w:rPr>
                  </w:pPr>
                  <w:r>
                    <w:rPr>
                      <w:rFonts w:hint="eastAsia" w:ascii="Times New Roman" w:eastAsia="Times New Roman"/>
                      <w:b w:val="0"/>
                      <w:bCs/>
                      <w:color w:val="auto"/>
                      <w:spacing w:val="-4"/>
                      <w:sz w:val="21"/>
                      <w:lang w:val="en-US" w:eastAsia="zh-CN"/>
                    </w:rPr>
                    <w:t>4</w:t>
                  </w:r>
                </w:p>
              </w:tc>
              <w:tc>
                <w:tcPr>
                  <w:tcW w:w="4763" w:type="dxa"/>
                  <w:gridSpan w:val="2"/>
                  <w:vAlign w:val="center"/>
                </w:tcPr>
                <w:p w14:paraId="50AE6CCB">
                  <w:pPr>
                    <w:pStyle w:val="90"/>
                    <w:spacing w:before="121" w:line="240" w:lineRule="auto"/>
                    <w:ind w:right="-34" w:rightChars="0"/>
                    <w:jc w:val="center"/>
                    <w:rPr>
                      <w:rFonts w:hint="default" w:ascii="Times New Roman" w:eastAsia="Times New Roman"/>
                      <w:b w:val="0"/>
                      <w:bCs/>
                      <w:color w:val="auto"/>
                      <w:spacing w:val="-4"/>
                      <w:sz w:val="21"/>
                      <w:lang w:val="en-US" w:eastAsia="zh-CN"/>
                    </w:rPr>
                  </w:pPr>
                  <w:r>
                    <w:rPr>
                      <w:rFonts w:hint="eastAsia" w:ascii="Times New Roman" w:eastAsia="Times New Roman"/>
                      <w:b w:val="0"/>
                      <w:bCs/>
                      <w:color w:val="auto"/>
                      <w:spacing w:val="-4"/>
                      <w:sz w:val="21"/>
                      <w:lang w:val="en-US" w:eastAsia="zh-CN"/>
                    </w:rPr>
                    <w:t>沥青混凝土道路及广场用地面积</w:t>
                  </w:r>
                </w:p>
              </w:tc>
              <w:tc>
                <w:tcPr>
                  <w:tcW w:w="910" w:type="dxa"/>
                  <w:vAlign w:val="center"/>
                </w:tcPr>
                <w:p w14:paraId="671423EE">
                  <w:pPr>
                    <w:pStyle w:val="90"/>
                    <w:spacing w:before="121" w:line="240" w:lineRule="auto"/>
                    <w:ind w:right="-34" w:rightChars="0"/>
                    <w:jc w:val="center"/>
                    <w:rPr>
                      <w:rFonts w:hint="eastAsia" w:ascii="Times New Roman" w:eastAsia="Times New Roman"/>
                      <w:b w:val="0"/>
                      <w:bCs/>
                      <w:color w:val="auto"/>
                      <w:spacing w:val="-4"/>
                      <w:sz w:val="21"/>
                      <w:lang w:val="en-US" w:eastAsia="zh-CN"/>
                    </w:rPr>
                  </w:pPr>
                  <w:r>
                    <w:rPr>
                      <w:rFonts w:hint="eastAsia" w:ascii="Times New Roman" w:eastAsia="Times New Roman"/>
                      <w:b w:val="0"/>
                      <w:bCs/>
                      <w:color w:val="auto"/>
                      <w:spacing w:val="-4"/>
                      <w:sz w:val="21"/>
                      <w:vertAlign w:val="baseline"/>
                      <w:lang w:val="en-US" w:eastAsia="zh-CN"/>
                    </w:rPr>
                    <w:t>m</w:t>
                  </w:r>
                  <w:r>
                    <w:rPr>
                      <w:rFonts w:hint="eastAsia" w:ascii="Times New Roman" w:eastAsia="Times New Roman"/>
                      <w:b w:val="0"/>
                      <w:bCs/>
                      <w:color w:val="auto"/>
                      <w:spacing w:val="-4"/>
                      <w:sz w:val="21"/>
                      <w:vertAlign w:val="superscript"/>
                      <w:lang w:val="en-US" w:eastAsia="zh-CN"/>
                    </w:rPr>
                    <w:t>2</w:t>
                  </w:r>
                </w:p>
              </w:tc>
              <w:tc>
                <w:tcPr>
                  <w:tcW w:w="1262" w:type="dxa"/>
                  <w:vAlign w:val="center"/>
                </w:tcPr>
                <w:p w14:paraId="7CFB4546">
                  <w:pPr>
                    <w:pStyle w:val="90"/>
                    <w:spacing w:before="121" w:line="240" w:lineRule="auto"/>
                    <w:ind w:right="-34" w:rightChars="0"/>
                    <w:jc w:val="center"/>
                    <w:rPr>
                      <w:rFonts w:hint="default" w:ascii="Times New Roman" w:eastAsia="Times New Roman"/>
                      <w:b w:val="0"/>
                      <w:bCs/>
                      <w:color w:val="auto"/>
                      <w:spacing w:val="-4"/>
                      <w:sz w:val="21"/>
                      <w:lang w:val="en-US" w:eastAsia="zh-CN"/>
                    </w:rPr>
                  </w:pPr>
                  <w:r>
                    <w:rPr>
                      <w:rFonts w:hint="eastAsia" w:ascii="Times New Roman" w:eastAsia="Times New Roman"/>
                      <w:b w:val="0"/>
                      <w:bCs/>
                      <w:color w:val="auto"/>
                      <w:spacing w:val="-4"/>
                      <w:sz w:val="21"/>
                      <w:lang w:val="en-US" w:eastAsia="zh-CN"/>
                    </w:rPr>
                    <w:t>2188.03</w:t>
                  </w:r>
                </w:p>
              </w:tc>
            </w:tr>
            <w:tr w14:paraId="4EA98C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03" w:type="dxa"/>
                  <w:vAlign w:val="center"/>
                </w:tcPr>
                <w:p w14:paraId="556F864B">
                  <w:pPr>
                    <w:pStyle w:val="90"/>
                    <w:spacing w:before="121" w:line="240" w:lineRule="auto"/>
                    <w:ind w:right="-34" w:rightChars="0"/>
                    <w:jc w:val="center"/>
                    <w:rPr>
                      <w:rFonts w:hint="eastAsia" w:ascii="Times New Roman" w:hAnsi="Calibri" w:eastAsia="Times New Roman" w:cs="Times New Roman"/>
                      <w:b w:val="0"/>
                      <w:bCs/>
                      <w:color w:val="auto"/>
                      <w:spacing w:val="-4"/>
                      <w:kern w:val="0"/>
                      <w:sz w:val="21"/>
                      <w:szCs w:val="22"/>
                      <w:lang w:val="en-US" w:eastAsia="zh-CN" w:bidi="ar-SA"/>
                    </w:rPr>
                  </w:pPr>
                  <w:r>
                    <w:rPr>
                      <w:rFonts w:hint="eastAsia" w:ascii="Times New Roman" w:eastAsia="Times New Roman"/>
                      <w:b w:val="0"/>
                      <w:bCs/>
                      <w:color w:val="auto"/>
                      <w:spacing w:val="-4"/>
                      <w:sz w:val="21"/>
                      <w:lang w:val="en-US" w:eastAsia="zh-CN"/>
                    </w:rPr>
                    <w:t>5</w:t>
                  </w:r>
                </w:p>
              </w:tc>
              <w:tc>
                <w:tcPr>
                  <w:tcW w:w="4763" w:type="dxa"/>
                  <w:gridSpan w:val="2"/>
                  <w:vAlign w:val="center"/>
                </w:tcPr>
                <w:p w14:paraId="49450E9B">
                  <w:pPr>
                    <w:pStyle w:val="90"/>
                    <w:spacing w:before="121" w:line="240" w:lineRule="auto"/>
                    <w:ind w:right="-34" w:rightChars="0"/>
                    <w:jc w:val="center"/>
                    <w:rPr>
                      <w:rFonts w:hint="default" w:ascii="Times New Roman" w:eastAsia="Times New Roman"/>
                      <w:b w:val="0"/>
                      <w:bCs/>
                      <w:color w:val="auto"/>
                      <w:spacing w:val="-4"/>
                      <w:sz w:val="21"/>
                      <w:lang w:val="en-US" w:eastAsia="zh-CN"/>
                    </w:rPr>
                  </w:pPr>
                  <w:r>
                    <w:rPr>
                      <w:rFonts w:hint="eastAsia" w:ascii="Times New Roman" w:eastAsia="Times New Roman"/>
                      <w:b w:val="0"/>
                      <w:bCs/>
                      <w:color w:val="auto"/>
                      <w:spacing w:val="-4"/>
                      <w:sz w:val="21"/>
                      <w:lang w:val="en-US" w:eastAsia="zh-CN"/>
                    </w:rPr>
                    <w:t>道路及广场系数</w:t>
                  </w:r>
                </w:p>
              </w:tc>
              <w:tc>
                <w:tcPr>
                  <w:tcW w:w="910" w:type="dxa"/>
                  <w:vAlign w:val="center"/>
                </w:tcPr>
                <w:p w14:paraId="0AC1E42B">
                  <w:pPr>
                    <w:pStyle w:val="90"/>
                    <w:spacing w:before="121" w:line="240" w:lineRule="auto"/>
                    <w:ind w:right="-34" w:rightChars="0"/>
                    <w:jc w:val="center"/>
                    <w:rPr>
                      <w:rFonts w:hint="eastAsia" w:ascii="Times New Roman" w:eastAsia="Times New Roman"/>
                      <w:b w:val="0"/>
                      <w:bCs/>
                      <w:color w:val="auto"/>
                      <w:spacing w:val="-4"/>
                      <w:sz w:val="21"/>
                      <w:lang w:val="en-US" w:eastAsia="zh-CN"/>
                    </w:rPr>
                  </w:pPr>
                  <w:r>
                    <w:rPr>
                      <w:rFonts w:hint="eastAsia" w:ascii="Times New Roman" w:eastAsia="Times New Roman"/>
                      <w:b w:val="0"/>
                      <w:bCs/>
                      <w:color w:val="auto"/>
                      <w:spacing w:val="-4"/>
                      <w:sz w:val="21"/>
                      <w:lang w:val="en-US" w:eastAsia="zh-CN"/>
                    </w:rPr>
                    <w:t>%</w:t>
                  </w:r>
                </w:p>
              </w:tc>
              <w:tc>
                <w:tcPr>
                  <w:tcW w:w="1262" w:type="dxa"/>
                  <w:vAlign w:val="center"/>
                </w:tcPr>
                <w:p w14:paraId="445E4E6D">
                  <w:pPr>
                    <w:pStyle w:val="90"/>
                    <w:spacing w:before="121" w:line="240" w:lineRule="auto"/>
                    <w:ind w:right="-34" w:rightChars="0"/>
                    <w:jc w:val="center"/>
                    <w:rPr>
                      <w:rFonts w:hint="default" w:ascii="Times New Roman" w:eastAsia="Times New Roman"/>
                      <w:b w:val="0"/>
                      <w:bCs/>
                      <w:color w:val="auto"/>
                      <w:spacing w:val="-4"/>
                      <w:sz w:val="21"/>
                      <w:lang w:val="en-US" w:eastAsia="zh-CN"/>
                    </w:rPr>
                  </w:pPr>
                  <w:r>
                    <w:rPr>
                      <w:rFonts w:hint="eastAsia" w:ascii="Times New Roman" w:eastAsia="Times New Roman"/>
                      <w:b w:val="0"/>
                      <w:bCs/>
                      <w:color w:val="auto"/>
                      <w:spacing w:val="-4"/>
                      <w:sz w:val="21"/>
                      <w:lang w:val="en-US" w:eastAsia="zh-CN"/>
                    </w:rPr>
                    <w:t>27.38</w:t>
                  </w:r>
                </w:p>
              </w:tc>
            </w:tr>
            <w:tr w14:paraId="2F5158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03" w:type="dxa"/>
                  <w:vAlign w:val="center"/>
                </w:tcPr>
                <w:p w14:paraId="2A3D70D9">
                  <w:pPr>
                    <w:pStyle w:val="90"/>
                    <w:spacing w:before="121" w:line="240" w:lineRule="auto"/>
                    <w:ind w:right="-34" w:rightChars="0"/>
                    <w:jc w:val="center"/>
                    <w:rPr>
                      <w:rFonts w:hint="eastAsia" w:ascii="Times New Roman" w:hAnsi="Calibri" w:eastAsia="Times New Roman" w:cs="Times New Roman"/>
                      <w:b w:val="0"/>
                      <w:bCs/>
                      <w:color w:val="auto"/>
                      <w:spacing w:val="-4"/>
                      <w:kern w:val="0"/>
                      <w:sz w:val="21"/>
                      <w:szCs w:val="22"/>
                      <w:lang w:val="en-US" w:eastAsia="zh-CN" w:bidi="ar-SA"/>
                    </w:rPr>
                  </w:pPr>
                  <w:r>
                    <w:rPr>
                      <w:rFonts w:hint="eastAsia" w:ascii="Times New Roman" w:eastAsia="Times New Roman"/>
                      <w:b w:val="0"/>
                      <w:bCs/>
                      <w:color w:val="auto"/>
                      <w:spacing w:val="-4"/>
                      <w:sz w:val="21"/>
                      <w:lang w:val="en-US" w:eastAsia="zh-CN"/>
                    </w:rPr>
                    <w:t>6</w:t>
                  </w:r>
                </w:p>
              </w:tc>
              <w:tc>
                <w:tcPr>
                  <w:tcW w:w="4763" w:type="dxa"/>
                  <w:gridSpan w:val="2"/>
                  <w:vAlign w:val="center"/>
                </w:tcPr>
                <w:p w14:paraId="000FC331">
                  <w:pPr>
                    <w:pStyle w:val="90"/>
                    <w:spacing w:before="121" w:line="240" w:lineRule="auto"/>
                    <w:ind w:right="-34" w:rightChars="0"/>
                    <w:jc w:val="center"/>
                    <w:rPr>
                      <w:rFonts w:hint="eastAsia" w:ascii="Times New Roman" w:eastAsia="Times New Roman"/>
                      <w:b w:val="0"/>
                      <w:bCs/>
                      <w:color w:val="auto"/>
                      <w:spacing w:val="-4"/>
                      <w:sz w:val="21"/>
                      <w:lang w:val="en-US" w:eastAsia="zh-CN"/>
                    </w:rPr>
                  </w:pPr>
                  <w:r>
                    <w:rPr>
                      <w:rFonts w:hint="eastAsia" w:ascii="Times New Roman" w:eastAsia="Times New Roman"/>
                      <w:b w:val="0"/>
                      <w:bCs/>
                      <w:color w:val="auto"/>
                      <w:spacing w:val="-4"/>
                      <w:sz w:val="21"/>
                      <w:lang w:val="en-US" w:eastAsia="zh-CN"/>
                    </w:rPr>
                    <w:t>场地用地面积</w:t>
                  </w:r>
                </w:p>
              </w:tc>
              <w:tc>
                <w:tcPr>
                  <w:tcW w:w="910" w:type="dxa"/>
                  <w:vAlign w:val="center"/>
                </w:tcPr>
                <w:p w14:paraId="1EE99E23">
                  <w:pPr>
                    <w:pStyle w:val="90"/>
                    <w:spacing w:before="121" w:line="240" w:lineRule="auto"/>
                    <w:ind w:right="-34" w:rightChars="0"/>
                    <w:jc w:val="center"/>
                    <w:rPr>
                      <w:rFonts w:hint="eastAsia" w:ascii="Times New Roman" w:eastAsia="Times New Roman"/>
                      <w:b w:val="0"/>
                      <w:bCs/>
                      <w:color w:val="auto"/>
                      <w:spacing w:val="-4"/>
                      <w:sz w:val="21"/>
                      <w:lang w:val="en-US" w:eastAsia="zh-CN"/>
                    </w:rPr>
                  </w:pPr>
                  <w:r>
                    <w:rPr>
                      <w:rFonts w:hint="eastAsia" w:ascii="Times New Roman" w:eastAsia="Times New Roman"/>
                      <w:b w:val="0"/>
                      <w:bCs/>
                      <w:color w:val="auto"/>
                      <w:spacing w:val="-4"/>
                      <w:sz w:val="21"/>
                      <w:lang w:val="en-US" w:eastAsia="zh-CN"/>
                    </w:rPr>
                    <w:t>m</w:t>
                  </w:r>
                  <w:r>
                    <w:rPr>
                      <w:rFonts w:hint="eastAsia" w:ascii="Times New Roman" w:eastAsia="Times New Roman"/>
                      <w:b w:val="0"/>
                      <w:bCs/>
                      <w:color w:val="auto"/>
                      <w:spacing w:val="-4"/>
                      <w:sz w:val="21"/>
                      <w:vertAlign w:val="superscript"/>
                      <w:lang w:val="en-US" w:eastAsia="zh-CN"/>
                    </w:rPr>
                    <w:t>2</w:t>
                  </w:r>
                </w:p>
              </w:tc>
              <w:tc>
                <w:tcPr>
                  <w:tcW w:w="1262" w:type="dxa"/>
                  <w:vAlign w:val="center"/>
                </w:tcPr>
                <w:p w14:paraId="776ECDDA">
                  <w:pPr>
                    <w:pStyle w:val="90"/>
                    <w:spacing w:before="121" w:line="240" w:lineRule="auto"/>
                    <w:ind w:right="-34" w:rightChars="0"/>
                    <w:jc w:val="center"/>
                    <w:rPr>
                      <w:rFonts w:hint="default" w:ascii="Times New Roman" w:eastAsia="Times New Roman"/>
                      <w:b w:val="0"/>
                      <w:bCs/>
                      <w:color w:val="auto"/>
                      <w:spacing w:val="-4"/>
                      <w:sz w:val="21"/>
                      <w:lang w:val="en-US" w:eastAsia="zh-CN"/>
                    </w:rPr>
                  </w:pPr>
                  <w:r>
                    <w:rPr>
                      <w:rFonts w:hint="eastAsia" w:ascii="Times New Roman" w:eastAsia="Times New Roman"/>
                      <w:b w:val="0"/>
                      <w:bCs/>
                      <w:color w:val="auto"/>
                      <w:spacing w:val="-4"/>
                      <w:sz w:val="21"/>
                      <w:lang w:val="en-US" w:eastAsia="zh-CN"/>
                    </w:rPr>
                    <w:t>5216.67</w:t>
                  </w:r>
                </w:p>
              </w:tc>
            </w:tr>
            <w:tr w14:paraId="061AE5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03" w:type="dxa"/>
                  <w:vAlign w:val="center"/>
                </w:tcPr>
                <w:p w14:paraId="6D83780C">
                  <w:pPr>
                    <w:pStyle w:val="90"/>
                    <w:spacing w:before="121" w:line="240" w:lineRule="auto"/>
                    <w:ind w:right="-34" w:rightChars="0"/>
                    <w:jc w:val="center"/>
                    <w:rPr>
                      <w:rFonts w:hint="eastAsia" w:ascii="Times New Roman" w:hAnsi="Calibri" w:eastAsia="Times New Roman" w:cs="Times New Roman"/>
                      <w:b w:val="0"/>
                      <w:bCs/>
                      <w:color w:val="auto"/>
                      <w:spacing w:val="-4"/>
                      <w:kern w:val="0"/>
                      <w:sz w:val="21"/>
                      <w:szCs w:val="22"/>
                      <w:lang w:val="en-US" w:eastAsia="zh-CN" w:bidi="ar-SA"/>
                    </w:rPr>
                  </w:pPr>
                  <w:r>
                    <w:rPr>
                      <w:rFonts w:hint="eastAsia" w:ascii="Times New Roman" w:eastAsia="Times New Roman"/>
                      <w:b w:val="0"/>
                      <w:bCs/>
                      <w:color w:val="auto"/>
                      <w:spacing w:val="-4"/>
                      <w:sz w:val="21"/>
                      <w:lang w:val="en-US" w:eastAsia="zh-CN"/>
                    </w:rPr>
                    <w:t>7</w:t>
                  </w:r>
                </w:p>
              </w:tc>
              <w:tc>
                <w:tcPr>
                  <w:tcW w:w="4763" w:type="dxa"/>
                  <w:gridSpan w:val="2"/>
                  <w:vAlign w:val="center"/>
                </w:tcPr>
                <w:p w14:paraId="61B06295">
                  <w:pPr>
                    <w:pStyle w:val="90"/>
                    <w:spacing w:before="121" w:line="240" w:lineRule="auto"/>
                    <w:ind w:right="-34" w:rightChars="0"/>
                    <w:jc w:val="center"/>
                    <w:rPr>
                      <w:rFonts w:hint="default" w:ascii="Times New Roman" w:eastAsia="Times New Roman"/>
                      <w:b w:val="0"/>
                      <w:bCs/>
                      <w:color w:val="auto"/>
                      <w:spacing w:val="-4"/>
                      <w:sz w:val="21"/>
                      <w:lang w:val="en-US" w:eastAsia="zh-CN"/>
                    </w:rPr>
                  </w:pPr>
                  <w:r>
                    <w:rPr>
                      <w:rFonts w:hint="eastAsia" w:ascii="Times New Roman" w:eastAsia="Times New Roman"/>
                      <w:b w:val="0"/>
                      <w:bCs/>
                      <w:color w:val="auto"/>
                      <w:spacing w:val="-4"/>
                      <w:sz w:val="21"/>
                      <w:lang w:val="en-US" w:eastAsia="zh-CN"/>
                    </w:rPr>
                    <w:t>场地利用系数</w:t>
                  </w:r>
                </w:p>
              </w:tc>
              <w:tc>
                <w:tcPr>
                  <w:tcW w:w="910" w:type="dxa"/>
                  <w:vAlign w:val="center"/>
                </w:tcPr>
                <w:p w14:paraId="2D2B86ED">
                  <w:pPr>
                    <w:pStyle w:val="90"/>
                    <w:spacing w:before="121" w:line="240" w:lineRule="auto"/>
                    <w:ind w:right="-34" w:rightChars="0"/>
                    <w:jc w:val="center"/>
                    <w:rPr>
                      <w:rFonts w:hint="eastAsia" w:ascii="Times New Roman" w:eastAsia="Times New Roman"/>
                      <w:b w:val="0"/>
                      <w:bCs/>
                      <w:color w:val="auto"/>
                      <w:spacing w:val="-4"/>
                      <w:sz w:val="21"/>
                      <w:lang w:val="en-US" w:eastAsia="zh-CN"/>
                    </w:rPr>
                  </w:pPr>
                  <w:r>
                    <w:rPr>
                      <w:rFonts w:hint="eastAsia" w:ascii="Times New Roman" w:eastAsia="Times New Roman"/>
                      <w:b w:val="0"/>
                      <w:bCs/>
                      <w:color w:val="auto"/>
                      <w:spacing w:val="-4"/>
                      <w:sz w:val="21"/>
                      <w:lang w:val="en-US" w:eastAsia="zh-CN"/>
                    </w:rPr>
                    <w:t>%</w:t>
                  </w:r>
                </w:p>
              </w:tc>
              <w:tc>
                <w:tcPr>
                  <w:tcW w:w="1262" w:type="dxa"/>
                  <w:vAlign w:val="center"/>
                </w:tcPr>
                <w:p w14:paraId="51B0D9DD">
                  <w:pPr>
                    <w:pStyle w:val="90"/>
                    <w:spacing w:before="121" w:line="240" w:lineRule="auto"/>
                    <w:ind w:right="-34" w:rightChars="0"/>
                    <w:jc w:val="center"/>
                    <w:rPr>
                      <w:rFonts w:hint="default" w:ascii="Times New Roman" w:eastAsia="Times New Roman"/>
                      <w:b w:val="0"/>
                      <w:bCs/>
                      <w:color w:val="auto"/>
                      <w:spacing w:val="-4"/>
                      <w:sz w:val="21"/>
                      <w:lang w:val="en-US" w:eastAsia="zh-CN"/>
                    </w:rPr>
                  </w:pPr>
                  <w:r>
                    <w:rPr>
                      <w:rFonts w:hint="eastAsia" w:ascii="Times New Roman" w:eastAsia="Times New Roman"/>
                      <w:b w:val="0"/>
                      <w:bCs/>
                      <w:color w:val="auto"/>
                      <w:spacing w:val="-4"/>
                      <w:sz w:val="21"/>
                      <w:lang w:val="en-US" w:eastAsia="zh-CN"/>
                    </w:rPr>
                    <w:t>65.29</w:t>
                  </w:r>
                </w:p>
              </w:tc>
            </w:tr>
            <w:tr w14:paraId="6E34E0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03" w:type="dxa"/>
                  <w:vAlign w:val="center"/>
                </w:tcPr>
                <w:p w14:paraId="740ADB80">
                  <w:pPr>
                    <w:pStyle w:val="90"/>
                    <w:spacing w:before="121" w:line="240" w:lineRule="auto"/>
                    <w:ind w:right="-34" w:rightChars="0"/>
                    <w:jc w:val="center"/>
                    <w:rPr>
                      <w:rFonts w:hint="eastAsia" w:ascii="Times New Roman" w:hAnsi="Calibri" w:eastAsia="Times New Roman" w:cs="Times New Roman"/>
                      <w:b w:val="0"/>
                      <w:bCs/>
                      <w:color w:val="auto"/>
                      <w:spacing w:val="-4"/>
                      <w:kern w:val="0"/>
                      <w:sz w:val="21"/>
                      <w:szCs w:val="22"/>
                      <w:lang w:val="en-US" w:eastAsia="zh-CN" w:bidi="ar-SA"/>
                    </w:rPr>
                  </w:pPr>
                  <w:r>
                    <w:rPr>
                      <w:rFonts w:hint="eastAsia" w:ascii="Times New Roman" w:eastAsia="Times New Roman"/>
                      <w:b w:val="0"/>
                      <w:bCs/>
                      <w:color w:val="auto"/>
                      <w:spacing w:val="-4"/>
                      <w:sz w:val="21"/>
                      <w:lang w:val="en-US" w:eastAsia="zh-CN"/>
                    </w:rPr>
                    <w:t>8</w:t>
                  </w:r>
                </w:p>
              </w:tc>
              <w:tc>
                <w:tcPr>
                  <w:tcW w:w="4763" w:type="dxa"/>
                  <w:gridSpan w:val="2"/>
                  <w:vAlign w:val="center"/>
                </w:tcPr>
                <w:p w14:paraId="1F0EF712">
                  <w:pPr>
                    <w:pStyle w:val="90"/>
                    <w:spacing w:before="121" w:line="240" w:lineRule="auto"/>
                    <w:ind w:right="-34" w:rightChars="0"/>
                    <w:jc w:val="center"/>
                    <w:rPr>
                      <w:rFonts w:hint="eastAsia" w:ascii="Times New Roman" w:eastAsia="Times New Roman"/>
                      <w:b w:val="0"/>
                      <w:bCs/>
                      <w:color w:val="auto"/>
                      <w:spacing w:val="-4"/>
                      <w:sz w:val="21"/>
                      <w:lang w:val="en-US" w:eastAsia="zh-CN"/>
                    </w:rPr>
                  </w:pPr>
                  <w:r>
                    <w:rPr>
                      <w:rFonts w:hint="eastAsia" w:ascii="Times New Roman" w:eastAsia="Times New Roman"/>
                      <w:b w:val="0"/>
                      <w:bCs/>
                      <w:color w:val="auto"/>
                      <w:spacing w:val="-4"/>
                      <w:sz w:val="21"/>
                      <w:lang w:val="en-US" w:eastAsia="zh-CN"/>
                    </w:rPr>
                    <w:t>围墙长度</w:t>
                  </w:r>
                </w:p>
              </w:tc>
              <w:tc>
                <w:tcPr>
                  <w:tcW w:w="910" w:type="dxa"/>
                  <w:vAlign w:val="center"/>
                </w:tcPr>
                <w:p w14:paraId="667DF589">
                  <w:pPr>
                    <w:pStyle w:val="90"/>
                    <w:spacing w:before="121" w:line="240" w:lineRule="auto"/>
                    <w:ind w:right="-34" w:rightChars="0"/>
                    <w:jc w:val="center"/>
                    <w:rPr>
                      <w:rFonts w:hint="eastAsia" w:ascii="Times New Roman" w:eastAsia="Times New Roman"/>
                      <w:b w:val="0"/>
                      <w:bCs/>
                      <w:color w:val="auto"/>
                      <w:spacing w:val="-4"/>
                      <w:sz w:val="21"/>
                      <w:lang w:val="en-US" w:eastAsia="zh-CN"/>
                    </w:rPr>
                  </w:pPr>
                  <w:r>
                    <w:rPr>
                      <w:rFonts w:hint="eastAsia" w:ascii="Times New Roman" w:eastAsia="Times New Roman"/>
                      <w:b w:val="0"/>
                      <w:bCs/>
                      <w:color w:val="auto"/>
                      <w:spacing w:val="-4"/>
                      <w:sz w:val="21"/>
                      <w:lang w:val="en-US" w:eastAsia="zh-CN"/>
                    </w:rPr>
                    <w:t>m</w:t>
                  </w:r>
                </w:p>
              </w:tc>
              <w:tc>
                <w:tcPr>
                  <w:tcW w:w="1262" w:type="dxa"/>
                  <w:vAlign w:val="center"/>
                </w:tcPr>
                <w:p w14:paraId="59594B95">
                  <w:pPr>
                    <w:pStyle w:val="90"/>
                    <w:spacing w:before="121" w:line="240" w:lineRule="auto"/>
                    <w:ind w:right="-34" w:rightChars="0"/>
                    <w:jc w:val="center"/>
                    <w:rPr>
                      <w:rFonts w:hint="default" w:ascii="Times New Roman" w:eastAsia="Times New Roman"/>
                      <w:b w:val="0"/>
                      <w:bCs/>
                      <w:color w:val="auto"/>
                      <w:spacing w:val="-4"/>
                      <w:sz w:val="21"/>
                      <w:lang w:val="en-US" w:eastAsia="zh-CN"/>
                    </w:rPr>
                  </w:pPr>
                  <w:r>
                    <w:rPr>
                      <w:rFonts w:hint="eastAsia" w:ascii="Times New Roman" w:eastAsia="Times New Roman"/>
                      <w:b w:val="0"/>
                      <w:bCs/>
                      <w:color w:val="auto"/>
                      <w:spacing w:val="-4"/>
                      <w:sz w:val="21"/>
                      <w:lang w:val="en-US" w:eastAsia="zh-CN"/>
                    </w:rPr>
                    <w:t>361.00</w:t>
                  </w:r>
                </w:p>
              </w:tc>
            </w:tr>
            <w:tr w14:paraId="0658F4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03" w:type="dxa"/>
                  <w:vMerge w:val="restart"/>
                  <w:vAlign w:val="center"/>
                </w:tcPr>
                <w:p w14:paraId="3D4CA59B">
                  <w:pPr>
                    <w:pStyle w:val="90"/>
                    <w:spacing w:before="121" w:line="240" w:lineRule="auto"/>
                    <w:ind w:right="-34" w:rightChars="0"/>
                    <w:jc w:val="center"/>
                    <w:rPr>
                      <w:rFonts w:hint="eastAsia" w:ascii="Times New Roman" w:hAnsi="Calibri" w:eastAsia="Times New Roman" w:cs="Times New Roman"/>
                      <w:b w:val="0"/>
                      <w:bCs/>
                      <w:color w:val="auto"/>
                      <w:spacing w:val="-4"/>
                      <w:kern w:val="0"/>
                      <w:sz w:val="21"/>
                      <w:szCs w:val="22"/>
                      <w:lang w:val="en-US" w:eastAsia="zh-CN" w:bidi="ar-SA"/>
                    </w:rPr>
                  </w:pPr>
                  <w:r>
                    <w:rPr>
                      <w:rFonts w:hint="eastAsia" w:ascii="Times New Roman" w:eastAsia="Times New Roman"/>
                      <w:b w:val="0"/>
                      <w:bCs/>
                      <w:color w:val="auto"/>
                      <w:spacing w:val="-4"/>
                      <w:sz w:val="21"/>
                      <w:lang w:val="en-US" w:eastAsia="zh-CN"/>
                    </w:rPr>
                    <w:t>9</w:t>
                  </w:r>
                </w:p>
              </w:tc>
              <w:tc>
                <w:tcPr>
                  <w:tcW w:w="2379" w:type="dxa"/>
                  <w:vMerge w:val="restart"/>
                  <w:vAlign w:val="center"/>
                </w:tcPr>
                <w:p w14:paraId="2DE79F2B">
                  <w:pPr>
                    <w:pStyle w:val="90"/>
                    <w:spacing w:before="121" w:line="240" w:lineRule="auto"/>
                    <w:ind w:right="-34" w:rightChars="0"/>
                    <w:jc w:val="center"/>
                    <w:rPr>
                      <w:rFonts w:hint="default" w:ascii="Times New Roman" w:eastAsia="Times New Roman"/>
                      <w:b w:val="0"/>
                      <w:bCs/>
                      <w:color w:val="auto"/>
                      <w:spacing w:val="-4"/>
                      <w:sz w:val="21"/>
                      <w:lang w:val="en-US" w:eastAsia="zh-CN"/>
                    </w:rPr>
                  </w:pPr>
                  <w:r>
                    <w:rPr>
                      <w:rFonts w:hint="eastAsia" w:ascii="Times New Roman" w:eastAsia="Times New Roman"/>
                      <w:b w:val="0"/>
                      <w:bCs/>
                      <w:color w:val="auto"/>
                      <w:spacing w:val="-4"/>
                      <w:sz w:val="21"/>
                      <w:lang w:val="en-US" w:eastAsia="zh-CN"/>
                    </w:rPr>
                    <w:t>升压站土石方工程量</w:t>
                  </w:r>
                </w:p>
              </w:tc>
              <w:tc>
                <w:tcPr>
                  <w:tcW w:w="2384" w:type="dxa"/>
                  <w:vAlign w:val="center"/>
                </w:tcPr>
                <w:p w14:paraId="412A3E78">
                  <w:pPr>
                    <w:pStyle w:val="90"/>
                    <w:spacing w:before="121" w:line="240" w:lineRule="auto"/>
                    <w:ind w:right="-34" w:rightChars="0"/>
                    <w:jc w:val="center"/>
                    <w:rPr>
                      <w:rFonts w:hint="default" w:ascii="Times New Roman" w:eastAsia="Times New Roman"/>
                      <w:b w:val="0"/>
                      <w:bCs/>
                      <w:color w:val="auto"/>
                      <w:spacing w:val="-4"/>
                      <w:sz w:val="21"/>
                      <w:lang w:val="en-US" w:eastAsia="zh-CN"/>
                    </w:rPr>
                  </w:pPr>
                  <w:r>
                    <w:rPr>
                      <w:rFonts w:hint="eastAsia" w:ascii="Times New Roman" w:eastAsia="Times New Roman"/>
                      <w:b w:val="0"/>
                      <w:bCs/>
                      <w:color w:val="auto"/>
                      <w:spacing w:val="-4"/>
                      <w:sz w:val="21"/>
                      <w:lang w:val="en-US" w:eastAsia="zh-CN"/>
                    </w:rPr>
                    <w:t>挖方</w:t>
                  </w:r>
                </w:p>
              </w:tc>
              <w:tc>
                <w:tcPr>
                  <w:tcW w:w="910" w:type="dxa"/>
                  <w:vAlign w:val="center"/>
                </w:tcPr>
                <w:p w14:paraId="4FC1BED8">
                  <w:pPr>
                    <w:pStyle w:val="90"/>
                    <w:spacing w:before="121" w:line="240" w:lineRule="auto"/>
                    <w:ind w:right="-34" w:rightChars="0"/>
                    <w:jc w:val="center"/>
                    <w:rPr>
                      <w:rFonts w:hint="eastAsia" w:ascii="Times New Roman" w:eastAsia="Times New Roman"/>
                      <w:b w:val="0"/>
                      <w:bCs/>
                      <w:color w:val="auto"/>
                      <w:spacing w:val="-4"/>
                      <w:sz w:val="21"/>
                      <w:lang w:val="en-US" w:eastAsia="zh-CN"/>
                    </w:rPr>
                  </w:pPr>
                  <w:r>
                    <w:rPr>
                      <w:rFonts w:hint="eastAsia" w:ascii="Times New Roman" w:eastAsia="Times New Roman"/>
                      <w:b w:val="0"/>
                      <w:bCs/>
                      <w:color w:val="auto"/>
                      <w:spacing w:val="-4"/>
                      <w:sz w:val="21"/>
                      <w:lang w:val="en-US" w:eastAsia="zh-CN"/>
                    </w:rPr>
                    <w:t>m</w:t>
                  </w:r>
                  <w:r>
                    <w:rPr>
                      <w:rFonts w:hint="eastAsia" w:ascii="Times New Roman" w:eastAsia="Times New Roman"/>
                      <w:b w:val="0"/>
                      <w:bCs/>
                      <w:color w:val="auto"/>
                      <w:spacing w:val="-4"/>
                      <w:sz w:val="21"/>
                      <w:vertAlign w:val="superscript"/>
                      <w:lang w:val="en-US" w:eastAsia="zh-CN"/>
                    </w:rPr>
                    <w:t>2</w:t>
                  </w:r>
                </w:p>
              </w:tc>
              <w:tc>
                <w:tcPr>
                  <w:tcW w:w="1262" w:type="dxa"/>
                  <w:vAlign w:val="center"/>
                </w:tcPr>
                <w:p w14:paraId="58D86D0E">
                  <w:pPr>
                    <w:pStyle w:val="90"/>
                    <w:spacing w:before="121" w:line="240" w:lineRule="auto"/>
                    <w:ind w:right="-34" w:rightChars="0"/>
                    <w:jc w:val="center"/>
                    <w:rPr>
                      <w:rFonts w:hint="default" w:ascii="Times New Roman" w:eastAsia="Times New Roman"/>
                      <w:b w:val="0"/>
                      <w:bCs/>
                      <w:color w:val="auto"/>
                      <w:spacing w:val="-4"/>
                      <w:sz w:val="21"/>
                      <w:lang w:val="en-US" w:eastAsia="zh-CN"/>
                    </w:rPr>
                  </w:pPr>
                  <w:r>
                    <w:rPr>
                      <w:rFonts w:hint="eastAsia" w:ascii="Times New Roman" w:eastAsia="Times New Roman"/>
                      <w:b w:val="0"/>
                      <w:bCs/>
                      <w:color w:val="auto"/>
                      <w:spacing w:val="-4"/>
                      <w:sz w:val="21"/>
                      <w:lang w:val="en-US" w:eastAsia="zh-CN"/>
                    </w:rPr>
                    <w:t>78000</w:t>
                  </w:r>
                </w:p>
              </w:tc>
            </w:tr>
            <w:tr w14:paraId="0C68E1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03" w:type="dxa"/>
                  <w:vMerge w:val="continue"/>
                  <w:vAlign w:val="center"/>
                </w:tcPr>
                <w:p w14:paraId="58150EFC">
                  <w:pPr>
                    <w:pStyle w:val="90"/>
                    <w:spacing w:before="121" w:line="240" w:lineRule="auto"/>
                    <w:ind w:right="-34" w:rightChars="0"/>
                    <w:jc w:val="center"/>
                    <w:rPr>
                      <w:rFonts w:hint="eastAsia" w:ascii="Times New Roman" w:eastAsia="Times New Roman"/>
                      <w:b w:val="0"/>
                      <w:bCs/>
                      <w:color w:val="auto"/>
                      <w:spacing w:val="-4"/>
                      <w:sz w:val="21"/>
                      <w:lang w:val="en-US" w:eastAsia="zh-CN"/>
                    </w:rPr>
                  </w:pPr>
                </w:p>
              </w:tc>
              <w:tc>
                <w:tcPr>
                  <w:tcW w:w="2379" w:type="dxa"/>
                  <w:vMerge w:val="continue"/>
                  <w:vAlign w:val="center"/>
                </w:tcPr>
                <w:p w14:paraId="41CF0E08">
                  <w:pPr>
                    <w:pStyle w:val="90"/>
                    <w:spacing w:before="121" w:line="240" w:lineRule="auto"/>
                    <w:ind w:right="-34" w:rightChars="0"/>
                    <w:jc w:val="center"/>
                    <w:rPr>
                      <w:rFonts w:hint="eastAsia" w:ascii="Times New Roman" w:eastAsia="Times New Roman"/>
                      <w:b w:val="0"/>
                      <w:bCs/>
                      <w:color w:val="auto"/>
                      <w:spacing w:val="-4"/>
                      <w:sz w:val="21"/>
                      <w:lang w:val="en-US" w:eastAsia="zh-CN"/>
                    </w:rPr>
                  </w:pPr>
                </w:p>
              </w:tc>
              <w:tc>
                <w:tcPr>
                  <w:tcW w:w="2384" w:type="dxa"/>
                  <w:vAlign w:val="center"/>
                </w:tcPr>
                <w:p w14:paraId="1D08FC7E">
                  <w:pPr>
                    <w:pStyle w:val="90"/>
                    <w:spacing w:before="121" w:line="240" w:lineRule="auto"/>
                    <w:ind w:right="-34" w:rightChars="0"/>
                    <w:jc w:val="center"/>
                    <w:rPr>
                      <w:rFonts w:hint="default" w:ascii="Times New Roman" w:eastAsia="Times New Roman"/>
                      <w:b w:val="0"/>
                      <w:bCs/>
                      <w:color w:val="auto"/>
                      <w:spacing w:val="-4"/>
                      <w:sz w:val="21"/>
                      <w:lang w:val="en-US" w:eastAsia="zh-CN"/>
                    </w:rPr>
                  </w:pPr>
                  <w:r>
                    <w:rPr>
                      <w:rFonts w:hint="eastAsia" w:ascii="Times New Roman" w:eastAsia="Times New Roman"/>
                      <w:b w:val="0"/>
                      <w:bCs/>
                      <w:color w:val="auto"/>
                      <w:spacing w:val="-4"/>
                      <w:sz w:val="21"/>
                      <w:lang w:val="en-US" w:eastAsia="zh-CN"/>
                    </w:rPr>
                    <w:t>填方</w:t>
                  </w:r>
                </w:p>
              </w:tc>
              <w:tc>
                <w:tcPr>
                  <w:tcW w:w="910" w:type="dxa"/>
                  <w:vAlign w:val="center"/>
                </w:tcPr>
                <w:p w14:paraId="1B09795E">
                  <w:pPr>
                    <w:pStyle w:val="90"/>
                    <w:spacing w:before="121" w:line="240" w:lineRule="auto"/>
                    <w:ind w:right="-34" w:rightChars="0"/>
                    <w:jc w:val="center"/>
                    <w:rPr>
                      <w:rFonts w:hint="eastAsia" w:ascii="Times New Roman" w:eastAsia="Times New Roman"/>
                      <w:b w:val="0"/>
                      <w:bCs/>
                      <w:color w:val="auto"/>
                      <w:spacing w:val="-4"/>
                      <w:sz w:val="21"/>
                      <w:lang w:val="en-US" w:eastAsia="zh-CN"/>
                    </w:rPr>
                  </w:pPr>
                  <w:r>
                    <w:rPr>
                      <w:rFonts w:hint="eastAsia" w:ascii="Times New Roman" w:eastAsia="Times New Roman"/>
                      <w:b w:val="0"/>
                      <w:bCs/>
                      <w:color w:val="auto"/>
                      <w:spacing w:val="-4"/>
                      <w:sz w:val="21"/>
                      <w:lang w:val="en-US" w:eastAsia="zh-CN"/>
                    </w:rPr>
                    <w:t>m</w:t>
                  </w:r>
                  <w:r>
                    <w:rPr>
                      <w:rFonts w:hint="eastAsia" w:ascii="Times New Roman" w:eastAsia="Times New Roman"/>
                      <w:b w:val="0"/>
                      <w:bCs/>
                      <w:color w:val="auto"/>
                      <w:spacing w:val="-4"/>
                      <w:sz w:val="21"/>
                      <w:vertAlign w:val="superscript"/>
                      <w:lang w:val="en-US" w:eastAsia="zh-CN"/>
                    </w:rPr>
                    <w:t>2</w:t>
                  </w:r>
                </w:p>
              </w:tc>
              <w:tc>
                <w:tcPr>
                  <w:tcW w:w="1262" w:type="dxa"/>
                  <w:vAlign w:val="center"/>
                </w:tcPr>
                <w:p w14:paraId="3D622F59">
                  <w:pPr>
                    <w:pStyle w:val="90"/>
                    <w:spacing w:before="121" w:line="240" w:lineRule="auto"/>
                    <w:ind w:right="-34" w:rightChars="0"/>
                    <w:jc w:val="center"/>
                    <w:rPr>
                      <w:rFonts w:hint="default" w:ascii="Times New Roman" w:eastAsia="Times New Roman"/>
                      <w:b w:val="0"/>
                      <w:bCs/>
                      <w:color w:val="auto"/>
                      <w:spacing w:val="-4"/>
                      <w:sz w:val="21"/>
                      <w:lang w:val="en-US" w:eastAsia="zh-CN"/>
                    </w:rPr>
                  </w:pPr>
                  <w:r>
                    <w:rPr>
                      <w:rFonts w:hint="eastAsia" w:ascii="Times New Roman" w:eastAsia="Times New Roman"/>
                      <w:b w:val="0"/>
                      <w:bCs/>
                      <w:color w:val="auto"/>
                      <w:spacing w:val="-4"/>
                      <w:sz w:val="21"/>
                      <w:lang w:val="en-US" w:eastAsia="zh-CN"/>
                    </w:rPr>
                    <w:t>20000</w:t>
                  </w:r>
                </w:p>
              </w:tc>
            </w:tr>
            <w:tr w14:paraId="1557F6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03" w:type="dxa"/>
                  <w:vAlign w:val="center"/>
                </w:tcPr>
                <w:p w14:paraId="7163AEFB">
                  <w:pPr>
                    <w:pStyle w:val="90"/>
                    <w:spacing w:before="121" w:line="240" w:lineRule="auto"/>
                    <w:ind w:right="-34" w:rightChars="0"/>
                    <w:jc w:val="center"/>
                    <w:rPr>
                      <w:rFonts w:hint="default" w:ascii="Times New Roman" w:eastAsia="Times New Roman"/>
                      <w:b w:val="0"/>
                      <w:bCs/>
                      <w:color w:val="auto"/>
                      <w:spacing w:val="-4"/>
                      <w:sz w:val="21"/>
                      <w:lang w:val="en-US" w:eastAsia="zh-CN"/>
                    </w:rPr>
                  </w:pPr>
                  <w:r>
                    <w:rPr>
                      <w:rFonts w:hint="eastAsia" w:ascii="Times New Roman" w:eastAsia="Times New Roman"/>
                      <w:b w:val="0"/>
                      <w:bCs/>
                      <w:color w:val="auto"/>
                      <w:spacing w:val="-4"/>
                      <w:sz w:val="21"/>
                      <w:lang w:val="en-US" w:eastAsia="zh-CN"/>
                    </w:rPr>
                    <w:t>10</w:t>
                  </w:r>
                </w:p>
              </w:tc>
              <w:tc>
                <w:tcPr>
                  <w:tcW w:w="4763" w:type="dxa"/>
                  <w:gridSpan w:val="2"/>
                  <w:vAlign w:val="center"/>
                </w:tcPr>
                <w:p w14:paraId="519F3215">
                  <w:pPr>
                    <w:pStyle w:val="90"/>
                    <w:spacing w:before="121" w:line="240" w:lineRule="auto"/>
                    <w:ind w:right="-34" w:rightChars="0"/>
                    <w:jc w:val="center"/>
                    <w:rPr>
                      <w:rFonts w:hint="default" w:ascii="Times New Roman" w:eastAsia="Times New Roman"/>
                      <w:b w:val="0"/>
                      <w:bCs/>
                      <w:color w:val="auto"/>
                      <w:spacing w:val="-4"/>
                      <w:sz w:val="21"/>
                      <w:lang w:val="en-US" w:eastAsia="zh-CN"/>
                    </w:rPr>
                  </w:pPr>
                  <w:r>
                    <w:rPr>
                      <w:rFonts w:hint="eastAsia" w:ascii="Times New Roman" w:eastAsia="Times New Roman"/>
                      <w:b w:val="0"/>
                      <w:bCs/>
                      <w:color w:val="auto"/>
                      <w:spacing w:val="-4"/>
                      <w:sz w:val="21"/>
                      <w:lang w:val="en-US" w:eastAsia="zh-CN"/>
                    </w:rPr>
                    <w:t>设备区碎石地坪面积</w:t>
                  </w:r>
                </w:p>
              </w:tc>
              <w:tc>
                <w:tcPr>
                  <w:tcW w:w="910" w:type="dxa"/>
                  <w:vAlign w:val="center"/>
                </w:tcPr>
                <w:p w14:paraId="661497B1">
                  <w:pPr>
                    <w:pStyle w:val="90"/>
                    <w:spacing w:before="121" w:line="240" w:lineRule="auto"/>
                    <w:ind w:right="-34" w:rightChars="0"/>
                    <w:jc w:val="center"/>
                    <w:rPr>
                      <w:rFonts w:hint="eastAsia" w:ascii="Times New Roman" w:eastAsia="Times New Roman"/>
                      <w:b w:val="0"/>
                      <w:bCs/>
                      <w:color w:val="auto"/>
                      <w:spacing w:val="-4"/>
                      <w:sz w:val="21"/>
                      <w:lang w:val="en-US" w:eastAsia="zh-CN"/>
                    </w:rPr>
                  </w:pPr>
                  <w:r>
                    <w:rPr>
                      <w:rFonts w:hint="eastAsia" w:ascii="Times New Roman" w:eastAsia="Times New Roman"/>
                      <w:b w:val="0"/>
                      <w:bCs/>
                      <w:color w:val="auto"/>
                      <w:spacing w:val="-4"/>
                      <w:sz w:val="21"/>
                      <w:lang w:val="en-US" w:eastAsia="zh-CN"/>
                    </w:rPr>
                    <w:t>m</w:t>
                  </w:r>
                  <w:r>
                    <w:rPr>
                      <w:rFonts w:hint="eastAsia" w:ascii="Times New Roman" w:eastAsia="Times New Roman"/>
                      <w:b w:val="0"/>
                      <w:bCs/>
                      <w:color w:val="auto"/>
                      <w:spacing w:val="-4"/>
                      <w:sz w:val="21"/>
                      <w:vertAlign w:val="superscript"/>
                      <w:lang w:val="en-US" w:eastAsia="zh-CN"/>
                    </w:rPr>
                    <w:t>2</w:t>
                  </w:r>
                </w:p>
              </w:tc>
              <w:tc>
                <w:tcPr>
                  <w:tcW w:w="1262" w:type="dxa"/>
                  <w:vAlign w:val="center"/>
                </w:tcPr>
                <w:p w14:paraId="57E53E19">
                  <w:pPr>
                    <w:pStyle w:val="90"/>
                    <w:spacing w:before="121" w:line="240" w:lineRule="auto"/>
                    <w:ind w:right="-34" w:rightChars="0"/>
                    <w:jc w:val="center"/>
                    <w:rPr>
                      <w:rFonts w:hint="default" w:ascii="Times New Roman" w:eastAsia="Times New Roman"/>
                      <w:b w:val="0"/>
                      <w:bCs/>
                      <w:color w:val="auto"/>
                      <w:spacing w:val="-4"/>
                      <w:sz w:val="21"/>
                      <w:lang w:val="en-US" w:eastAsia="zh-CN"/>
                    </w:rPr>
                  </w:pPr>
                  <w:r>
                    <w:rPr>
                      <w:rFonts w:hint="eastAsia" w:ascii="Times New Roman" w:eastAsia="Times New Roman"/>
                      <w:b w:val="0"/>
                      <w:bCs/>
                      <w:color w:val="auto"/>
                      <w:spacing w:val="-4"/>
                      <w:sz w:val="21"/>
                      <w:lang w:val="en-US" w:eastAsia="zh-CN"/>
                    </w:rPr>
                    <w:t>1865.86</w:t>
                  </w:r>
                </w:p>
              </w:tc>
            </w:tr>
            <w:tr w14:paraId="04C7E2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03" w:type="dxa"/>
                  <w:vAlign w:val="center"/>
                </w:tcPr>
                <w:p w14:paraId="5C5EB702">
                  <w:pPr>
                    <w:pStyle w:val="90"/>
                    <w:spacing w:before="121" w:line="240" w:lineRule="auto"/>
                    <w:ind w:right="-34" w:rightChars="0"/>
                    <w:jc w:val="center"/>
                    <w:rPr>
                      <w:rFonts w:hint="default" w:ascii="Times New Roman" w:eastAsia="Times New Roman"/>
                      <w:b w:val="0"/>
                      <w:bCs/>
                      <w:color w:val="auto"/>
                      <w:spacing w:val="-4"/>
                      <w:sz w:val="21"/>
                      <w:lang w:val="en-US" w:eastAsia="zh-CN"/>
                    </w:rPr>
                  </w:pPr>
                  <w:r>
                    <w:rPr>
                      <w:rFonts w:hint="eastAsia" w:ascii="Times New Roman" w:eastAsia="Times New Roman"/>
                      <w:b w:val="0"/>
                      <w:bCs/>
                      <w:color w:val="auto"/>
                      <w:spacing w:val="-4"/>
                      <w:sz w:val="21"/>
                      <w:lang w:val="en-US" w:eastAsia="zh-CN"/>
                    </w:rPr>
                    <w:t>11</w:t>
                  </w:r>
                </w:p>
              </w:tc>
              <w:tc>
                <w:tcPr>
                  <w:tcW w:w="4763" w:type="dxa"/>
                  <w:gridSpan w:val="2"/>
                  <w:vAlign w:val="center"/>
                </w:tcPr>
                <w:p w14:paraId="2DBA2E70">
                  <w:pPr>
                    <w:pStyle w:val="90"/>
                    <w:spacing w:before="121" w:line="240" w:lineRule="auto"/>
                    <w:ind w:right="-34" w:rightChars="0"/>
                    <w:jc w:val="center"/>
                    <w:rPr>
                      <w:rFonts w:hint="default" w:ascii="Times New Roman" w:eastAsia="Times New Roman"/>
                      <w:b w:val="0"/>
                      <w:bCs/>
                      <w:color w:val="auto"/>
                      <w:spacing w:val="-4"/>
                      <w:sz w:val="21"/>
                      <w:lang w:val="en-US" w:eastAsia="zh-CN"/>
                    </w:rPr>
                  </w:pPr>
                  <w:r>
                    <w:rPr>
                      <w:rFonts w:hint="eastAsia" w:ascii="Times New Roman" w:eastAsia="Times New Roman"/>
                      <w:b w:val="0"/>
                      <w:bCs/>
                      <w:color w:val="auto"/>
                      <w:spacing w:val="-4"/>
                      <w:sz w:val="21"/>
                      <w:lang w:val="en-US" w:eastAsia="zh-CN"/>
                    </w:rPr>
                    <w:t>绿化面积</w:t>
                  </w:r>
                </w:p>
              </w:tc>
              <w:tc>
                <w:tcPr>
                  <w:tcW w:w="910" w:type="dxa"/>
                  <w:vAlign w:val="center"/>
                </w:tcPr>
                <w:p w14:paraId="614E33DD">
                  <w:pPr>
                    <w:pStyle w:val="90"/>
                    <w:spacing w:before="121" w:line="240" w:lineRule="auto"/>
                    <w:ind w:right="-34" w:rightChars="0"/>
                    <w:jc w:val="center"/>
                    <w:rPr>
                      <w:rFonts w:hint="eastAsia" w:ascii="Times New Roman" w:eastAsia="Times New Roman"/>
                      <w:b w:val="0"/>
                      <w:bCs/>
                      <w:color w:val="auto"/>
                      <w:spacing w:val="-4"/>
                      <w:sz w:val="21"/>
                      <w:lang w:val="en-US" w:eastAsia="zh-CN"/>
                    </w:rPr>
                  </w:pPr>
                  <w:r>
                    <w:rPr>
                      <w:rFonts w:hint="eastAsia" w:ascii="Times New Roman" w:eastAsia="Times New Roman"/>
                      <w:b w:val="0"/>
                      <w:bCs/>
                      <w:color w:val="auto"/>
                      <w:spacing w:val="-4"/>
                      <w:sz w:val="21"/>
                      <w:lang w:val="en-US" w:eastAsia="zh-CN"/>
                    </w:rPr>
                    <w:t>m</w:t>
                  </w:r>
                  <w:r>
                    <w:rPr>
                      <w:rFonts w:hint="eastAsia" w:ascii="Times New Roman" w:eastAsia="Times New Roman"/>
                      <w:b w:val="0"/>
                      <w:bCs/>
                      <w:color w:val="auto"/>
                      <w:spacing w:val="-4"/>
                      <w:sz w:val="21"/>
                      <w:vertAlign w:val="superscript"/>
                      <w:lang w:val="en-US" w:eastAsia="zh-CN"/>
                    </w:rPr>
                    <w:t>2</w:t>
                  </w:r>
                </w:p>
              </w:tc>
              <w:tc>
                <w:tcPr>
                  <w:tcW w:w="1262" w:type="dxa"/>
                  <w:vAlign w:val="center"/>
                </w:tcPr>
                <w:p w14:paraId="23670993">
                  <w:pPr>
                    <w:pStyle w:val="90"/>
                    <w:spacing w:before="121" w:line="240" w:lineRule="auto"/>
                    <w:ind w:right="-34" w:rightChars="0"/>
                    <w:jc w:val="center"/>
                    <w:rPr>
                      <w:rFonts w:hint="default" w:ascii="Times New Roman" w:eastAsia="Times New Roman"/>
                      <w:b w:val="0"/>
                      <w:bCs/>
                      <w:color w:val="auto"/>
                      <w:spacing w:val="-4"/>
                      <w:sz w:val="21"/>
                      <w:lang w:val="en-US" w:eastAsia="zh-CN"/>
                    </w:rPr>
                  </w:pPr>
                  <w:r>
                    <w:rPr>
                      <w:rFonts w:hint="eastAsia" w:ascii="Times New Roman" w:eastAsia="Times New Roman"/>
                      <w:b w:val="0"/>
                      <w:bCs/>
                      <w:color w:val="auto"/>
                      <w:spacing w:val="-4"/>
                      <w:sz w:val="21"/>
                      <w:lang w:val="en-US" w:eastAsia="zh-CN"/>
                    </w:rPr>
                    <w:t>865.00</w:t>
                  </w:r>
                </w:p>
              </w:tc>
            </w:tr>
            <w:tr w14:paraId="128B3D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03" w:type="dxa"/>
                  <w:vAlign w:val="center"/>
                </w:tcPr>
                <w:p w14:paraId="55A66ADA">
                  <w:pPr>
                    <w:pStyle w:val="90"/>
                    <w:spacing w:before="121" w:line="240" w:lineRule="auto"/>
                    <w:ind w:right="-34" w:rightChars="0"/>
                    <w:jc w:val="center"/>
                    <w:rPr>
                      <w:rFonts w:hint="default" w:ascii="Times New Roman" w:eastAsia="Times New Roman"/>
                      <w:b w:val="0"/>
                      <w:bCs/>
                      <w:color w:val="auto"/>
                      <w:spacing w:val="-4"/>
                      <w:sz w:val="21"/>
                      <w:lang w:val="en-US" w:eastAsia="zh-CN"/>
                    </w:rPr>
                  </w:pPr>
                  <w:r>
                    <w:rPr>
                      <w:rFonts w:hint="eastAsia" w:ascii="Times New Roman" w:eastAsia="Times New Roman"/>
                      <w:b w:val="0"/>
                      <w:bCs/>
                      <w:color w:val="auto"/>
                      <w:spacing w:val="-4"/>
                      <w:sz w:val="21"/>
                      <w:lang w:val="en-US" w:eastAsia="zh-CN"/>
                    </w:rPr>
                    <w:t>12</w:t>
                  </w:r>
                </w:p>
              </w:tc>
              <w:tc>
                <w:tcPr>
                  <w:tcW w:w="4763" w:type="dxa"/>
                  <w:gridSpan w:val="2"/>
                  <w:vAlign w:val="center"/>
                </w:tcPr>
                <w:p w14:paraId="42E04CD1">
                  <w:pPr>
                    <w:pStyle w:val="90"/>
                    <w:spacing w:before="121" w:line="240" w:lineRule="auto"/>
                    <w:ind w:right="-34" w:rightChars="0"/>
                    <w:jc w:val="center"/>
                    <w:rPr>
                      <w:rFonts w:hint="default" w:ascii="Times New Roman" w:eastAsia="Times New Roman"/>
                      <w:b w:val="0"/>
                      <w:bCs/>
                      <w:color w:val="auto"/>
                      <w:spacing w:val="-4"/>
                      <w:sz w:val="21"/>
                      <w:lang w:val="en-US" w:eastAsia="zh-CN"/>
                    </w:rPr>
                  </w:pPr>
                  <w:r>
                    <w:rPr>
                      <w:rFonts w:hint="eastAsia" w:ascii="Times New Roman" w:eastAsia="Times New Roman"/>
                      <w:b w:val="0"/>
                      <w:bCs/>
                      <w:color w:val="auto"/>
                      <w:spacing w:val="-4"/>
                      <w:sz w:val="21"/>
                      <w:lang w:val="en-US" w:eastAsia="zh-CN"/>
                    </w:rPr>
                    <w:t>绿化率</w:t>
                  </w:r>
                </w:p>
              </w:tc>
              <w:tc>
                <w:tcPr>
                  <w:tcW w:w="910" w:type="dxa"/>
                  <w:vAlign w:val="center"/>
                </w:tcPr>
                <w:p w14:paraId="24507D74">
                  <w:pPr>
                    <w:pStyle w:val="90"/>
                    <w:spacing w:before="121" w:line="240" w:lineRule="auto"/>
                    <w:ind w:right="-34" w:rightChars="0"/>
                    <w:jc w:val="center"/>
                    <w:rPr>
                      <w:rFonts w:hint="eastAsia" w:ascii="Times New Roman" w:eastAsia="Times New Roman"/>
                      <w:b w:val="0"/>
                      <w:bCs/>
                      <w:color w:val="auto"/>
                      <w:spacing w:val="-4"/>
                      <w:sz w:val="21"/>
                      <w:lang w:val="en-US" w:eastAsia="zh-CN"/>
                    </w:rPr>
                  </w:pPr>
                  <w:r>
                    <w:rPr>
                      <w:rFonts w:hint="eastAsia" w:ascii="Times New Roman" w:eastAsia="Times New Roman"/>
                      <w:b w:val="0"/>
                      <w:bCs/>
                      <w:color w:val="auto"/>
                      <w:spacing w:val="-4"/>
                      <w:sz w:val="21"/>
                      <w:lang w:val="en-US" w:eastAsia="zh-CN"/>
                    </w:rPr>
                    <w:t>%</w:t>
                  </w:r>
                </w:p>
              </w:tc>
              <w:tc>
                <w:tcPr>
                  <w:tcW w:w="1262" w:type="dxa"/>
                  <w:vAlign w:val="center"/>
                </w:tcPr>
                <w:p w14:paraId="334E81B9">
                  <w:pPr>
                    <w:pStyle w:val="90"/>
                    <w:spacing w:before="121" w:line="240" w:lineRule="auto"/>
                    <w:ind w:right="-34" w:rightChars="0"/>
                    <w:jc w:val="center"/>
                    <w:rPr>
                      <w:rFonts w:hint="default" w:ascii="Times New Roman" w:eastAsia="Times New Roman"/>
                      <w:b w:val="0"/>
                      <w:bCs/>
                      <w:color w:val="auto"/>
                      <w:spacing w:val="-4"/>
                      <w:sz w:val="21"/>
                      <w:lang w:val="en-US" w:eastAsia="zh-CN"/>
                    </w:rPr>
                  </w:pPr>
                  <w:r>
                    <w:rPr>
                      <w:rFonts w:hint="eastAsia" w:ascii="Times New Roman" w:eastAsia="Times New Roman"/>
                      <w:b w:val="0"/>
                      <w:bCs/>
                      <w:color w:val="auto"/>
                      <w:spacing w:val="-4"/>
                      <w:sz w:val="21"/>
                      <w:lang w:val="en-US" w:eastAsia="zh-CN"/>
                    </w:rPr>
                    <w:t>10.83</w:t>
                  </w:r>
                </w:p>
              </w:tc>
            </w:tr>
          </w:tbl>
          <w:p w14:paraId="3170FE8E">
            <w:pPr>
              <w:pStyle w:val="4"/>
              <w:tabs>
                <w:tab w:val="left" w:pos="425"/>
              </w:tabs>
              <w:rPr>
                <w:color w:val="auto"/>
              </w:rPr>
            </w:pPr>
            <w:r>
              <w:rPr>
                <w:color w:val="auto"/>
              </w:rPr>
              <w:t>2.4.3 道路工程</w:t>
            </w:r>
          </w:p>
          <w:p w14:paraId="60DA9C9A">
            <w:pPr>
              <w:ind w:firstLine="420"/>
              <w:rPr>
                <w:color w:val="auto"/>
              </w:rPr>
            </w:pPr>
            <w:r>
              <w:rPr>
                <w:color w:val="auto"/>
              </w:rPr>
              <w:t>1）进场道路</w:t>
            </w:r>
          </w:p>
          <w:p w14:paraId="4AA2B3BA">
            <w:pPr>
              <w:ind w:firstLine="420"/>
              <w:rPr>
                <w:rFonts w:hint="eastAsia"/>
                <w:color w:val="auto"/>
                <w:u w:val="wave"/>
              </w:rPr>
            </w:pPr>
            <w:r>
              <w:rPr>
                <w:rFonts w:hint="eastAsia"/>
                <w:color w:val="auto"/>
                <w:u w:val="wave"/>
                <w:lang w:val="en-US" w:eastAsia="zh-CN"/>
              </w:rPr>
              <w:t>根据项目可研报告，进场道路为：高速G65-国道G209-县道X083-村村通公路-风电场场内临时施工检修道路-风机点位施工区。风机点位根据布置情况大致沿山脊从东北部向西南部分布。整个风场改造和新建道路总长为 39.50km。其中改造道路为局部条件较差的乡道或已有村村通道路，需改造长度约5.50km。已有道路由于路窄、转弯半径较小，因此利用该道路作为风场道路需沿原有纵坡对路面进行拓宽改造，改造后最小转弯半径25m。新建场内道路总长度约34.00km，采用临时施工道路和检修道路相结合的方式</w:t>
            </w:r>
            <w:r>
              <w:rPr>
                <w:rFonts w:hint="eastAsia"/>
                <w:color w:val="auto"/>
                <w:u w:val="wave"/>
              </w:rPr>
              <w:t>进场道路总长度</w:t>
            </w:r>
            <w:r>
              <w:rPr>
                <w:rFonts w:hint="eastAsia"/>
                <w:color w:val="auto"/>
                <w:u w:val="wave"/>
                <w:lang w:val="en-US" w:eastAsia="zh-CN"/>
              </w:rPr>
              <w:t>5.5</w:t>
            </w:r>
            <w:r>
              <w:rPr>
                <w:rFonts w:hint="eastAsia"/>
                <w:color w:val="auto"/>
                <w:u w:val="wave"/>
              </w:rPr>
              <w:t>km，为改造道路，在通往各风机安装场地道路全部为新建道路</w:t>
            </w:r>
            <w:r>
              <w:rPr>
                <w:rFonts w:hint="eastAsia"/>
                <w:color w:val="auto"/>
                <w:u w:val="wave"/>
                <w:lang w:eastAsia="zh-CN"/>
              </w:rPr>
              <w:t>，新建场内道路34.0km</w:t>
            </w:r>
            <w:r>
              <w:rPr>
                <w:rFonts w:hint="eastAsia"/>
                <w:color w:val="auto"/>
                <w:u w:val="wave"/>
              </w:rPr>
              <w:t>。</w:t>
            </w:r>
          </w:p>
          <w:p w14:paraId="1DE3A2A1">
            <w:pPr>
              <w:ind w:firstLine="420"/>
              <w:rPr>
                <w:rFonts w:hint="eastAsia"/>
                <w:color w:val="auto"/>
                <w:u w:val="wave"/>
              </w:rPr>
            </w:pPr>
          </w:p>
          <w:p w14:paraId="07770236">
            <w:pPr>
              <w:ind w:firstLine="420"/>
              <w:rPr>
                <w:rFonts w:hint="eastAsia"/>
                <w:color w:val="auto"/>
                <w:u w:val="wave"/>
              </w:rPr>
            </w:pPr>
          </w:p>
          <w:p w14:paraId="3F61A265">
            <w:pPr>
              <w:ind w:firstLine="420"/>
              <w:rPr>
                <w:rFonts w:hint="eastAsia" w:eastAsia="宋体"/>
                <w:color w:val="auto"/>
                <w:u w:val="wave"/>
                <w:lang w:eastAsia="zh-CN"/>
              </w:rPr>
            </w:pPr>
          </w:p>
          <w:p w14:paraId="7B886DE9">
            <w:pPr>
              <w:ind w:firstLine="420"/>
              <w:rPr>
                <w:rFonts w:hint="eastAsia"/>
                <w:color w:val="auto"/>
                <w:u w:val="wave"/>
              </w:rPr>
            </w:pPr>
            <w:r>
              <w:rPr>
                <w:rFonts w:hint="eastAsia" w:eastAsia="宋体"/>
                <w:color w:val="auto"/>
                <w:u w:val="wave"/>
                <w:lang w:eastAsia="zh-CN"/>
              </w:rPr>
              <w:drawing>
                <wp:anchor distT="0" distB="0" distL="114300" distR="114300" simplePos="0" relativeHeight="251687936" behindDoc="1" locked="0" layoutInCell="1" allowOverlap="1">
                  <wp:simplePos x="0" y="0"/>
                  <wp:positionH relativeFrom="column">
                    <wp:posOffset>33020</wp:posOffset>
                  </wp:positionH>
                  <wp:positionV relativeFrom="paragraph">
                    <wp:posOffset>-2540</wp:posOffset>
                  </wp:positionV>
                  <wp:extent cx="4823460" cy="2967990"/>
                  <wp:effectExtent l="0" t="0" r="15240" b="3810"/>
                  <wp:wrapNone/>
                  <wp:docPr id="39" name="图片 39" descr="1741534636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741534636881"/>
                          <pic:cNvPicPr>
                            <a:picLocks noChangeAspect="1"/>
                          </pic:cNvPicPr>
                        </pic:nvPicPr>
                        <pic:blipFill>
                          <a:blip r:embed="rId29"/>
                          <a:stretch>
                            <a:fillRect/>
                          </a:stretch>
                        </pic:blipFill>
                        <pic:spPr>
                          <a:xfrm>
                            <a:off x="0" y="0"/>
                            <a:ext cx="4823460" cy="2967990"/>
                          </a:xfrm>
                          <a:prstGeom prst="rect">
                            <a:avLst/>
                          </a:prstGeom>
                        </pic:spPr>
                      </pic:pic>
                    </a:graphicData>
                  </a:graphic>
                </wp:anchor>
              </w:drawing>
            </w:r>
          </w:p>
          <w:p w14:paraId="440B23EA">
            <w:pPr>
              <w:ind w:firstLine="420"/>
              <w:rPr>
                <w:rFonts w:hint="eastAsia"/>
                <w:color w:val="auto"/>
                <w:u w:val="wave"/>
              </w:rPr>
            </w:pPr>
          </w:p>
          <w:p w14:paraId="74A8849B">
            <w:pPr>
              <w:ind w:firstLine="420"/>
              <w:rPr>
                <w:rFonts w:hint="eastAsia"/>
                <w:color w:val="auto"/>
                <w:u w:val="wave"/>
              </w:rPr>
            </w:pPr>
          </w:p>
          <w:p w14:paraId="5F977388">
            <w:pPr>
              <w:ind w:firstLine="420"/>
              <w:rPr>
                <w:rFonts w:hint="eastAsia"/>
                <w:color w:val="auto"/>
                <w:u w:val="wave"/>
              </w:rPr>
            </w:pPr>
            <w:r>
              <w:rPr>
                <w:sz w:val="24"/>
              </w:rPr>
              <mc:AlternateContent>
                <mc:Choice Requires="wps">
                  <w:drawing>
                    <wp:anchor distT="0" distB="0" distL="114300" distR="114300" simplePos="0" relativeHeight="251688960" behindDoc="0" locked="0" layoutInCell="1" allowOverlap="1">
                      <wp:simplePos x="0" y="0"/>
                      <wp:positionH relativeFrom="column">
                        <wp:posOffset>297815</wp:posOffset>
                      </wp:positionH>
                      <wp:positionV relativeFrom="paragraph">
                        <wp:posOffset>45720</wp:posOffset>
                      </wp:positionV>
                      <wp:extent cx="847725" cy="266700"/>
                      <wp:effectExtent l="0" t="0" r="9525" b="0"/>
                      <wp:wrapNone/>
                      <wp:docPr id="45" name="文本框 45"/>
                      <wp:cNvGraphicFramePr/>
                      <a:graphic xmlns:a="http://schemas.openxmlformats.org/drawingml/2006/main">
                        <a:graphicData uri="http://schemas.microsoft.com/office/word/2010/wordprocessingShape">
                          <wps:wsp>
                            <wps:cNvSpPr txBox="1"/>
                            <wps:spPr>
                              <a:xfrm>
                                <a:off x="1804035" y="1699895"/>
                                <a:ext cx="847725" cy="266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657876">
                                  <w:pPr>
                                    <w:rPr>
                                      <w:rFonts w:hint="default" w:eastAsia="宋体"/>
                                      <w:color w:val="FFFF00"/>
                                      <w:lang w:val="en-US" w:eastAsia="zh-CN"/>
                                    </w:rPr>
                                  </w:pPr>
                                  <w:r>
                                    <w:rPr>
                                      <w:rFonts w:hint="eastAsia"/>
                                      <w:color w:val="FFFF00"/>
                                      <w:lang w:val="en-US" w:eastAsia="zh-CN"/>
                                    </w:rPr>
                                    <w:t>改造部分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45pt;margin-top:3.6pt;height:21pt;width:66.75pt;z-index:251688960;mso-width-relative:page;mso-height-relative:page;" filled="f" stroked="f" coordsize="21600,21600" o:gfxdata="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LN7F/DXAAAABwEAAA8AAAAAAAAAAQAg&#10;AAAAIgAAAGRycy9kb3ducmV2LnhtbFBLAQIUABQAAAAIAIdO4kB3sKnHSAIAAHMEAAAOAAAAAAAA&#10;AAEAIAAAACYBAABkcnMvZTJvRG9jLnhtbFBLBQYAAAAABgAGAFkBAADgBQAAAAA=&#10;">
                      <v:fill on="f" focussize="0,0"/>
                      <v:stroke on="f" weight="0.5pt"/>
                      <v:imagedata o:title=""/>
                      <o:lock v:ext="edit" aspectratio="f"/>
                      <v:textbox>
                        <w:txbxContent>
                          <w:p w14:paraId="49657876">
                            <w:pPr>
                              <w:rPr>
                                <w:rFonts w:hint="default" w:eastAsia="宋体"/>
                                <w:color w:val="FFFF00"/>
                                <w:lang w:val="en-US" w:eastAsia="zh-CN"/>
                              </w:rPr>
                            </w:pPr>
                            <w:r>
                              <w:rPr>
                                <w:rFonts w:hint="eastAsia"/>
                                <w:color w:val="FFFF00"/>
                                <w:lang w:val="en-US" w:eastAsia="zh-CN"/>
                              </w:rPr>
                              <w:t>改造部分</w:t>
                            </w:r>
                          </w:p>
                        </w:txbxContent>
                      </v:textbox>
                    </v:shape>
                  </w:pict>
                </mc:Fallback>
              </mc:AlternateContent>
            </w:r>
            <w:r>
              <w:rPr>
                <w:sz w:val="24"/>
              </w:rPr>
              <mc:AlternateContent>
                <mc:Choice Requires="wps">
                  <w:drawing>
                    <wp:anchor distT="0" distB="0" distL="114300" distR="114300" simplePos="0" relativeHeight="251687936" behindDoc="0" locked="0" layoutInCell="1" allowOverlap="1">
                      <wp:simplePos x="0" y="0"/>
                      <wp:positionH relativeFrom="column">
                        <wp:posOffset>650240</wp:posOffset>
                      </wp:positionH>
                      <wp:positionV relativeFrom="paragraph">
                        <wp:posOffset>236220</wp:posOffset>
                      </wp:positionV>
                      <wp:extent cx="19050" cy="371475"/>
                      <wp:effectExtent l="36195" t="0" r="59055" b="9525"/>
                      <wp:wrapNone/>
                      <wp:docPr id="40" name="直接箭头连接符 40"/>
                      <wp:cNvGraphicFramePr/>
                      <a:graphic xmlns:a="http://schemas.openxmlformats.org/drawingml/2006/main">
                        <a:graphicData uri="http://schemas.microsoft.com/office/word/2010/wordprocessingShape">
                          <wps:wsp>
                            <wps:cNvCnPr/>
                            <wps:spPr>
                              <a:xfrm flipV="1">
                                <a:off x="2061210" y="2080895"/>
                                <a:ext cx="19050" cy="371475"/>
                              </a:xfrm>
                              <a:prstGeom prst="straightConnector1">
                                <a:avLst/>
                              </a:prstGeom>
                              <a:ln>
                                <a:solidFill>
                                  <a:srgbClr val="FFFF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51.2pt;margin-top:18.6pt;height:29.25pt;width:1.5pt;z-index:251687936;mso-width-relative:page;mso-height-relative:page;" filled="f" stroked="t" coordsize="21600,21600" o:gfxdata="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ZtAQLUAAAACQEAAA8A&#10;AAAAAAAAAQAgAAAAIgAAAGRycy9kb3ducmV2LnhtbFBLAQIUABQAAAAIAIdO4kD2rY8kGwIAAPoD&#10;AAAOAAAAAAAAAAEAIAAAACMBAABkcnMvZTJvRG9jLnhtbFBLBQYAAAAABgAGAFkBAACwBQAAAAA=&#10;">
                      <v:fill on="f" focussize="0,0"/>
                      <v:stroke weight="1pt" color="#FFFF00 [3204]" miterlimit="8" joinstyle="miter" endarrow="open"/>
                      <v:imagedata o:title=""/>
                      <o:lock v:ext="edit" aspectratio="f"/>
                    </v:shape>
                  </w:pict>
                </mc:Fallback>
              </mc:AlternateContent>
            </w:r>
          </w:p>
          <w:p w14:paraId="038BFCC9">
            <w:pPr>
              <w:ind w:firstLine="420"/>
              <w:rPr>
                <w:rFonts w:hint="eastAsia"/>
                <w:color w:val="auto"/>
                <w:u w:val="wave"/>
              </w:rPr>
            </w:pPr>
          </w:p>
          <w:p w14:paraId="249F998A">
            <w:pPr>
              <w:ind w:firstLine="420"/>
              <w:rPr>
                <w:rFonts w:hint="eastAsia"/>
                <w:color w:val="auto"/>
                <w:u w:val="wave"/>
              </w:rPr>
            </w:pPr>
          </w:p>
          <w:p w14:paraId="7549B4DA">
            <w:pPr>
              <w:ind w:firstLine="420"/>
              <w:rPr>
                <w:rFonts w:hint="eastAsia"/>
                <w:color w:val="auto"/>
                <w:u w:val="wave"/>
              </w:rPr>
            </w:pPr>
          </w:p>
          <w:p w14:paraId="75F961DF">
            <w:pPr>
              <w:ind w:firstLine="420"/>
              <w:rPr>
                <w:rFonts w:hint="eastAsia"/>
                <w:color w:val="auto"/>
                <w:u w:val="wave"/>
              </w:rPr>
            </w:pPr>
          </w:p>
          <w:p w14:paraId="4A9BC346">
            <w:pPr>
              <w:ind w:firstLine="420"/>
              <w:rPr>
                <w:rFonts w:hint="eastAsia"/>
                <w:color w:val="auto"/>
                <w:u w:val="wave"/>
              </w:rPr>
            </w:pPr>
          </w:p>
          <w:p w14:paraId="62EC954D">
            <w:pPr>
              <w:ind w:firstLine="420"/>
              <w:rPr>
                <w:rFonts w:hint="eastAsia"/>
                <w:color w:val="auto"/>
                <w:u w:val="wave"/>
              </w:rPr>
            </w:pPr>
          </w:p>
          <w:p w14:paraId="4E3C7536">
            <w:pPr>
              <w:numPr>
                <w:numId w:val="0"/>
              </w:numPr>
              <w:rPr>
                <w:color w:val="auto"/>
              </w:rPr>
            </w:pPr>
          </w:p>
          <w:p w14:paraId="441D1FAD">
            <w:pPr>
              <w:numPr>
                <w:ilvl w:val="0"/>
                <w:numId w:val="1"/>
              </w:numPr>
              <w:ind w:firstLine="420"/>
              <w:rPr>
                <w:color w:val="auto"/>
              </w:rPr>
            </w:pPr>
            <w:r>
              <w:rPr>
                <w:rFonts w:hint="eastAsia"/>
                <w:color w:val="auto"/>
                <w:lang w:val="en-US" w:eastAsia="zh-CN"/>
              </w:rPr>
              <w:t>进站道路</w:t>
            </w:r>
          </w:p>
          <w:p w14:paraId="12F0D177">
            <w:pPr>
              <w:ind w:firstLine="420"/>
              <w:rPr>
                <w:rFonts w:hint="eastAsia"/>
                <w:color w:val="auto"/>
                <w:lang w:val="en-US" w:eastAsia="zh-CN"/>
              </w:rPr>
            </w:pPr>
            <w:r>
              <w:rPr>
                <w:rFonts w:hint="eastAsia"/>
                <w:color w:val="auto"/>
                <w:lang w:val="en-US" w:eastAsia="zh-CN"/>
              </w:rPr>
              <w:t>220kv 升压站布置本风电场的东北部，进站道路从新建临时施工检修道路上引接，总长度约0.60km，全为新建道路,为公路型道路，路面宽4.5m，路基宽5.5m。</w:t>
            </w:r>
          </w:p>
          <w:p w14:paraId="484ABBB3">
            <w:pPr>
              <w:pStyle w:val="4"/>
              <w:tabs>
                <w:tab w:val="left" w:pos="425"/>
              </w:tabs>
              <w:rPr>
                <w:color w:val="auto"/>
              </w:rPr>
            </w:pPr>
            <w:r>
              <w:rPr>
                <w:color w:val="auto"/>
              </w:rPr>
              <w:t>2.4.4 集电线路工程</w:t>
            </w:r>
          </w:p>
          <w:p w14:paraId="39A9847F">
            <w:pPr>
              <w:pStyle w:val="4"/>
              <w:tabs>
                <w:tab w:val="left" w:pos="425"/>
              </w:tabs>
              <w:ind w:firstLine="480" w:firstLineChars="200"/>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采用电缆直埋长约</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56.1km，沿道路内侧布设，</w:t>
            </w:r>
            <w:r>
              <w:rPr>
                <w:rFonts w:hint="eastAsia" w:ascii="Times New Roman" w:hAnsi="Times New Roman" w:eastAsia="宋体" w:cs="Times New Roman"/>
                <w:b w:val="0"/>
                <w:bCs w:val="0"/>
                <w:color w:val="auto"/>
                <w:kern w:val="2"/>
                <w:sz w:val="24"/>
                <w:szCs w:val="24"/>
                <w:lang w:val="en-US" w:eastAsia="zh-CN" w:bidi="ar-SA"/>
              </w:rPr>
              <w:t>直埋电缆开槽底宽1.0m，深 1m，按1</w:t>
            </w:r>
            <w:r>
              <w:rPr>
                <w:rFonts w:hint="eastAsia" w:cs="Times New Roman"/>
                <w:b w:val="0"/>
                <w:bCs w:val="0"/>
                <w:color w:val="auto"/>
                <w:kern w:val="2"/>
                <w:sz w:val="24"/>
                <w:szCs w:val="24"/>
                <w:lang w:val="en-US" w:eastAsia="zh-CN" w:bidi="ar-SA"/>
              </w:rPr>
              <w:t>：</w:t>
            </w:r>
            <w:r>
              <w:rPr>
                <w:rFonts w:hint="eastAsia" w:ascii="Times New Roman" w:hAnsi="Times New Roman" w:eastAsia="宋体" w:cs="Times New Roman"/>
                <w:b w:val="0"/>
                <w:bCs w:val="0"/>
                <w:color w:val="auto"/>
                <w:kern w:val="2"/>
                <w:sz w:val="24"/>
                <w:szCs w:val="24"/>
                <w:lang w:val="en-US" w:eastAsia="zh-CN" w:bidi="ar-SA"/>
              </w:rPr>
              <w:t>1开挖边坡，基础开挖完成后，应将槽底清理干净并夯实，敷设电缆的上下侧各铺 100mm细砂，并在电缆上侧做盖砖保护。</w:t>
            </w:r>
          </w:p>
          <w:p w14:paraId="1FC44AFB">
            <w:pPr>
              <w:pStyle w:val="4"/>
              <w:tabs>
                <w:tab w:val="left" w:pos="425"/>
              </w:tabs>
              <w:rPr>
                <w:color w:val="auto"/>
              </w:rPr>
            </w:pPr>
            <w:r>
              <w:rPr>
                <w:color w:val="auto"/>
              </w:rPr>
              <w:t>2.4.5 弃渣场</w:t>
            </w:r>
          </w:p>
          <w:p w14:paraId="58949CDC">
            <w:pPr>
              <w:ind w:firstLine="420"/>
              <w:rPr>
                <w:color w:val="FF0000"/>
                <w:u w:val="none"/>
              </w:rPr>
            </w:pPr>
            <w:r>
              <w:rPr>
                <w:color w:val="auto"/>
                <w:u w:val="none"/>
              </w:rPr>
              <w:t>根据</w:t>
            </w:r>
            <w:r>
              <w:rPr>
                <w:rFonts w:hint="eastAsia"/>
                <w:color w:val="auto"/>
                <w:u w:val="none"/>
              </w:rPr>
              <w:t>可研及水保方案</w:t>
            </w:r>
            <w:r>
              <w:rPr>
                <w:color w:val="auto"/>
                <w:u w:val="none"/>
              </w:rPr>
              <w:t>资料，本项目共设置</w:t>
            </w:r>
            <w:r>
              <w:rPr>
                <w:rFonts w:hint="eastAsia"/>
                <w:color w:val="auto"/>
                <w:u w:val="none"/>
                <w:lang w:val="en-US" w:eastAsia="zh-CN"/>
              </w:rPr>
              <w:t>9</w:t>
            </w:r>
            <w:r>
              <w:rPr>
                <w:color w:val="auto"/>
                <w:u w:val="none"/>
              </w:rPr>
              <w:t>处弃渣场，总</w:t>
            </w:r>
            <w:r>
              <w:rPr>
                <w:rFonts w:hint="eastAsia"/>
                <w:color w:val="auto"/>
                <w:u w:val="none"/>
                <w:lang w:val="en-US" w:eastAsia="zh-CN"/>
              </w:rPr>
              <w:t>占地</w:t>
            </w:r>
            <w:r>
              <w:rPr>
                <w:color w:val="auto"/>
                <w:u w:val="none"/>
              </w:rPr>
              <w:t>约</w:t>
            </w:r>
            <w:r>
              <w:rPr>
                <w:rFonts w:hint="eastAsia"/>
                <w:color w:val="auto"/>
                <w:u w:val="none"/>
                <w:lang w:val="en-US" w:eastAsia="zh-CN"/>
              </w:rPr>
              <w:t>5.96</w:t>
            </w:r>
            <w:r>
              <w:rPr>
                <w:rFonts w:hint="eastAsia"/>
                <w:color w:val="auto"/>
                <w:u w:val="none"/>
                <w:lang w:eastAsia="zh-CN"/>
              </w:rPr>
              <w:t>hm</w:t>
            </w:r>
            <w:r>
              <w:rPr>
                <w:color w:val="auto"/>
                <w:u w:val="none"/>
                <w:vertAlign w:val="superscript"/>
              </w:rPr>
              <w:t>2</w:t>
            </w:r>
            <w:r>
              <w:rPr>
                <w:color w:val="auto"/>
                <w:u w:val="none"/>
              </w:rPr>
              <w:t>。</w:t>
            </w:r>
            <w:r>
              <w:rPr>
                <w:color w:val="000000" w:themeColor="text1"/>
                <w:u w:val="none"/>
                <w14:textFill>
                  <w14:solidFill>
                    <w14:schemeClr w14:val="tx1"/>
                  </w14:solidFill>
                </w14:textFill>
              </w:rPr>
              <w:t>弃渣场全部沿施工道路布置，详见下表</w:t>
            </w:r>
            <w:r>
              <w:rPr>
                <w:rFonts w:hint="eastAsia"/>
                <w:color w:val="000000" w:themeColor="text1"/>
                <w:u w:val="none"/>
                <w14:textFill>
                  <w14:solidFill>
                    <w14:schemeClr w14:val="tx1"/>
                  </w14:solidFill>
                </w14:textFill>
              </w:rPr>
              <w:t>2.4-</w:t>
            </w:r>
            <w:r>
              <w:rPr>
                <w:rFonts w:hint="eastAsia"/>
                <w:color w:val="000000" w:themeColor="text1"/>
                <w:u w:val="none"/>
                <w:lang w:val="en-US" w:eastAsia="zh-CN"/>
                <w14:textFill>
                  <w14:solidFill>
                    <w14:schemeClr w14:val="tx1"/>
                  </w14:solidFill>
                </w14:textFill>
              </w:rPr>
              <w:t>3</w:t>
            </w:r>
            <w:r>
              <w:rPr>
                <w:rFonts w:hint="eastAsia"/>
                <w:color w:val="000000" w:themeColor="text1"/>
                <w:u w:val="none"/>
                <w14:textFill>
                  <w14:solidFill>
                    <w14:schemeClr w14:val="tx1"/>
                  </w14:solidFill>
                </w14:textFill>
              </w:rPr>
              <w:t>；土石方平衡见表2.4-</w:t>
            </w:r>
            <w:r>
              <w:rPr>
                <w:rFonts w:hint="eastAsia"/>
                <w:color w:val="000000" w:themeColor="text1"/>
                <w:u w:val="none"/>
                <w:lang w:val="en-US" w:eastAsia="zh-CN"/>
                <w14:textFill>
                  <w14:solidFill>
                    <w14:schemeClr w14:val="tx1"/>
                  </w14:solidFill>
                </w14:textFill>
              </w:rPr>
              <w:t>5</w:t>
            </w:r>
            <w:r>
              <w:rPr>
                <w:color w:val="000000" w:themeColor="text1"/>
                <w:u w:val="none"/>
                <w14:textFill>
                  <w14:solidFill>
                    <w14:schemeClr w14:val="tx1"/>
                  </w14:solidFill>
                </w14:textFill>
              </w:rPr>
              <w:t>。</w:t>
            </w:r>
            <w:r>
              <w:rPr>
                <w:rFonts w:hint="eastAsia"/>
                <w:color w:val="auto"/>
                <w:u w:val="none"/>
              </w:rPr>
              <w:t>弃渣场选址均考虑了水土保持要求</w:t>
            </w:r>
            <w:r>
              <w:rPr>
                <w:rFonts w:hint="eastAsia"/>
                <w:color w:val="auto"/>
                <w:u w:val="none"/>
                <w:lang w:eastAsia="zh-CN"/>
              </w:rPr>
              <w:t>，</w:t>
            </w:r>
            <w:r>
              <w:rPr>
                <w:rFonts w:hint="eastAsia"/>
                <w:color w:val="auto"/>
                <w:u w:val="none"/>
              </w:rPr>
              <w:t>各弃渣场地形均属于缓坡地，地表植被茂密，多以灌木林地为主，地形坡度多在15°～30°之间，弃渣场场地上部基本为第四系坡残积层，其下为泥盆系强风化灰岩层，厚度在0.5-2m，未发现滑坡、泥石流、岩溶等不良地质体，弃渣场选址不在对公共设施、基础设施、工业企业、居民点等有重大影响的区域、不在河道、湖泊管理范围内，设置的弃渣场范围内无大水系通过，未发现大规模的滑坡、泥石流等不良地质体</w:t>
            </w:r>
            <w:r>
              <w:rPr>
                <w:rFonts w:hint="eastAsia"/>
                <w:color w:val="auto"/>
                <w:u w:val="none"/>
                <w:lang w:eastAsia="zh-CN"/>
              </w:rPr>
              <w:t>。</w:t>
            </w:r>
            <w:r>
              <w:rPr>
                <w:rFonts w:hint="eastAsia"/>
                <w:color w:val="auto"/>
                <w:u w:val="none"/>
              </w:rPr>
              <w:t>建设过程中产生的水土流失，通过采取一定的防护措施后，可得到有效的控制，项目的建设对周边环境的影响也能降低到环境允许的范围内，其各项治理指标均能满足要求。</w:t>
            </w:r>
          </w:p>
          <w:p w14:paraId="5E82715F">
            <w:pPr>
              <w:pStyle w:val="89"/>
              <w:spacing w:line="240" w:lineRule="auto"/>
              <w:ind w:firstLine="2741" w:firstLineChars="1300"/>
              <w:jc w:val="both"/>
              <w:rPr>
                <w:color w:val="FF0000"/>
                <w:highlight w:val="none"/>
                <w:u w:val="none"/>
              </w:rPr>
            </w:pPr>
            <w:r>
              <w:rPr>
                <w:color w:val="000000" w:themeColor="text1"/>
                <w:highlight w:val="none"/>
                <w:u w:val="none"/>
                <w14:textFill>
                  <w14:solidFill>
                    <w14:schemeClr w14:val="tx1"/>
                  </w14:solidFill>
                </w14:textFill>
              </w:rPr>
              <w:t>表</w:t>
            </w:r>
            <w:r>
              <w:rPr>
                <w:rFonts w:hint="eastAsia"/>
                <w:color w:val="000000" w:themeColor="text1"/>
                <w:highlight w:val="none"/>
                <w:u w:val="none"/>
                <w14:textFill>
                  <w14:solidFill>
                    <w14:schemeClr w14:val="tx1"/>
                  </w14:solidFill>
                </w14:textFill>
              </w:rPr>
              <w:t>2.4-3</w:t>
            </w:r>
            <w:r>
              <w:rPr>
                <w:color w:val="000000" w:themeColor="text1"/>
                <w:highlight w:val="none"/>
                <w:u w:val="none"/>
                <w14:textFill>
                  <w14:solidFill>
                    <w14:schemeClr w14:val="tx1"/>
                  </w14:solidFill>
                </w14:textFill>
              </w:rPr>
              <w:t>弃渣场基本情况表</w:t>
            </w:r>
          </w:p>
          <w:tbl>
            <w:tblPr>
              <w:tblStyle w:val="26"/>
              <w:tblW w:w="7838" w:type="dxa"/>
              <w:tblInd w:w="-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81"/>
              <w:gridCol w:w="1306"/>
              <w:gridCol w:w="535"/>
              <w:gridCol w:w="879"/>
              <w:gridCol w:w="637"/>
              <w:gridCol w:w="625"/>
              <w:gridCol w:w="673"/>
              <w:gridCol w:w="673"/>
              <w:gridCol w:w="881"/>
              <w:gridCol w:w="622"/>
              <w:gridCol w:w="626"/>
            </w:tblGrid>
            <w:tr w14:paraId="679EC8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blHeader/>
              </w:trPr>
              <w:tc>
                <w:tcPr>
                  <w:tcW w:w="381" w:type="dxa"/>
                  <w:vAlign w:val="center"/>
                </w:tcPr>
                <w:p w14:paraId="3A361933">
                  <w:pPr>
                    <w:pStyle w:val="23"/>
                    <w:widowControl w:val="0"/>
                    <w:spacing w:before="0" w:beforeAutospacing="0" w:after="0" w:afterAutospacing="0" w:line="240" w:lineRule="auto"/>
                    <w:jc w:val="center"/>
                    <w:rPr>
                      <w:rFonts w:hint="eastAsia" w:ascii="Times New Roman" w:hAnsi="Times New Roman"/>
                      <w:b/>
                      <w:bCs/>
                      <w:color w:val="000000" w:themeColor="text1"/>
                      <w:sz w:val="21"/>
                      <w:szCs w:val="21"/>
                      <w:u w:val="none"/>
                      <w14:textFill>
                        <w14:solidFill>
                          <w14:schemeClr w14:val="tx1"/>
                        </w14:solidFill>
                      </w14:textFill>
                    </w:rPr>
                  </w:pPr>
                  <w:r>
                    <w:rPr>
                      <w:rFonts w:hint="eastAsia" w:ascii="Times New Roman" w:hAnsi="Times New Roman"/>
                      <w:b/>
                      <w:bCs/>
                      <w:color w:val="000000" w:themeColor="text1"/>
                      <w:sz w:val="21"/>
                      <w:szCs w:val="21"/>
                      <w:u w:val="none"/>
                      <w14:textFill>
                        <w14:solidFill>
                          <w14:schemeClr w14:val="tx1"/>
                        </w14:solidFill>
                      </w14:textFill>
                    </w:rPr>
                    <w:t>编号</w:t>
                  </w:r>
                </w:p>
              </w:tc>
              <w:tc>
                <w:tcPr>
                  <w:tcW w:w="1306" w:type="dxa"/>
                  <w:vAlign w:val="center"/>
                </w:tcPr>
                <w:p w14:paraId="4E94AB8A">
                  <w:pPr>
                    <w:pStyle w:val="23"/>
                    <w:widowControl w:val="0"/>
                    <w:spacing w:before="0" w:beforeAutospacing="0" w:after="0" w:afterAutospacing="0" w:line="240" w:lineRule="auto"/>
                    <w:jc w:val="center"/>
                    <w:rPr>
                      <w:rFonts w:hint="eastAsia" w:ascii="Times New Roman" w:hAnsi="Times New Roman"/>
                      <w:b/>
                      <w:bCs/>
                      <w:color w:val="000000" w:themeColor="text1"/>
                      <w:sz w:val="21"/>
                      <w:szCs w:val="21"/>
                      <w:u w:val="none"/>
                      <w14:textFill>
                        <w14:solidFill>
                          <w14:schemeClr w14:val="tx1"/>
                        </w14:solidFill>
                      </w14:textFill>
                    </w:rPr>
                  </w:pPr>
                  <w:r>
                    <w:rPr>
                      <w:rFonts w:hint="eastAsia" w:ascii="Times New Roman" w:hAnsi="Times New Roman"/>
                      <w:b/>
                      <w:bCs/>
                      <w:color w:val="000000" w:themeColor="text1"/>
                      <w:sz w:val="21"/>
                      <w:szCs w:val="21"/>
                      <w:u w:val="none"/>
                      <w14:textFill>
                        <w14:solidFill>
                          <w14:schemeClr w14:val="tx1"/>
                        </w14:solidFill>
                      </w14:textFill>
                    </w:rPr>
                    <w:t>位置</w:t>
                  </w:r>
                </w:p>
              </w:tc>
              <w:tc>
                <w:tcPr>
                  <w:tcW w:w="535" w:type="dxa"/>
                  <w:vAlign w:val="center"/>
                </w:tcPr>
                <w:p w14:paraId="19B08A80">
                  <w:pPr>
                    <w:pStyle w:val="23"/>
                    <w:widowControl w:val="0"/>
                    <w:spacing w:before="0" w:beforeAutospacing="0" w:after="0" w:afterAutospacing="0" w:line="240" w:lineRule="auto"/>
                    <w:jc w:val="center"/>
                    <w:rPr>
                      <w:rFonts w:hint="eastAsia" w:ascii="Times New Roman" w:hAnsi="Times New Roman" w:eastAsia="宋体"/>
                      <w:b/>
                      <w:bCs/>
                      <w:color w:val="000000" w:themeColor="text1"/>
                      <w:sz w:val="21"/>
                      <w:szCs w:val="21"/>
                      <w:u w:val="none"/>
                      <w:lang w:val="en-US" w:eastAsia="zh-CN"/>
                      <w14:textFill>
                        <w14:solidFill>
                          <w14:schemeClr w14:val="tx1"/>
                        </w14:solidFill>
                      </w14:textFill>
                    </w:rPr>
                  </w:pPr>
                  <w:r>
                    <w:rPr>
                      <w:rFonts w:hint="eastAsia" w:ascii="Times New Roman" w:hAnsi="Times New Roman"/>
                      <w:b/>
                      <w:bCs/>
                      <w:color w:val="000000" w:themeColor="text1"/>
                      <w:sz w:val="21"/>
                      <w:szCs w:val="21"/>
                      <w:u w:val="none"/>
                      <w:lang w:val="en-US" w:eastAsia="zh-CN"/>
                      <w14:textFill>
                        <w14:solidFill>
                          <w14:schemeClr w14:val="tx1"/>
                        </w14:solidFill>
                      </w14:textFill>
                    </w:rPr>
                    <w:t>地形</w:t>
                  </w:r>
                </w:p>
              </w:tc>
              <w:tc>
                <w:tcPr>
                  <w:tcW w:w="879" w:type="dxa"/>
                  <w:vAlign w:val="center"/>
                </w:tcPr>
                <w:p w14:paraId="319B118B">
                  <w:pPr>
                    <w:pStyle w:val="23"/>
                    <w:widowControl w:val="0"/>
                    <w:spacing w:before="0" w:beforeAutospacing="0" w:after="0" w:afterAutospacing="0" w:line="240" w:lineRule="auto"/>
                    <w:jc w:val="center"/>
                    <w:rPr>
                      <w:rFonts w:hint="eastAsia" w:ascii="Times New Roman" w:hAnsi="Times New Roman" w:eastAsia="宋体"/>
                      <w:b/>
                      <w:bCs/>
                      <w:color w:val="000000" w:themeColor="text1"/>
                      <w:sz w:val="21"/>
                      <w:szCs w:val="21"/>
                      <w:u w:val="none"/>
                      <w:lang w:eastAsia="zh-CN"/>
                      <w14:textFill>
                        <w14:solidFill>
                          <w14:schemeClr w14:val="tx1"/>
                        </w14:solidFill>
                      </w14:textFill>
                    </w:rPr>
                  </w:pPr>
                  <w:r>
                    <w:rPr>
                      <w:rFonts w:hint="eastAsia" w:ascii="Times New Roman" w:hAnsi="Times New Roman"/>
                      <w:b/>
                      <w:bCs/>
                      <w:color w:val="000000" w:themeColor="text1"/>
                      <w:sz w:val="21"/>
                      <w:szCs w:val="21"/>
                      <w:u w:val="none"/>
                      <w14:textFill>
                        <w14:solidFill>
                          <w14:schemeClr w14:val="tx1"/>
                        </w14:solidFill>
                      </w14:textFill>
                    </w:rPr>
                    <w:t>占地面积</w:t>
                  </w:r>
                  <w:r>
                    <w:rPr>
                      <w:rFonts w:hint="eastAsia" w:ascii="Times New Roman" w:hAnsi="Times New Roman"/>
                      <w:b/>
                      <w:bCs/>
                      <w:color w:val="000000" w:themeColor="text1"/>
                      <w:sz w:val="21"/>
                      <w:szCs w:val="21"/>
                      <w:u w:val="none"/>
                      <w:lang w:eastAsia="zh-CN"/>
                      <w14:textFill>
                        <w14:solidFill>
                          <w14:schemeClr w14:val="tx1"/>
                        </w14:solidFill>
                      </w14:textFill>
                    </w:rPr>
                    <w:t>（</w:t>
                  </w:r>
                  <w:r>
                    <w:rPr>
                      <w:rFonts w:hint="eastAsia" w:ascii="Times New Roman" w:hAnsi="Times New Roman"/>
                      <w:b/>
                      <w:bCs/>
                      <w:color w:val="000000" w:themeColor="text1"/>
                      <w:sz w:val="21"/>
                      <w:szCs w:val="21"/>
                      <w:u w:val="none"/>
                      <w14:textFill>
                        <w14:solidFill>
                          <w14:schemeClr w14:val="tx1"/>
                        </w14:solidFill>
                      </w14:textFill>
                    </w:rPr>
                    <w:t>hm</w:t>
                  </w:r>
                  <w:r>
                    <w:rPr>
                      <w:rFonts w:hint="eastAsia" w:ascii="Times New Roman" w:hAnsi="Times New Roman"/>
                      <w:b/>
                      <w:bCs/>
                      <w:color w:val="000000" w:themeColor="text1"/>
                      <w:sz w:val="21"/>
                      <w:szCs w:val="21"/>
                      <w:u w:val="none"/>
                      <w:vertAlign w:val="superscript"/>
                      <w14:textFill>
                        <w14:solidFill>
                          <w14:schemeClr w14:val="tx1"/>
                        </w14:solidFill>
                      </w14:textFill>
                    </w:rPr>
                    <w:t>2</w:t>
                  </w:r>
                  <w:r>
                    <w:rPr>
                      <w:rFonts w:hint="eastAsia" w:ascii="Times New Roman" w:hAnsi="Times New Roman"/>
                      <w:b/>
                      <w:bCs/>
                      <w:color w:val="000000" w:themeColor="text1"/>
                      <w:sz w:val="21"/>
                      <w:szCs w:val="21"/>
                      <w:u w:val="none"/>
                      <w:lang w:eastAsia="zh-CN"/>
                      <w14:textFill>
                        <w14:solidFill>
                          <w14:schemeClr w14:val="tx1"/>
                        </w14:solidFill>
                      </w14:textFill>
                    </w:rPr>
                    <w:t>）</w:t>
                  </w:r>
                </w:p>
              </w:tc>
              <w:tc>
                <w:tcPr>
                  <w:tcW w:w="637" w:type="dxa"/>
                  <w:vAlign w:val="center"/>
                </w:tcPr>
                <w:p w14:paraId="471B5206">
                  <w:pPr>
                    <w:pStyle w:val="23"/>
                    <w:widowControl w:val="0"/>
                    <w:spacing w:before="0" w:beforeAutospacing="0" w:after="0" w:afterAutospacing="0" w:line="240" w:lineRule="auto"/>
                    <w:jc w:val="center"/>
                    <w:rPr>
                      <w:rFonts w:hint="eastAsia" w:ascii="Times New Roman" w:hAnsi="Times New Roman"/>
                      <w:b/>
                      <w:bCs/>
                      <w:color w:val="000000" w:themeColor="text1"/>
                      <w:sz w:val="21"/>
                      <w:szCs w:val="21"/>
                      <w:u w:val="none"/>
                      <w14:textFill>
                        <w14:solidFill>
                          <w14:schemeClr w14:val="tx1"/>
                        </w14:solidFill>
                      </w14:textFill>
                    </w:rPr>
                  </w:pPr>
                  <w:r>
                    <w:rPr>
                      <w:rFonts w:hint="eastAsia" w:ascii="Times New Roman" w:hAnsi="Times New Roman"/>
                      <w:b/>
                      <w:bCs/>
                      <w:color w:val="000000" w:themeColor="text1"/>
                      <w:sz w:val="21"/>
                      <w:szCs w:val="21"/>
                      <w:u w:val="none"/>
                      <w14:textFill>
                        <w14:solidFill>
                          <w14:schemeClr w14:val="tx1"/>
                        </w14:solidFill>
                      </w14:textFill>
                    </w:rPr>
                    <w:t>渣场类型</w:t>
                  </w:r>
                </w:p>
              </w:tc>
              <w:tc>
                <w:tcPr>
                  <w:tcW w:w="625" w:type="dxa"/>
                  <w:vAlign w:val="center"/>
                </w:tcPr>
                <w:p w14:paraId="1E40C1D9">
                  <w:pPr>
                    <w:pStyle w:val="23"/>
                    <w:widowControl w:val="0"/>
                    <w:spacing w:before="0" w:beforeAutospacing="0" w:after="0" w:afterAutospacing="0" w:line="240" w:lineRule="auto"/>
                    <w:jc w:val="center"/>
                    <w:rPr>
                      <w:rFonts w:hint="eastAsia" w:ascii="Times New Roman" w:hAnsi="Times New Roman"/>
                      <w:b/>
                      <w:bCs/>
                      <w:color w:val="000000" w:themeColor="text1"/>
                      <w:sz w:val="21"/>
                      <w:szCs w:val="21"/>
                      <w:u w:val="none"/>
                      <w14:textFill>
                        <w14:solidFill>
                          <w14:schemeClr w14:val="tx1"/>
                        </w14:solidFill>
                      </w14:textFill>
                    </w:rPr>
                  </w:pPr>
                  <w:r>
                    <w:rPr>
                      <w:rFonts w:hint="eastAsia" w:ascii="Times New Roman" w:hAnsi="Times New Roman"/>
                      <w:b/>
                      <w:bCs/>
                      <w:color w:val="000000" w:themeColor="text1"/>
                      <w:sz w:val="21"/>
                      <w:szCs w:val="21"/>
                      <w:u w:val="none"/>
                      <w14:textFill>
                        <w14:solidFill>
                          <w14:schemeClr w14:val="tx1"/>
                        </w14:solidFill>
                      </w14:textFill>
                    </w:rPr>
                    <w:t>弃渣量</w:t>
                  </w:r>
                  <w:r>
                    <w:rPr>
                      <w:rFonts w:hint="eastAsia" w:ascii="Times New Roman" w:hAnsi="Times New Roman"/>
                      <w:b/>
                      <w:bCs/>
                      <w:color w:val="000000" w:themeColor="text1"/>
                      <w:sz w:val="21"/>
                      <w:szCs w:val="21"/>
                      <w:u w:val="none"/>
                      <w:lang w:eastAsia="zh-CN"/>
                      <w14:textFill>
                        <w14:solidFill>
                          <w14:schemeClr w14:val="tx1"/>
                        </w14:solidFill>
                      </w14:textFill>
                    </w:rPr>
                    <w:t>（</w:t>
                  </w:r>
                  <w:r>
                    <w:rPr>
                      <w:rFonts w:hint="eastAsia" w:ascii="Times New Roman" w:hAnsi="Times New Roman"/>
                      <w:b/>
                      <w:bCs/>
                      <w:color w:val="000000" w:themeColor="text1"/>
                      <w:sz w:val="21"/>
                      <w:szCs w:val="21"/>
                      <w:u w:val="none"/>
                      <w14:textFill>
                        <w14:solidFill>
                          <w14:schemeClr w14:val="tx1"/>
                        </w14:solidFill>
                      </w14:textFill>
                    </w:rPr>
                    <w:t>万</w:t>
                  </w:r>
                </w:p>
                <w:p w14:paraId="0EDAB58E">
                  <w:pPr>
                    <w:pStyle w:val="23"/>
                    <w:widowControl w:val="0"/>
                    <w:spacing w:before="0" w:beforeAutospacing="0" w:after="0" w:afterAutospacing="0" w:line="240" w:lineRule="auto"/>
                    <w:jc w:val="center"/>
                    <w:rPr>
                      <w:rFonts w:hint="eastAsia" w:ascii="Times New Roman" w:hAnsi="Times New Roman"/>
                      <w:b/>
                      <w:bCs/>
                      <w:color w:val="FF0000"/>
                      <w:sz w:val="21"/>
                      <w:szCs w:val="21"/>
                      <w:u w:val="none"/>
                    </w:rPr>
                  </w:pPr>
                  <w:r>
                    <w:rPr>
                      <w:rFonts w:hint="eastAsia" w:ascii="Times New Roman" w:hAnsi="Times New Roman"/>
                      <w:b/>
                      <w:bCs/>
                      <w:color w:val="000000" w:themeColor="text1"/>
                      <w:sz w:val="21"/>
                      <w:szCs w:val="21"/>
                      <w:u w:val="none"/>
                      <w14:textFill>
                        <w14:solidFill>
                          <w14:schemeClr w14:val="tx1"/>
                        </w14:solidFill>
                      </w14:textFill>
                    </w:rPr>
                    <w:t>m</w:t>
                  </w:r>
                  <w:r>
                    <w:rPr>
                      <w:rFonts w:hint="eastAsia" w:ascii="Times New Roman" w:hAnsi="Times New Roman"/>
                      <w:b/>
                      <w:bCs/>
                      <w:color w:val="000000" w:themeColor="text1"/>
                      <w:sz w:val="21"/>
                      <w:szCs w:val="21"/>
                      <w:u w:val="none"/>
                      <w:vertAlign w:val="superscript"/>
                      <w14:textFill>
                        <w14:solidFill>
                          <w14:schemeClr w14:val="tx1"/>
                        </w14:solidFill>
                      </w14:textFill>
                    </w:rPr>
                    <w:t>3</w:t>
                  </w:r>
                  <w:r>
                    <w:rPr>
                      <w:rFonts w:hint="eastAsia" w:ascii="Times New Roman" w:hAnsi="Times New Roman"/>
                      <w:b/>
                      <w:bCs/>
                      <w:color w:val="000000" w:themeColor="text1"/>
                      <w:sz w:val="21"/>
                      <w:szCs w:val="21"/>
                      <w:u w:val="none"/>
                      <w:lang w:eastAsia="zh-CN"/>
                      <w14:textFill>
                        <w14:solidFill>
                          <w14:schemeClr w14:val="tx1"/>
                        </w14:solidFill>
                      </w14:textFill>
                    </w:rPr>
                    <w:t>）</w:t>
                  </w:r>
                </w:p>
              </w:tc>
              <w:tc>
                <w:tcPr>
                  <w:tcW w:w="673" w:type="dxa"/>
                  <w:vAlign w:val="center"/>
                </w:tcPr>
                <w:p w14:paraId="2DE3D09F">
                  <w:pPr>
                    <w:pStyle w:val="23"/>
                    <w:widowControl w:val="0"/>
                    <w:spacing w:before="0" w:beforeAutospacing="0" w:after="0" w:afterAutospacing="0" w:line="240" w:lineRule="auto"/>
                    <w:jc w:val="center"/>
                    <w:rPr>
                      <w:rFonts w:hint="eastAsia" w:ascii="Times New Roman" w:hAnsi="Times New Roman"/>
                      <w:b/>
                      <w:bCs/>
                      <w:color w:val="000000" w:themeColor="text1"/>
                      <w:sz w:val="21"/>
                      <w:szCs w:val="21"/>
                      <w:u w:val="none"/>
                      <w14:textFill>
                        <w14:solidFill>
                          <w14:schemeClr w14:val="tx1"/>
                        </w14:solidFill>
                      </w14:textFill>
                    </w:rPr>
                  </w:pPr>
                  <w:r>
                    <w:rPr>
                      <w:rFonts w:hint="eastAsia" w:ascii="Times New Roman" w:hAnsi="Times New Roman"/>
                      <w:b/>
                      <w:bCs/>
                      <w:color w:val="000000" w:themeColor="text1"/>
                      <w:sz w:val="21"/>
                      <w:szCs w:val="21"/>
                      <w:u w:val="none"/>
                      <w14:textFill>
                        <w14:solidFill>
                          <w14:schemeClr w14:val="tx1"/>
                        </w14:solidFill>
                      </w14:textFill>
                    </w:rPr>
                    <w:t>平均堆高</w:t>
                  </w:r>
                </w:p>
                <w:p w14:paraId="3AF31453">
                  <w:pPr>
                    <w:pStyle w:val="23"/>
                    <w:widowControl w:val="0"/>
                    <w:spacing w:before="0" w:beforeAutospacing="0" w:after="0" w:afterAutospacing="0" w:line="240" w:lineRule="auto"/>
                    <w:jc w:val="center"/>
                    <w:rPr>
                      <w:rFonts w:hint="eastAsia" w:ascii="Times New Roman" w:hAnsi="Times New Roman"/>
                      <w:b/>
                      <w:bCs/>
                      <w:color w:val="000000" w:themeColor="text1"/>
                      <w:sz w:val="21"/>
                      <w:szCs w:val="21"/>
                      <w:u w:val="none"/>
                      <w14:textFill>
                        <w14:solidFill>
                          <w14:schemeClr w14:val="tx1"/>
                        </w14:solidFill>
                      </w14:textFill>
                    </w:rPr>
                  </w:pPr>
                  <w:r>
                    <w:rPr>
                      <w:rFonts w:hint="eastAsia" w:ascii="Times New Roman" w:hAnsi="Times New Roman"/>
                      <w:b/>
                      <w:bCs/>
                      <w:color w:val="000000" w:themeColor="text1"/>
                      <w:sz w:val="21"/>
                      <w:szCs w:val="21"/>
                      <w:u w:val="none"/>
                      <w:lang w:eastAsia="zh-CN"/>
                      <w14:textFill>
                        <w14:solidFill>
                          <w14:schemeClr w14:val="tx1"/>
                        </w14:solidFill>
                      </w14:textFill>
                    </w:rPr>
                    <w:t>（</w:t>
                  </w:r>
                  <w:r>
                    <w:rPr>
                      <w:rFonts w:hint="eastAsia" w:ascii="Times New Roman" w:hAnsi="Times New Roman"/>
                      <w:b/>
                      <w:bCs/>
                      <w:color w:val="000000" w:themeColor="text1"/>
                      <w:sz w:val="21"/>
                      <w:szCs w:val="21"/>
                      <w:u w:val="none"/>
                      <w14:textFill>
                        <w14:solidFill>
                          <w14:schemeClr w14:val="tx1"/>
                        </w14:solidFill>
                      </w14:textFill>
                    </w:rPr>
                    <w:t>m</w:t>
                  </w:r>
                  <w:r>
                    <w:rPr>
                      <w:rFonts w:hint="eastAsia" w:ascii="Times New Roman" w:hAnsi="Times New Roman"/>
                      <w:b/>
                      <w:bCs/>
                      <w:color w:val="000000" w:themeColor="text1"/>
                      <w:sz w:val="21"/>
                      <w:szCs w:val="21"/>
                      <w:u w:val="none"/>
                      <w:lang w:eastAsia="zh-CN"/>
                      <w14:textFill>
                        <w14:solidFill>
                          <w14:schemeClr w14:val="tx1"/>
                        </w14:solidFill>
                      </w14:textFill>
                    </w:rPr>
                    <w:t>）</w:t>
                  </w:r>
                </w:p>
              </w:tc>
              <w:tc>
                <w:tcPr>
                  <w:tcW w:w="673" w:type="dxa"/>
                  <w:vAlign w:val="center"/>
                </w:tcPr>
                <w:p w14:paraId="20E21DB6">
                  <w:pPr>
                    <w:pStyle w:val="23"/>
                    <w:widowControl w:val="0"/>
                    <w:spacing w:before="0" w:beforeAutospacing="0" w:after="0" w:afterAutospacing="0" w:line="240" w:lineRule="auto"/>
                    <w:jc w:val="center"/>
                    <w:rPr>
                      <w:rFonts w:hint="eastAsia" w:ascii="Times New Roman" w:hAnsi="Times New Roman"/>
                      <w:b/>
                      <w:bCs/>
                      <w:color w:val="000000" w:themeColor="text1"/>
                      <w:sz w:val="21"/>
                      <w:szCs w:val="21"/>
                      <w:u w:val="none"/>
                      <w14:textFill>
                        <w14:solidFill>
                          <w14:schemeClr w14:val="tx1"/>
                        </w14:solidFill>
                      </w14:textFill>
                    </w:rPr>
                  </w:pPr>
                  <w:r>
                    <w:rPr>
                      <w:rFonts w:hint="eastAsia" w:ascii="Times New Roman" w:hAnsi="Times New Roman"/>
                      <w:b/>
                      <w:bCs/>
                      <w:color w:val="000000" w:themeColor="text1"/>
                      <w:sz w:val="21"/>
                      <w:szCs w:val="21"/>
                      <w:u w:val="none"/>
                      <w14:textFill>
                        <w14:solidFill>
                          <w14:schemeClr w14:val="tx1"/>
                        </w14:solidFill>
                      </w14:textFill>
                    </w:rPr>
                    <w:t>最大堆高</w:t>
                  </w:r>
                </w:p>
                <w:p w14:paraId="2B62AC6E">
                  <w:pPr>
                    <w:pStyle w:val="23"/>
                    <w:widowControl w:val="0"/>
                    <w:spacing w:before="0" w:beforeAutospacing="0" w:after="0" w:afterAutospacing="0" w:line="240" w:lineRule="auto"/>
                    <w:jc w:val="center"/>
                    <w:rPr>
                      <w:rFonts w:hint="eastAsia" w:ascii="Times New Roman" w:hAnsi="Times New Roman" w:eastAsia="宋体"/>
                      <w:b/>
                      <w:bCs/>
                      <w:color w:val="000000" w:themeColor="text1"/>
                      <w:sz w:val="21"/>
                      <w:szCs w:val="21"/>
                      <w:u w:val="none"/>
                      <w:lang w:eastAsia="zh-CN"/>
                      <w14:textFill>
                        <w14:solidFill>
                          <w14:schemeClr w14:val="tx1"/>
                        </w14:solidFill>
                      </w14:textFill>
                    </w:rPr>
                  </w:pPr>
                  <w:r>
                    <w:rPr>
                      <w:rFonts w:hint="eastAsia" w:ascii="Times New Roman" w:hAnsi="Times New Roman"/>
                      <w:b/>
                      <w:bCs/>
                      <w:color w:val="000000" w:themeColor="text1"/>
                      <w:sz w:val="21"/>
                      <w:szCs w:val="21"/>
                      <w:u w:val="none"/>
                      <w14:textFill>
                        <w14:solidFill>
                          <w14:schemeClr w14:val="tx1"/>
                        </w14:solidFill>
                      </w14:textFill>
                    </w:rPr>
                    <w:t>（m</w:t>
                  </w:r>
                  <w:r>
                    <w:rPr>
                      <w:rFonts w:hint="eastAsia" w:ascii="Times New Roman" w:hAnsi="Times New Roman"/>
                      <w:b/>
                      <w:bCs/>
                      <w:color w:val="000000" w:themeColor="text1"/>
                      <w:sz w:val="21"/>
                      <w:szCs w:val="21"/>
                      <w:u w:val="none"/>
                      <w:lang w:eastAsia="zh-CN"/>
                      <w14:textFill>
                        <w14:solidFill>
                          <w14:schemeClr w14:val="tx1"/>
                        </w14:solidFill>
                      </w14:textFill>
                    </w:rPr>
                    <w:t>）</w:t>
                  </w:r>
                </w:p>
              </w:tc>
              <w:tc>
                <w:tcPr>
                  <w:tcW w:w="881" w:type="dxa"/>
                  <w:vAlign w:val="center"/>
                </w:tcPr>
                <w:p w14:paraId="0C6425E8">
                  <w:pPr>
                    <w:pStyle w:val="23"/>
                    <w:widowControl w:val="0"/>
                    <w:spacing w:before="0" w:beforeAutospacing="0" w:after="0" w:afterAutospacing="0" w:line="240" w:lineRule="auto"/>
                    <w:jc w:val="center"/>
                    <w:rPr>
                      <w:rFonts w:hint="eastAsia" w:ascii="Times New Roman" w:hAnsi="Times New Roman" w:eastAsia="宋体"/>
                      <w:b/>
                      <w:bCs/>
                      <w:color w:val="000000" w:themeColor="text1"/>
                      <w:sz w:val="21"/>
                      <w:szCs w:val="21"/>
                      <w:u w:val="none"/>
                      <w:lang w:eastAsia="zh-CN"/>
                      <w14:textFill>
                        <w14:solidFill>
                          <w14:schemeClr w14:val="tx1"/>
                        </w14:solidFill>
                      </w14:textFill>
                    </w:rPr>
                  </w:pPr>
                  <w:r>
                    <w:rPr>
                      <w:rFonts w:hint="eastAsia" w:ascii="Times New Roman" w:hAnsi="Times New Roman"/>
                      <w:b/>
                      <w:bCs/>
                      <w:color w:val="000000" w:themeColor="text1"/>
                      <w:sz w:val="21"/>
                      <w:szCs w:val="21"/>
                      <w:u w:val="none"/>
                      <w:lang w:val="en-US" w:eastAsia="zh-CN"/>
                      <w14:textFill>
                        <w14:solidFill>
                          <w14:schemeClr w14:val="tx1"/>
                        </w14:solidFill>
                      </w14:textFill>
                    </w:rPr>
                    <w:t>集雨面积</w:t>
                  </w:r>
                  <w:r>
                    <w:rPr>
                      <w:rFonts w:hint="eastAsia" w:ascii="Times New Roman" w:hAnsi="Times New Roman"/>
                      <w:b/>
                      <w:bCs/>
                      <w:color w:val="000000" w:themeColor="text1"/>
                      <w:sz w:val="21"/>
                      <w:szCs w:val="21"/>
                      <w:u w:val="none"/>
                      <w:lang w:eastAsia="zh-CN"/>
                      <w14:textFill>
                        <w14:solidFill>
                          <w14:schemeClr w14:val="tx1"/>
                        </w14:solidFill>
                      </w14:textFill>
                    </w:rPr>
                    <w:t>（</w:t>
                  </w:r>
                  <w:r>
                    <w:rPr>
                      <w:rFonts w:hint="eastAsia" w:ascii="Times New Roman" w:hAnsi="Times New Roman"/>
                      <w:b/>
                      <w:bCs/>
                      <w:color w:val="000000" w:themeColor="text1"/>
                      <w:sz w:val="21"/>
                      <w:szCs w:val="21"/>
                      <w:u w:val="none"/>
                      <w14:textFill>
                        <w14:solidFill>
                          <w14:schemeClr w14:val="tx1"/>
                        </w14:solidFill>
                      </w14:textFill>
                    </w:rPr>
                    <w:t>hm</w:t>
                  </w:r>
                  <w:r>
                    <w:rPr>
                      <w:rFonts w:hint="eastAsia" w:ascii="Times New Roman" w:hAnsi="Times New Roman"/>
                      <w:b/>
                      <w:bCs/>
                      <w:color w:val="000000" w:themeColor="text1"/>
                      <w:sz w:val="21"/>
                      <w:szCs w:val="21"/>
                      <w:u w:val="none"/>
                      <w:vertAlign w:val="superscript"/>
                      <w14:textFill>
                        <w14:solidFill>
                          <w14:schemeClr w14:val="tx1"/>
                        </w14:solidFill>
                      </w14:textFill>
                    </w:rPr>
                    <w:t>2</w:t>
                  </w:r>
                  <w:r>
                    <w:rPr>
                      <w:rFonts w:hint="eastAsia" w:ascii="Times New Roman" w:hAnsi="Times New Roman"/>
                      <w:b/>
                      <w:bCs/>
                      <w:color w:val="000000" w:themeColor="text1"/>
                      <w:sz w:val="21"/>
                      <w:szCs w:val="21"/>
                      <w:u w:val="none"/>
                      <w:lang w:eastAsia="zh-CN"/>
                      <w14:textFill>
                        <w14:solidFill>
                          <w14:schemeClr w14:val="tx1"/>
                        </w14:solidFill>
                      </w14:textFill>
                    </w:rPr>
                    <w:t>）</w:t>
                  </w:r>
                </w:p>
              </w:tc>
              <w:tc>
                <w:tcPr>
                  <w:tcW w:w="622" w:type="dxa"/>
                  <w:vAlign w:val="center"/>
                </w:tcPr>
                <w:p w14:paraId="725519E7">
                  <w:pPr>
                    <w:pStyle w:val="23"/>
                    <w:widowControl w:val="0"/>
                    <w:spacing w:before="0" w:beforeAutospacing="0" w:after="0" w:afterAutospacing="0" w:line="240" w:lineRule="auto"/>
                    <w:jc w:val="center"/>
                    <w:rPr>
                      <w:rFonts w:hint="eastAsia" w:ascii="Times New Roman" w:hAnsi="Times New Roman"/>
                      <w:b/>
                      <w:bCs/>
                      <w:color w:val="000000" w:themeColor="text1"/>
                      <w:sz w:val="21"/>
                      <w:szCs w:val="21"/>
                      <w:u w:val="none"/>
                      <w14:textFill>
                        <w14:solidFill>
                          <w14:schemeClr w14:val="tx1"/>
                        </w14:solidFill>
                      </w14:textFill>
                    </w:rPr>
                  </w:pPr>
                  <w:r>
                    <w:rPr>
                      <w:rFonts w:hint="eastAsia" w:ascii="Times New Roman" w:hAnsi="Times New Roman"/>
                      <w:b/>
                      <w:bCs/>
                      <w:color w:val="000000" w:themeColor="text1"/>
                      <w:sz w:val="21"/>
                      <w:szCs w:val="21"/>
                      <w:u w:val="none"/>
                      <w14:textFill>
                        <w14:solidFill>
                          <w14:schemeClr w14:val="tx1"/>
                        </w14:solidFill>
                      </w14:textFill>
                    </w:rPr>
                    <w:t>容量</w:t>
                  </w:r>
                </w:p>
                <w:p w14:paraId="1651A587">
                  <w:pPr>
                    <w:pStyle w:val="23"/>
                    <w:widowControl w:val="0"/>
                    <w:spacing w:before="0" w:beforeAutospacing="0" w:after="0" w:afterAutospacing="0" w:line="240" w:lineRule="auto"/>
                    <w:jc w:val="center"/>
                    <w:rPr>
                      <w:rFonts w:hint="eastAsia" w:ascii="Times New Roman" w:hAnsi="Times New Roman"/>
                      <w:b/>
                      <w:bCs/>
                      <w:color w:val="000000" w:themeColor="text1"/>
                      <w:sz w:val="21"/>
                      <w:szCs w:val="21"/>
                      <w:u w:val="none"/>
                      <w14:textFill>
                        <w14:solidFill>
                          <w14:schemeClr w14:val="tx1"/>
                        </w14:solidFill>
                      </w14:textFill>
                    </w:rPr>
                  </w:pPr>
                  <w:r>
                    <w:rPr>
                      <w:rFonts w:hint="eastAsia" w:ascii="Times New Roman" w:hAnsi="Times New Roman"/>
                      <w:b/>
                      <w:bCs/>
                      <w:color w:val="000000" w:themeColor="text1"/>
                      <w:sz w:val="21"/>
                      <w:szCs w:val="21"/>
                      <w:u w:val="none"/>
                      <w:lang w:eastAsia="zh-CN"/>
                      <w14:textFill>
                        <w14:solidFill>
                          <w14:schemeClr w14:val="tx1"/>
                        </w14:solidFill>
                      </w14:textFill>
                    </w:rPr>
                    <w:t>（</w:t>
                  </w:r>
                  <w:r>
                    <w:rPr>
                      <w:rFonts w:hint="eastAsia" w:ascii="Times New Roman" w:hAnsi="Times New Roman"/>
                      <w:b/>
                      <w:bCs/>
                      <w:color w:val="000000" w:themeColor="text1"/>
                      <w:sz w:val="21"/>
                      <w:szCs w:val="21"/>
                      <w:u w:val="none"/>
                      <w14:textFill>
                        <w14:solidFill>
                          <w14:schemeClr w14:val="tx1"/>
                        </w14:solidFill>
                      </w14:textFill>
                    </w:rPr>
                    <w:t>万</w:t>
                  </w:r>
                </w:p>
                <w:p w14:paraId="2FA13A75">
                  <w:pPr>
                    <w:pStyle w:val="23"/>
                    <w:widowControl w:val="0"/>
                    <w:spacing w:before="0" w:beforeAutospacing="0" w:after="0" w:afterAutospacing="0" w:line="240" w:lineRule="auto"/>
                    <w:jc w:val="center"/>
                    <w:rPr>
                      <w:rFonts w:hint="eastAsia" w:ascii="Times New Roman" w:hAnsi="Times New Roman" w:eastAsia="宋体"/>
                      <w:b/>
                      <w:bCs/>
                      <w:color w:val="000000" w:themeColor="text1"/>
                      <w:sz w:val="21"/>
                      <w:szCs w:val="21"/>
                      <w:u w:val="none"/>
                      <w:lang w:eastAsia="zh-CN"/>
                      <w14:textFill>
                        <w14:solidFill>
                          <w14:schemeClr w14:val="tx1"/>
                        </w14:solidFill>
                      </w14:textFill>
                    </w:rPr>
                  </w:pPr>
                  <w:r>
                    <w:rPr>
                      <w:rFonts w:hint="eastAsia" w:ascii="Times New Roman" w:hAnsi="Times New Roman"/>
                      <w:b/>
                      <w:bCs/>
                      <w:color w:val="000000" w:themeColor="text1"/>
                      <w:sz w:val="21"/>
                      <w:szCs w:val="21"/>
                      <w:u w:val="none"/>
                      <w14:textFill>
                        <w14:solidFill>
                          <w14:schemeClr w14:val="tx1"/>
                        </w14:solidFill>
                      </w14:textFill>
                    </w:rPr>
                    <w:t>m</w:t>
                  </w:r>
                  <w:r>
                    <w:rPr>
                      <w:rFonts w:hint="eastAsia" w:ascii="Times New Roman" w:hAnsi="Times New Roman"/>
                      <w:b/>
                      <w:bCs/>
                      <w:color w:val="000000" w:themeColor="text1"/>
                      <w:sz w:val="21"/>
                      <w:szCs w:val="21"/>
                      <w:u w:val="none"/>
                      <w:vertAlign w:val="superscript"/>
                      <w14:textFill>
                        <w14:solidFill>
                          <w14:schemeClr w14:val="tx1"/>
                        </w14:solidFill>
                      </w14:textFill>
                    </w:rPr>
                    <w:t>3</w:t>
                  </w:r>
                  <w:r>
                    <w:rPr>
                      <w:rFonts w:hint="eastAsia" w:ascii="Times New Roman" w:hAnsi="Times New Roman"/>
                      <w:b/>
                      <w:bCs/>
                      <w:color w:val="000000" w:themeColor="text1"/>
                      <w:sz w:val="21"/>
                      <w:szCs w:val="21"/>
                      <w:u w:val="none"/>
                      <w:lang w:eastAsia="zh-CN"/>
                      <w14:textFill>
                        <w14:solidFill>
                          <w14:schemeClr w14:val="tx1"/>
                        </w14:solidFill>
                      </w14:textFill>
                    </w:rPr>
                    <w:t>）</w:t>
                  </w:r>
                </w:p>
              </w:tc>
              <w:tc>
                <w:tcPr>
                  <w:tcW w:w="626" w:type="dxa"/>
                  <w:vAlign w:val="center"/>
                </w:tcPr>
                <w:p w14:paraId="6AF50482">
                  <w:pPr>
                    <w:pStyle w:val="23"/>
                    <w:widowControl w:val="0"/>
                    <w:spacing w:before="0" w:beforeAutospacing="0" w:after="0" w:afterAutospacing="0" w:line="240" w:lineRule="auto"/>
                    <w:jc w:val="center"/>
                    <w:rPr>
                      <w:rFonts w:hint="eastAsia" w:ascii="Times New Roman" w:hAnsi="Times New Roman" w:eastAsia="宋体"/>
                      <w:b/>
                      <w:bCs/>
                      <w:color w:val="000000" w:themeColor="text1"/>
                      <w:sz w:val="21"/>
                      <w:szCs w:val="21"/>
                      <w:u w:val="none"/>
                      <w:lang w:eastAsia="zh-CN"/>
                      <w14:textFill>
                        <w14:solidFill>
                          <w14:schemeClr w14:val="tx1"/>
                        </w14:solidFill>
                      </w14:textFill>
                    </w:rPr>
                  </w:pPr>
                  <w:r>
                    <w:rPr>
                      <w:rFonts w:hint="eastAsia" w:ascii="Times New Roman" w:hAnsi="Times New Roman"/>
                      <w:b/>
                      <w:bCs/>
                      <w:color w:val="000000" w:themeColor="text1"/>
                      <w:sz w:val="21"/>
                      <w:szCs w:val="21"/>
                      <w:u w:val="none"/>
                      <w14:textFill>
                        <w14:solidFill>
                          <w14:schemeClr w14:val="tx1"/>
                        </w14:solidFill>
                      </w14:textFill>
                    </w:rPr>
                    <w:t>渣场等级</w:t>
                  </w:r>
                </w:p>
              </w:tc>
            </w:tr>
            <w:tr w14:paraId="742CB8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81" w:type="dxa"/>
                  <w:vAlign w:val="center"/>
                </w:tcPr>
                <w:p w14:paraId="54EFF562">
                  <w:pPr>
                    <w:pStyle w:val="23"/>
                    <w:widowControl w:val="0"/>
                    <w:spacing w:before="0" w:beforeAutospacing="0" w:after="0" w:afterAutospacing="0" w:line="240" w:lineRule="auto"/>
                    <w:jc w:val="center"/>
                    <w:rPr>
                      <w:rFonts w:hint="eastAsia" w:ascii="Times New Roman" w:hAnsi="Times New Roman"/>
                      <w:color w:val="000000" w:themeColor="text1"/>
                      <w:sz w:val="21"/>
                      <w:szCs w:val="21"/>
                      <w:u w:val="none"/>
                      <w14:textFill>
                        <w14:solidFill>
                          <w14:schemeClr w14:val="tx1"/>
                        </w14:solidFill>
                      </w14:textFill>
                    </w:rPr>
                  </w:pPr>
                  <w:r>
                    <w:rPr>
                      <w:rFonts w:hint="eastAsia" w:ascii="Times New Roman" w:hAnsi="Times New Roman"/>
                      <w:color w:val="000000" w:themeColor="text1"/>
                      <w:sz w:val="21"/>
                      <w:szCs w:val="21"/>
                      <w:u w:val="none"/>
                      <w14:textFill>
                        <w14:solidFill>
                          <w14:schemeClr w14:val="tx1"/>
                        </w14:solidFill>
                      </w14:textFill>
                    </w:rPr>
                    <w:t>Z1</w:t>
                  </w:r>
                </w:p>
              </w:tc>
              <w:tc>
                <w:tcPr>
                  <w:tcW w:w="1306" w:type="dxa"/>
                  <w:vAlign w:val="center"/>
                </w:tcPr>
                <w:p w14:paraId="709217C4">
                  <w:pPr>
                    <w:pStyle w:val="23"/>
                    <w:widowControl w:val="0"/>
                    <w:spacing w:before="0" w:beforeAutospacing="0" w:after="0" w:afterAutospacing="0" w:line="240" w:lineRule="auto"/>
                    <w:jc w:val="center"/>
                    <w:rPr>
                      <w:rFonts w:hint="eastAsia" w:ascii="Times New Roman" w:hAnsi="Times New Roman"/>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进场道路起点</w:t>
                  </w:r>
                </w:p>
                <w:p w14:paraId="1EAEBA36">
                  <w:pPr>
                    <w:pStyle w:val="23"/>
                    <w:widowControl w:val="0"/>
                    <w:spacing w:before="0" w:beforeAutospacing="0" w:after="0" w:afterAutospacing="0" w:line="240" w:lineRule="auto"/>
                    <w:jc w:val="center"/>
                    <w:rPr>
                      <w:rFonts w:hint="default" w:ascii="Times New Roman" w:hAnsi="Times New Roman" w:eastAsia="宋体"/>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西侧</w:t>
                  </w:r>
                </w:p>
              </w:tc>
              <w:tc>
                <w:tcPr>
                  <w:tcW w:w="535" w:type="dxa"/>
                  <w:vAlign w:val="center"/>
                </w:tcPr>
                <w:p w14:paraId="1D7CA535">
                  <w:pPr>
                    <w:pStyle w:val="23"/>
                    <w:widowControl w:val="0"/>
                    <w:spacing w:before="0" w:beforeAutospacing="0" w:after="0" w:afterAutospacing="0" w:line="240" w:lineRule="auto"/>
                    <w:jc w:val="center"/>
                    <w:rPr>
                      <w:rFonts w:hint="default" w:ascii="Times New Roman" w:hAnsi="Times New Roman" w:eastAsia="宋体"/>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山凹</w:t>
                  </w:r>
                </w:p>
              </w:tc>
              <w:tc>
                <w:tcPr>
                  <w:tcW w:w="879" w:type="dxa"/>
                  <w:vAlign w:val="center"/>
                </w:tcPr>
                <w:p w14:paraId="292F6C23">
                  <w:pPr>
                    <w:pStyle w:val="23"/>
                    <w:widowControl w:val="0"/>
                    <w:spacing w:before="0" w:beforeAutospacing="0" w:after="0" w:afterAutospacing="0" w:line="240" w:lineRule="auto"/>
                    <w:jc w:val="center"/>
                    <w:rPr>
                      <w:rFonts w:hint="default" w:ascii="Times New Roman" w:hAnsi="Times New Roman" w:eastAsia="宋体"/>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0.24</w:t>
                  </w:r>
                </w:p>
              </w:tc>
              <w:tc>
                <w:tcPr>
                  <w:tcW w:w="637" w:type="dxa"/>
                  <w:vAlign w:val="center"/>
                </w:tcPr>
                <w:p w14:paraId="42D9663D">
                  <w:pPr>
                    <w:pStyle w:val="23"/>
                    <w:widowControl w:val="0"/>
                    <w:spacing w:before="0" w:beforeAutospacing="0" w:after="0" w:afterAutospacing="0" w:line="240" w:lineRule="auto"/>
                    <w:jc w:val="center"/>
                    <w:rPr>
                      <w:rFonts w:hint="eastAsia" w:ascii="Times New Roman" w:hAnsi="Times New Roman"/>
                      <w:color w:val="000000" w:themeColor="text1"/>
                      <w:sz w:val="21"/>
                      <w:szCs w:val="21"/>
                      <w:u w:val="none"/>
                      <w14:textFill>
                        <w14:solidFill>
                          <w14:schemeClr w14:val="tx1"/>
                        </w14:solidFill>
                      </w14:textFill>
                    </w:rPr>
                  </w:pPr>
                  <w:r>
                    <w:rPr>
                      <w:rFonts w:hint="eastAsia" w:ascii="Times New Roman" w:hAnsi="Times New Roman"/>
                      <w:color w:val="000000" w:themeColor="text1"/>
                      <w:sz w:val="21"/>
                      <w:szCs w:val="21"/>
                      <w:u w:val="none"/>
                      <w14:textFill>
                        <w14:solidFill>
                          <w14:schemeClr w14:val="tx1"/>
                        </w14:solidFill>
                      </w14:textFill>
                    </w:rPr>
                    <w:t>沟道</w:t>
                  </w:r>
                </w:p>
                <w:p w14:paraId="21AA9001">
                  <w:pPr>
                    <w:pStyle w:val="23"/>
                    <w:widowControl w:val="0"/>
                    <w:spacing w:before="0" w:beforeAutospacing="0" w:after="0" w:afterAutospacing="0" w:line="240" w:lineRule="auto"/>
                    <w:jc w:val="center"/>
                    <w:rPr>
                      <w:rFonts w:hint="eastAsia" w:ascii="Times New Roman" w:hAnsi="Times New Roman"/>
                      <w:color w:val="000000" w:themeColor="text1"/>
                      <w:sz w:val="21"/>
                      <w:szCs w:val="21"/>
                      <w:u w:val="none"/>
                      <w14:textFill>
                        <w14:solidFill>
                          <w14:schemeClr w14:val="tx1"/>
                        </w14:solidFill>
                      </w14:textFill>
                    </w:rPr>
                  </w:pPr>
                  <w:r>
                    <w:rPr>
                      <w:rFonts w:hint="eastAsia" w:ascii="Times New Roman" w:hAnsi="Times New Roman"/>
                      <w:color w:val="000000" w:themeColor="text1"/>
                      <w:sz w:val="21"/>
                      <w:szCs w:val="21"/>
                      <w:u w:val="none"/>
                      <w14:textFill>
                        <w14:solidFill>
                          <w14:schemeClr w14:val="tx1"/>
                        </w14:solidFill>
                      </w14:textFill>
                    </w:rPr>
                    <w:t>型</w:t>
                  </w:r>
                </w:p>
              </w:tc>
              <w:tc>
                <w:tcPr>
                  <w:tcW w:w="625" w:type="dxa"/>
                  <w:vAlign w:val="center"/>
                </w:tcPr>
                <w:p w14:paraId="430EAC52">
                  <w:pPr>
                    <w:pStyle w:val="23"/>
                    <w:widowControl w:val="0"/>
                    <w:spacing w:before="0" w:beforeAutospacing="0" w:after="0" w:afterAutospacing="0" w:line="240" w:lineRule="auto"/>
                    <w:jc w:val="center"/>
                    <w:rPr>
                      <w:rFonts w:hint="default" w:ascii="Times New Roman" w:hAnsi="Times New Roman"/>
                      <w:color w:val="FF0000"/>
                      <w:sz w:val="21"/>
                      <w:szCs w:val="21"/>
                      <w:u w:val="none"/>
                      <w:lang w:val="en-US" w:eastAsia="zh-CN"/>
                    </w:rPr>
                  </w:pPr>
                  <w:r>
                    <w:rPr>
                      <w:rFonts w:hint="eastAsia" w:ascii="Times New Roman" w:hAnsi="Times New Roman"/>
                      <w:color w:val="000000" w:themeColor="text1"/>
                      <w:sz w:val="21"/>
                      <w:szCs w:val="21"/>
                      <w:u w:val="none"/>
                      <w:lang w:val="en-US" w:eastAsia="zh-CN"/>
                      <w14:textFill>
                        <w14:solidFill>
                          <w14:schemeClr w14:val="tx1"/>
                        </w14:solidFill>
                      </w14:textFill>
                    </w:rPr>
                    <w:t>2.80</w:t>
                  </w:r>
                </w:p>
              </w:tc>
              <w:tc>
                <w:tcPr>
                  <w:tcW w:w="673" w:type="dxa"/>
                  <w:vAlign w:val="center"/>
                </w:tcPr>
                <w:p w14:paraId="660F40FC">
                  <w:pPr>
                    <w:pStyle w:val="23"/>
                    <w:widowControl w:val="0"/>
                    <w:spacing w:before="0" w:beforeAutospacing="0" w:after="0" w:afterAutospacing="0" w:line="240" w:lineRule="auto"/>
                    <w:jc w:val="center"/>
                    <w:rPr>
                      <w:rFonts w:hint="default" w:ascii="Times New Roman" w:hAnsi="Times New Roman"/>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13</w:t>
                  </w:r>
                </w:p>
              </w:tc>
              <w:tc>
                <w:tcPr>
                  <w:tcW w:w="673" w:type="dxa"/>
                  <w:vAlign w:val="center"/>
                </w:tcPr>
                <w:p w14:paraId="64F485BD">
                  <w:pPr>
                    <w:pStyle w:val="23"/>
                    <w:widowControl w:val="0"/>
                    <w:spacing w:before="0" w:beforeAutospacing="0" w:after="0" w:afterAutospacing="0" w:line="240" w:lineRule="auto"/>
                    <w:jc w:val="center"/>
                    <w:rPr>
                      <w:rFonts w:hint="default" w:ascii="Times New Roman" w:hAnsi="Times New Roman" w:eastAsia="宋体"/>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19</w:t>
                  </w:r>
                </w:p>
              </w:tc>
              <w:tc>
                <w:tcPr>
                  <w:tcW w:w="881" w:type="dxa"/>
                  <w:vAlign w:val="center"/>
                </w:tcPr>
                <w:p w14:paraId="2467952D">
                  <w:pPr>
                    <w:pStyle w:val="23"/>
                    <w:widowControl w:val="0"/>
                    <w:spacing w:before="0" w:beforeAutospacing="0" w:after="0" w:afterAutospacing="0" w:line="240" w:lineRule="auto"/>
                    <w:jc w:val="center"/>
                    <w:rPr>
                      <w:rFonts w:hint="default" w:ascii="Times New Roman" w:hAnsi="Times New Roman" w:eastAsia="宋体"/>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0.018</w:t>
                  </w:r>
                </w:p>
              </w:tc>
              <w:tc>
                <w:tcPr>
                  <w:tcW w:w="622" w:type="dxa"/>
                  <w:vAlign w:val="center"/>
                </w:tcPr>
                <w:p w14:paraId="4FE4EBC0">
                  <w:pPr>
                    <w:pStyle w:val="23"/>
                    <w:widowControl w:val="0"/>
                    <w:spacing w:before="0" w:beforeAutospacing="0" w:after="0" w:afterAutospacing="0" w:line="240" w:lineRule="auto"/>
                    <w:jc w:val="center"/>
                    <w:rPr>
                      <w:rFonts w:hint="default" w:ascii="Times New Roman" w:hAnsi="Times New Roman" w:eastAsia="宋体"/>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3.12</w:t>
                  </w:r>
                </w:p>
              </w:tc>
              <w:tc>
                <w:tcPr>
                  <w:tcW w:w="626" w:type="dxa"/>
                  <w:vAlign w:val="center"/>
                </w:tcPr>
                <w:p w14:paraId="19AD6CB3">
                  <w:pPr>
                    <w:pStyle w:val="23"/>
                    <w:widowControl w:val="0"/>
                    <w:spacing w:before="0" w:beforeAutospacing="0" w:after="0" w:afterAutospacing="0" w:line="240" w:lineRule="auto"/>
                    <w:jc w:val="center"/>
                    <w:rPr>
                      <w:rFonts w:hint="default" w:ascii="Times New Roman" w:hAnsi="Times New Roman" w:eastAsia="宋体"/>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14:textFill>
                        <w14:solidFill>
                          <w14:schemeClr w14:val="tx1"/>
                        </w14:solidFill>
                      </w14:textFill>
                    </w:rPr>
                    <w:t>5级</w:t>
                  </w:r>
                </w:p>
              </w:tc>
            </w:tr>
            <w:tr w14:paraId="7D5F58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81" w:type="dxa"/>
                  <w:vAlign w:val="center"/>
                </w:tcPr>
                <w:p w14:paraId="4F34C1F4">
                  <w:pPr>
                    <w:pStyle w:val="23"/>
                    <w:widowControl w:val="0"/>
                    <w:spacing w:before="0" w:beforeAutospacing="0" w:after="0" w:afterAutospacing="0" w:line="240" w:lineRule="auto"/>
                    <w:jc w:val="center"/>
                    <w:rPr>
                      <w:rFonts w:hint="eastAsia" w:ascii="Times New Roman" w:hAnsi="Times New Roman"/>
                      <w:color w:val="000000" w:themeColor="text1"/>
                      <w:sz w:val="21"/>
                      <w:szCs w:val="21"/>
                      <w:u w:val="none"/>
                      <w14:textFill>
                        <w14:solidFill>
                          <w14:schemeClr w14:val="tx1"/>
                        </w14:solidFill>
                      </w14:textFill>
                    </w:rPr>
                  </w:pPr>
                  <w:r>
                    <w:rPr>
                      <w:rFonts w:hint="eastAsia" w:ascii="Times New Roman" w:hAnsi="Times New Roman"/>
                      <w:color w:val="000000" w:themeColor="text1"/>
                      <w:sz w:val="21"/>
                      <w:szCs w:val="21"/>
                      <w:u w:val="none"/>
                      <w14:textFill>
                        <w14:solidFill>
                          <w14:schemeClr w14:val="tx1"/>
                        </w14:solidFill>
                      </w14:textFill>
                    </w:rPr>
                    <w:t>Z2</w:t>
                  </w:r>
                </w:p>
              </w:tc>
              <w:tc>
                <w:tcPr>
                  <w:tcW w:w="1306" w:type="dxa"/>
                  <w:vAlign w:val="center"/>
                </w:tcPr>
                <w:p w14:paraId="122FBBC0">
                  <w:pPr>
                    <w:pStyle w:val="23"/>
                    <w:widowControl w:val="0"/>
                    <w:spacing w:before="0" w:beforeAutospacing="0" w:after="0" w:afterAutospacing="0" w:line="240" w:lineRule="auto"/>
                    <w:jc w:val="center"/>
                    <w:rPr>
                      <w:rFonts w:hint="default" w:ascii="Times New Roman" w:hAnsi="Times New Roman" w:eastAsia="宋体"/>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升压站东侧</w:t>
                  </w:r>
                </w:p>
              </w:tc>
              <w:tc>
                <w:tcPr>
                  <w:tcW w:w="535" w:type="dxa"/>
                  <w:vAlign w:val="center"/>
                </w:tcPr>
                <w:p w14:paraId="612C4AEF">
                  <w:pPr>
                    <w:widowControl w:val="0"/>
                    <w:spacing w:before="0" w:beforeAutospacing="0" w:after="0" w:afterAutospacing="0" w:line="240" w:lineRule="auto"/>
                    <w:jc w:val="center"/>
                    <w:rPr>
                      <w:rFonts w:hint="eastAsia" w:ascii="Times New Roman" w:hAnsi="Times New Roman"/>
                      <w:color w:val="000000" w:themeColor="text1"/>
                      <w:sz w:val="21"/>
                      <w:szCs w:val="21"/>
                      <w:u w:val="none"/>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山凹</w:t>
                  </w:r>
                </w:p>
              </w:tc>
              <w:tc>
                <w:tcPr>
                  <w:tcW w:w="879" w:type="dxa"/>
                  <w:vAlign w:val="center"/>
                </w:tcPr>
                <w:p w14:paraId="2420545A">
                  <w:pPr>
                    <w:pStyle w:val="23"/>
                    <w:widowControl w:val="0"/>
                    <w:spacing w:before="0" w:beforeAutospacing="0" w:after="0" w:afterAutospacing="0" w:line="240" w:lineRule="auto"/>
                    <w:jc w:val="center"/>
                    <w:rPr>
                      <w:rFonts w:hint="default" w:ascii="Times New Roman" w:hAnsi="Times New Roman" w:eastAsia="宋体"/>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0.94</w:t>
                  </w:r>
                </w:p>
              </w:tc>
              <w:tc>
                <w:tcPr>
                  <w:tcW w:w="637" w:type="dxa"/>
                  <w:vAlign w:val="center"/>
                </w:tcPr>
                <w:p w14:paraId="307804AE">
                  <w:pPr>
                    <w:pStyle w:val="23"/>
                    <w:widowControl w:val="0"/>
                    <w:spacing w:before="0" w:beforeAutospacing="0" w:after="0" w:afterAutospacing="0" w:line="240" w:lineRule="auto"/>
                    <w:jc w:val="center"/>
                    <w:rPr>
                      <w:rFonts w:hint="eastAsia" w:ascii="Times New Roman" w:hAnsi="Times New Roman"/>
                      <w:color w:val="000000" w:themeColor="text1"/>
                      <w:sz w:val="21"/>
                      <w:szCs w:val="21"/>
                      <w:u w:val="none"/>
                      <w14:textFill>
                        <w14:solidFill>
                          <w14:schemeClr w14:val="tx1"/>
                        </w14:solidFill>
                      </w14:textFill>
                    </w:rPr>
                  </w:pPr>
                  <w:r>
                    <w:rPr>
                      <w:rFonts w:hint="eastAsia" w:ascii="Times New Roman" w:hAnsi="Times New Roman"/>
                      <w:color w:val="000000" w:themeColor="text1"/>
                      <w:sz w:val="21"/>
                      <w:szCs w:val="21"/>
                      <w:u w:val="none"/>
                      <w14:textFill>
                        <w14:solidFill>
                          <w14:schemeClr w14:val="tx1"/>
                        </w14:solidFill>
                      </w14:textFill>
                    </w:rPr>
                    <w:t>沟道型</w:t>
                  </w:r>
                </w:p>
              </w:tc>
              <w:tc>
                <w:tcPr>
                  <w:tcW w:w="625" w:type="dxa"/>
                  <w:vAlign w:val="center"/>
                </w:tcPr>
                <w:p w14:paraId="5761BB65">
                  <w:pPr>
                    <w:pStyle w:val="23"/>
                    <w:widowControl w:val="0"/>
                    <w:spacing w:before="0" w:beforeAutospacing="0" w:after="0" w:afterAutospacing="0" w:line="240" w:lineRule="auto"/>
                    <w:jc w:val="center"/>
                    <w:rPr>
                      <w:rFonts w:hint="default" w:ascii="Times New Roman" w:hAnsi="Times New Roman" w:eastAsia="宋体"/>
                      <w:color w:val="FF0000"/>
                      <w:sz w:val="21"/>
                      <w:szCs w:val="21"/>
                      <w:u w:val="none"/>
                      <w:lang w:val="en-US" w:eastAsia="zh-CN"/>
                    </w:rPr>
                  </w:pPr>
                  <w:r>
                    <w:rPr>
                      <w:rFonts w:hint="eastAsia" w:ascii="Times New Roman" w:hAnsi="Times New Roman"/>
                      <w:color w:val="000000" w:themeColor="text1"/>
                      <w:sz w:val="21"/>
                      <w:szCs w:val="21"/>
                      <w:u w:val="none"/>
                      <w:lang w:val="en-US" w:eastAsia="zh-CN"/>
                      <w14:textFill>
                        <w14:solidFill>
                          <w14:schemeClr w14:val="tx1"/>
                        </w14:solidFill>
                      </w14:textFill>
                    </w:rPr>
                    <w:t>10.28</w:t>
                  </w:r>
                </w:p>
              </w:tc>
              <w:tc>
                <w:tcPr>
                  <w:tcW w:w="673" w:type="dxa"/>
                  <w:vAlign w:val="center"/>
                </w:tcPr>
                <w:p w14:paraId="61857481">
                  <w:pPr>
                    <w:pStyle w:val="23"/>
                    <w:widowControl w:val="0"/>
                    <w:spacing w:before="0" w:beforeAutospacing="0" w:after="0" w:afterAutospacing="0" w:line="240" w:lineRule="auto"/>
                    <w:jc w:val="center"/>
                    <w:rPr>
                      <w:rFonts w:hint="default" w:ascii="Times New Roman" w:hAnsi="Times New Roman" w:eastAsia="宋体"/>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12</w:t>
                  </w:r>
                </w:p>
              </w:tc>
              <w:tc>
                <w:tcPr>
                  <w:tcW w:w="673" w:type="dxa"/>
                  <w:vAlign w:val="center"/>
                </w:tcPr>
                <w:p w14:paraId="07EF3DF4">
                  <w:pPr>
                    <w:pStyle w:val="23"/>
                    <w:widowControl w:val="0"/>
                    <w:spacing w:before="0" w:beforeAutospacing="0" w:after="0" w:afterAutospacing="0" w:line="240" w:lineRule="auto"/>
                    <w:jc w:val="center"/>
                    <w:rPr>
                      <w:rFonts w:hint="default" w:ascii="Times New Roman" w:hAnsi="Times New Roman" w:eastAsia="宋体"/>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19</w:t>
                  </w:r>
                </w:p>
              </w:tc>
              <w:tc>
                <w:tcPr>
                  <w:tcW w:w="881" w:type="dxa"/>
                  <w:vAlign w:val="center"/>
                </w:tcPr>
                <w:p w14:paraId="6CE93243">
                  <w:pPr>
                    <w:pStyle w:val="23"/>
                    <w:widowControl w:val="0"/>
                    <w:spacing w:before="0" w:beforeAutospacing="0" w:after="0" w:afterAutospacing="0" w:line="240" w:lineRule="auto"/>
                    <w:jc w:val="center"/>
                    <w:rPr>
                      <w:rFonts w:hint="default" w:ascii="Times New Roman" w:hAnsi="Times New Roman" w:eastAsia="宋体"/>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0.045</w:t>
                  </w:r>
                </w:p>
              </w:tc>
              <w:tc>
                <w:tcPr>
                  <w:tcW w:w="622" w:type="dxa"/>
                  <w:vAlign w:val="center"/>
                </w:tcPr>
                <w:p w14:paraId="5B988790">
                  <w:pPr>
                    <w:pStyle w:val="23"/>
                    <w:widowControl w:val="0"/>
                    <w:spacing w:before="0" w:beforeAutospacing="0" w:after="0" w:afterAutospacing="0" w:line="240" w:lineRule="auto"/>
                    <w:jc w:val="center"/>
                    <w:rPr>
                      <w:rFonts w:hint="default" w:ascii="Times New Roman" w:hAnsi="Times New Roman" w:eastAsia="宋体"/>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11.28</w:t>
                  </w:r>
                </w:p>
              </w:tc>
              <w:tc>
                <w:tcPr>
                  <w:tcW w:w="626" w:type="dxa"/>
                  <w:vAlign w:val="center"/>
                </w:tcPr>
                <w:p w14:paraId="7EAB11A1">
                  <w:pPr>
                    <w:pStyle w:val="23"/>
                    <w:widowControl w:val="0"/>
                    <w:spacing w:before="0" w:beforeAutospacing="0" w:after="0" w:afterAutospacing="0" w:line="240" w:lineRule="auto"/>
                    <w:jc w:val="center"/>
                    <w:rPr>
                      <w:rFonts w:hint="default" w:ascii="Times New Roman" w:hAnsi="Times New Roman" w:eastAsia="宋体"/>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14:textFill>
                        <w14:solidFill>
                          <w14:schemeClr w14:val="tx1"/>
                        </w14:solidFill>
                      </w14:textFill>
                    </w:rPr>
                    <w:t>5级</w:t>
                  </w:r>
                </w:p>
              </w:tc>
            </w:tr>
            <w:tr w14:paraId="720BF1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81" w:type="dxa"/>
                  <w:vAlign w:val="center"/>
                </w:tcPr>
                <w:p w14:paraId="20ADBD6C">
                  <w:pPr>
                    <w:pStyle w:val="23"/>
                    <w:widowControl w:val="0"/>
                    <w:spacing w:before="0" w:beforeAutospacing="0" w:after="0" w:afterAutospacing="0" w:line="240" w:lineRule="auto"/>
                    <w:jc w:val="center"/>
                    <w:rPr>
                      <w:rFonts w:hint="eastAsia" w:ascii="Times New Roman" w:hAnsi="Times New Roman"/>
                      <w:color w:val="000000" w:themeColor="text1"/>
                      <w:sz w:val="21"/>
                      <w:szCs w:val="21"/>
                      <w:u w:val="none"/>
                      <w14:textFill>
                        <w14:solidFill>
                          <w14:schemeClr w14:val="tx1"/>
                        </w14:solidFill>
                      </w14:textFill>
                    </w:rPr>
                  </w:pPr>
                  <w:r>
                    <w:rPr>
                      <w:rFonts w:hint="eastAsia" w:ascii="Times New Roman" w:hAnsi="Times New Roman"/>
                      <w:color w:val="000000" w:themeColor="text1"/>
                      <w:sz w:val="21"/>
                      <w:szCs w:val="21"/>
                      <w:u w:val="none"/>
                      <w14:textFill>
                        <w14:solidFill>
                          <w14:schemeClr w14:val="tx1"/>
                        </w14:solidFill>
                      </w14:textFill>
                    </w:rPr>
                    <w:t>Z3</w:t>
                  </w:r>
                </w:p>
              </w:tc>
              <w:tc>
                <w:tcPr>
                  <w:tcW w:w="1306" w:type="dxa"/>
                  <w:vAlign w:val="center"/>
                </w:tcPr>
                <w:p w14:paraId="02B7CCAD">
                  <w:pPr>
                    <w:widowControl w:val="0"/>
                    <w:spacing w:before="0" w:beforeAutospacing="0" w:after="0" w:afterAutospacing="0" w:line="240" w:lineRule="auto"/>
                    <w:jc w:val="center"/>
                    <w:rPr>
                      <w:rFonts w:hint="default" w:ascii="Times New Roman" w:hAnsi="Times New Roman" w:eastAsia="宋体"/>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2#风机东北侧</w:t>
                  </w:r>
                </w:p>
              </w:tc>
              <w:tc>
                <w:tcPr>
                  <w:tcW w:w="535" w:type="dxa"/>
                  <w:vAlign w:val="center"/>
                </w:tcPr>
                <w:p w14:paraId="48C856E9">
                  <w:pPr>
                    <w:widowControl w:val="0"/>
                    <w:spacing w:before="0" w:beforeAutospacing="0" w:after="0" w:afterAutospacing="0" w:line="240" w:lineRule="auto"/>
                    <w:jc w:val="center"/>
                    <w:rPr>
                      <w:rFonts w:hint="eastAsia" w:ascii="Times New Roman" w:hAnsi="Times New Roman"/>
                      <w:color w:val="000000" w:themeColor="text1"/>
                      <w:sz w:val="21"/>
                      <w:szCs w:val="21"/>
                      <w:u w:val="none"/>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山凹</w:t>
                  </w:r>
                </w:p>
              </w:tc>
              <w:tc>
                <w:tcPr>
                  <w:tcW w:w="879" w:type="dxa"/>
                  <w:vAlign w:val="center"/>
                </w:tcPr>
                <w:p w14:paraId="31330787">
                  <w:pPr>
                    <w:pStyle w:val="23"/>
                    <w:widowControl w:val="0"/>
                    <w:spacing w:before="0" w:beforeAutospacing="0" w:after="0" w:afterAutospacing="0" w:line="240" w:lineRule="auto"/>
                    <w:jc w:val="center"/>
                    <w:rPr>
                      <w:rFonts w:hint="default" w:ascii="Times New Roman" w:hAnsi="Times New Roman" w:eastAsia="宋体"/>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0.64</w:t>
                  </w:r>
                </w:p>
              </w:tc>
              <w:tc>
                <w:tcPr>
                  <w:tcW w:w="637" w:type="dxa"/>
                  <w:vAlign w:val="center"/>
                </w:tcPr>
                <w:p w14:paraId="4E2A636B">
                  <w:pPr>
                    <w:pStyle w:val="23"/>
                    <w:widowControl w:val="0"/>
                    <w:spacing w:before="0" w:beforeAutospacing="0" w:after="0" w:afterAutospacing="0" w:line="240" w:lineRule="auto"/>
                    <w:jc w:val="center"/>
                    <w:rPr>
                      <w:rFonts w:hint="eastAsia" w:ascii="Times New Roman" w:hAnsi="Times New Roman"/>
                      <w:color w:val="000000" w:themeColor="text1"/>
                      <w:sz w:val="21"/>
                      <w:szCs w:val="21"/>
                      <w:u w:val="none"/>
                      <w14:textFill>
                        <w14:solidFill>
                          <w14:schemeClr w14:val="tx1"/>
                        </w14:solidFill>
                      </w14:textFill>
                    </w:rPr>
                  </w:pPr>
                  <w:r>
                    <w:rPr>
                      <w:rFonts w:hint="eastAsia" w:ascii="Times New Roman" w:hAnsi="Times New Roman"/>
                      <w:color w:val="000000" w:themeColor="text1"/>
                      <w:sz w:val="21"/>
                      <w:szCs w:val="21"/>
                      <w:u w:val="none"/>
                      <w14:textFill>
                        <w14:solidFill>
                          <w14:schemeClr w14:val="tx1"/>
                        </w14:solidFill>
                      </w14:textFill>
                    </w:rPr>
                    <w:t>沟道</w:t>
                  </w:r>
                </w:p>
                <w:p w14:paraId="6D4F3572">
                  <w:pPr>
                    <w:pStyle w:val="23"/>
                    <w:widowControl w:val="0"/>
                    <w:spacing w:before="0" w:beforeAutospacing="0" w:after="0" w:afterAutospacing="0" w:line="240" w:lineRule="auto"/>
                    <w:jc w:val="center"/>
                    <w:rPr>
                      <w:rFonts w:hint="eastAsia" w:ascii="Times New Roman" w:hAnsi="Times New Roman" w:eastAsia="宋体"/>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14:textFill>
                        <w14:solidFill>
                          <w14:schemeClr w14:val="tx1"/>
                        </w14:solidFill>
                      </w14:textFill>
                    </w:rPr>
                    <w:t>型</w:t>
                  </w:r>
                </w:p>
              </w:tc>
              <w:tc>
                <w:tcPr>
                  <w:tcW w:w="625" w:type="dxa"/>
                  <w:vAlign w:val="center"/>
                </w:tcPr>
                <w:p w14:paraId="448352A7">
                  <w:pPr>
                    <w:pStyle w:val="23"/>
                    <w:widowControl w:val="0"/>
                    <w:spacing w:before="0" w:beforeAutospacing="0" w:after="0" w:afterAutospacing="0" w:line="240" w:lineRule="auto"/>
                    <w:jc w:val="center"/>
                    <w:rPr>
                      <w:rFonts w:hint="default" w:ascii="Times New Roman" w:hAnsi="Times New Roman" w:eastAsia="宋体"/>
                      <w:color w:val="FF0000"/>
                      <w:sz w:val="21"/>
                      <w:szCs w:val="21"/>
                      <w:u w:val="none"/>
                      <w:lang w:val="en-US" w:eastAsia="zh-CN"/>
                    </w:rPr>
                  </w:pPr>
                  <w:r>
                    <w:rPr>
                      <w:rFonts w:hint="eastAsia" w:ascii="Times New Roman" w:hAnsi="Times New Roman"/>
                      <w:color w:val="000000" w:themeColor="text1"/>
                      <w:sz w:val="21"/>
                      <w:szCs w:val="21"/>
                      <w:u w:val="none"/>
                      <w:lang w:val="en-US" w:eastAsia="zh-CN"/>
                      <w14:textFill>
                        <w14:solidFill>
                          <w14:schemeClr w14:val="tx1"/>
                        </w14:solidFill>
                      </w14:textFill>
                    </w:rPr>
                    <w:t>7.17</w:t>
                  </w:r>
                </w:p>
              </w:tc>
              <w:tc>
                <w:tcPr>
                  <w:tcW w:w="673" w:type="dxa"/>
                  <w:vAlign w:val="center"/>
                </w:tcPr>
                <w:p w14:paraId="5C2899D8">
                  <w:pPr>
                    <w:widowControl w:val="0"/>
                    <w:spacing w:before="0" w:beforeAutospacing="0" w:after="0" w:afterAutospacing="0" w:line="240" w:lineRule="auto"/>
                    <w:jc w:val="center"/>
                    <w:rPr>
                      <w:rFonts w:hint="default" w:ascii="Times New Roman" w:hAnsi="Times New Roman" w:eastAsia="宋体"/>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12</w:t>
                  </w:r>
                </w:p>
              </w:tc>
              <w:tc>
                <w:tcPr>
                  <w:tcW w:w="673" w:type="dxa"/>
                  <w:vAlign w:val="center"/>
                </w:tcPr>
                <w:p w14:paraId="237FD309">
                  <w:pPr>
                    <w:pStyle w:val="23"/>
                    <w:widowControl w:val="0"/>
                    <w:spacing w:before="0" w:beforeAutospacing="0" w:after="0" w:afterAutospacing="0" w:line="240" w:lineRule="auto"/>
                    <w:jc w:val="center"/>
                    <w:rPr>
                      <w:rFonts w:hint="default" w:ascii="Times New Roman" w:hAnsi="Times New Roman" w:eastAsia="宋体"/>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18</w:t>
                  </w:r>
                </w:p>
              </w:tc>
              <w:tc>
                <w:tcPr>
                  <w:tcW w:w="881" w:type="dxa"/>
                  <w:vAlign w:val="center"/>
                </w:tcPr>
                <w:p w14:paraId="1A5D980C">
                  <w:pPr>
                    <w:pStyle w:val="23"/>
                    <w:widowControl w:val="0"/>
                    <w:spacing w:before="0" w:beforeAutospacing="0" w:after="0" w:afterAutospacing="0" w:line="240" w:lineRule="auto"/>
                    <w:jc w:val="center"/>
                    <w:rPr>
                      <w:rFonts w:hint="default" w:ascii="Times New Roman" w:hAnsi="Times New Roman" w:eastAsia="宋体"/>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0.043</w:t>
                  </w:r>
                </w:p>
              </w:tc>
              <w:tc>
                <w:tcPr>
                  <w:tcW w:w="622" w:type="dxa"/>
                  <w:vAlign w:val="center"/>
                </w:tcPr>
                <w:p w14:paraId="099586A2">
                  <w:pPr>
                    <w:pStyle w:val="23"/>
                    <w:widowControl w:val="0"/>
                    <w:spacing w:before="0" w:beforeAutospacing="0" w:after="0" w:afterAutospacing="0" w:line="240" w:lineRule="auto"/>
                    <w:jc w:val="center"/>
                    <w:rPr>
                      <w:rFonts w:hint="default" w:ascii="Times New Roman" w:hAnsi="Times New Roman" w:eastAsia="宋体"/>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7.68</w:t>
                  </w:r>
                </w:p>
              </w:tc>
              <w:tc>
                <w:tcPr>
                  <w:tcW w:w="626" w:type="dxa"/>
                  <w:vAlign w:val="center"/>
                </w:tcPr>
                <w:p w14:paraId="613A149C">
                  <w:pPr>
                    <w:pStyle w:val="23"/>
                    <w:widowControl w:val="0"/>
                    <w:spacing w:before="0" w:beforeAutospacing="0" w:after="0" w:afterAutospacing="0" w:line="240" w:lineRule="auto"/>
                    <w:jc w:val="center"/>
                    <w:rPr>
                      <w:rFonts w:hint="default" w:ascii="Times New Roman" w:hAnsi="Times New Roman" w:eastAsia="宋体"/>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14:textFill>
                        <w14:solidFill>
                          <w14:schemeClr w14:val="tx1"/>
                        </w14:solidFill>
                      </w14:textFill>
                    </w:rPr>
                    <w:t>5级</w:t>
                  </w:r>
                </w:p>
              </w:tc>
            </w:tr>
            <w:tr w14:paraId="4ACD67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81" w:type="dxa"/>
                  <w:vAlign w:val="center"/>
                </w:tcPr>
                <w:p w14:paraId="765F8C23">
                  <w:pPr>
                    <w:pStyle w:val="23"/>
                    <w:widowControl w:val="0"/>
                    <w:spacing w:before="0" w:beforeAutospacing="0" w:after="0" w:afterAutospacing="0" w:line="240" w:lineRule="auto"/>
                    <w:jc w:val="center"/>
                    <w:rPr>
                      <w:rFonts w:hint="eastAsia" w:ascii="Times New Roman" w:hAnsi="Times New Roman" w:eastAsia="宋体"/>
                      <w:color w:val="000000" w:themeColor="text1"/>
                      <w:sz w:val="21"/>
                      <w:szCs w:val="21"/>
                      <w:u w:val="none"/>
                      <w:lang w:eastAsia="zh-CN"/>
                      <w14:textFill>
                        <w14:solidFill>
                          <w14:schemeClr w14:val="tx1"/>
                        </w14:solidFill>
                      </w14:textFill>
                    </w:rPr>
                  </w:pPr>
                  <w:r>
                    <w:rPr>
                      <w:rFonts w:hint="eastAsia" w:ascii="Times New Roman" w:hAnsi="Times New Roman"/>
                      <w:color w:val="000000" w:themeColor="text1"/>
                      <w:sz w:val="21"/>
                      <w:szCs w:val="21"/>
                      <w:u w:val="none"/>
                      <w14:textFill>
                        <w14:solidFill>
                          <w14:schemeClr w14:val="tx1"/>
                        </w14:solidFill>
                      </w14:textFill>
                    </w:rPr>
                    <w:t>Z</w:t>
                  </w:r>
                  <w:r>
                    <w:rPr>
                      <w:rFonts w:hint="eastAsia" w:ascii="Times New Roman" w:hAnsi="Times New Roman"/>
                      <w:color w:val="000000" w:themeColor="text1"/>
                      <w:sz w:val="21"/>
                      <w:szCs w:val="21"/>
                      <w:u w:val="none"/>
                      <w:lang w:val="en-US" w:eastAsia="zh-CN"/>
                      <w14:textFill>
                        <w14:solidFill>
                          <w14:schemeClr w14:val="tx1"/>
                        </w14:solidFill>
                      </w14:textFill>
                    </w:rPr>
                    <w:t>4</w:t>
                  </w:r>
                </w:p>
              </w:tc>
              <w:tc>
                <w:tcPr>
                  <w:tcW w:w="1306" w:type="dxa"/>
                  <w:vAlign w:val="center"/>
                </w:tcPr>
                <w:p w14:paraId="20A5564E">
                  <w:pPr>
                    <w:widowControl w:val="0"/>
                    <w:spacing w:before="0" w:beforeAutospacing="0" w:after="0" w:afterAutospacing="0" w:line="240" w:lineRule="auto"/>
                    <w:jc w:val="center"/>
                    <w:rPr>
                      <w:rFonts w:hint="eastAsia" w:ascii="Times New Roman" w:hAnsi="Times New Roman"/>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1#风</w:t>
                  </w:r>
                </w:p>
                <w:p w14:paraId="2FDE7B14">
                  <w:pPr>
                    <w:widowControl w:val="0"/>
                    <w:spacing w:before="0" w:beforeAutospacing="0" w:after="0" w:afterAutospacing="0" w:line="240" w:lineRule="auto"/>
                    <w:jc w:val="center"/>
                    <w:rPr>
                      <w:rFonts w:hint="eastAsia" w:ascii="Times New Roman" w:hAnsi="Times New Roman"/>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机西侧</w:t>
                  </w:r>
                </w:p>
              </w:tc>
              <w:tc>
                <w:tcPr>
                  <w:tcW w:w="535" w:type="dxa"/>
                  <w:vAlign w:val="center"/>
                </w:tcPr>
                <w:p w14:paraId="458FA78B">
                  <w:pPr>
                    <w:widowControl w:val="0"/>
                    <w:spacing w:before="0" w:beforeAutospacing="0" w:after="0" w:afterAutospacing="0" w:line="240" w:lineRule="auto"/>
                    <w:jc w:val="center"/>
                    <w:rPr>
                      <w:rFonts w:hint="eastAsia" w:ascii="Times New Roman" w:hAnsi="Times New Roman"/>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山凹</w:t>
                  </w:r>
                </w:p>
              </w:tc>
              <w:tc>
                <w:tcPr>
                  <w:tcW w:w="879" w:type="dxa"/>
                  <w:vAlign w:val="center"/>
                </w:tcPr>
                <w:p w14:paraId="477D228C">
                  <w:pPr>
                    <w:pStyle w:val="23"/>
                    <w:widowControl w:val="0"/>
                    <w:spacing w:before="0" w:beforeAutospacing="0" w:after="0" w:afterAutospacing="0" w:line="240" w:lineRule="auto"/>
                    <w:jc w:val="center"/>
                    <w:rPr>
                      <w:rFonts w:hint="default" w:ascii="Times New Roman" w:hAnsi="Times New Roman"/>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0.57</w:t>
                  </w:r>
                </w:p>
              </w:tc>
              <w:tc>
                <w:tcPr>
                  <w:tcW w:w="637" w:type="dxa"/>
                  <w:vAlign w:val="center"/>
                </w:tcPr>
                <w:p w14:paraId="6B9A332F">
                  <w:pPr>
                    <w:pStyle w:val="23"/>
                    <w:widowControl w:val="0"/>
                    <w:spacing w:before="0" w:beforeAutospacing="0" w:after="0" w:afterAutospacing="0" w:line="240" w:lineRule="auto"/>
                    <w:jc w:val="center"/>
                    <w:rPr>
                      <w:rFonts w:hint="eastAsia" w:ascii="Times New Roman" w:hAnsi="Times New Roman"/>
                      <w:color w:val="000000" w:themeColor="text1"/>
                      <w:sz w:val="21"/>
                      <w:szCs w:val="21"/>
                      <w:u w:val="none"/>
                      <w14:textFill>
                        <w14:solidFill>
                          <w14:schemeClr w14:val="tx1"/>
                        </w14:solidFill>
                      </w14:textFill>
                    </w:rPr>
                  </w:pPr>
                  <w:r>
                    <w:rPr>
                      <w:rFonts w:hint="eastAsia" w:ascii="Times New Roman" w:hAnsi="Times New Roman"/>
                      <w:color w:val="000000" w:themeColor="text1"/>
                      <w:sz w:val="21"/>
                      <w:szCs w:val="21"/>
                      <w:u w:val="none"/>
                      <w14:textFill>
                        <w14:solidFill>
                          <w14:schemeClr w14:val="tx1"/>
                        </w14:solidFill>
                      </w14:textFill>
                    </w:rPr>
                    <w:t>沟道</w:t>
                  </w:r>
                </w:p>
                <w:p w14:paraId="67318189">
                  <w:pPr>
                    <w:pStyle w:val="23"/>
                    <w:widowControl w:val="0"/>
                    <w:spacing w:before="0" w:beforeAutospacing="0" w:after="0" w:afterAutospacing="0" w:line="240" w:lineRule="auto"/>
                    <w:jc w:val="center"/>
                    <w:rPr>
                      <w:rFonts w:hint="eastAsia" w:ascii="Times New Roman" w:hAnsi="Times New Roman"/>
                      <w:color w:val="000000" w:themeColor="text1"/>
                      <w:sz w:val="21"/>
                      <w:szCs w:val="21"/>
                      <w:u w:val="none"/>
                      <w14:textFill>
                        <w14:solidFill>
                          <w14:schemeClr w14:val="tx1"/>
                        </w14:solidFill>
                      </w14:textFill>
                    </w:rPr>
                  </w:pPr>
                  <w:r>
                    <w:rPr>
                      <w:rFonts w:hint="eastAsia" w:ascii="Times New Roman" w:hAnsi="Times New Roman"/>
                      <w:color w:val="000000" w:themeColor="text1"/>
                      <w:sz w:val="21"/>
                      <w:szCs w:val="21"/>
                      <w:u w:val="none"/>
                      <w14:textFill>
                        <w14:solidFill>
                          <w14:schemeClr w14:val="tx1"/>
                        </w14:solidFill>
                      </w14:textFill>
                    </w:rPr>
                    <w:t>型</w:t>
                  </w:r>
                </w:p>
              </w:tc>
              <w:tc>
                <w:tcPr>
                  <w:tcW w:w="625" w:type="dxa"/>
                  <w:vAlign w:val="center"/>
                </w:tcPr>
                <w:p w14:paraId="3394A73F">
                  <w:pPr>
                    <w:pStyle w:val="23"/>
                    <w:widowControl w:val="0"/>
                    <w:spacing w:before="0" w:beforeAutospacing="0" w:after="0" w:afterAutospacing="0" w:line="240" w:lineRule="auto"/>
                    <w:jc w:val="center"/>
                    <w:rPr>
                      <w:rFonts w:hint="default" w:ascii="Times New Roman" w:hAnsi="Times New Roman"/>
                      <w:color w:val="FF0000"/>
                      <w:sz w:val="21"/>
                      <w:szCs w:val="21"/>
                      <w:u w:val="none"/>
                      <w:lang w:val="en-US" w:eastAsia="zh-CN"/>
                    </w:rPr>
                  </w:pPr>
                  <w:r>
                    <w:rPr>
                      <w:rFonts w:hint="eastAsia" w:ascii="Times New Roman" w:hAnsi="Times New Roman"/>
                      <w:color w:val="000000" w:themeColor="text1"/>
                      <w:sz w:val="21"/>
                      <w:szCs w:val="21"/>
                      <w:u w:val="none"/>
                      <w:lang w:val="en-US" w:eastAsia="zh-CN"/>
                      <w14:textFill>
                        <w14:solidFill>
                          <w14:schemeClr w14:val="tx1"/>
                        </w14:solidFill>
                      </w14:textFill>
                    </w:rPr>
                    <w:t>6.30</w:t>
                  </w:r>
                </w:p>
              </w:tc>
              <w:tc>
                <w:tcPr>
                  <w:tcW w:w="673" w:type="dxa"/>
                  <w:vAlign w:val="center"/>
                </w:tcPr>
                <w:p w14:paraId="48D2F5F9">
                  <w:pPr>
                    <w:widowControl w:val="0"/>
                    <w:spacing w:before="0" w:beforeAutospacing="0" w:after="0" w:afterAutospacing="0" w:line="240" w:lineRule="auto"/>
                    <w:jc w:val="center"/>
                    <w:rPr>
                      <w:rFonts w:hint="default" w:ascii="Times New Roman" w:hAnsi="Times New Roman"/>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12</w:t>
                  </w:r>
                </w:p>
              </w:tc>
              <w:tc>
                <w:tcPr>
                  <w:tcW w:w="673" w:type="dxa"/>
                  <w:vAlign w:val="center"/>
                </w:tcPr>
                <w:p w14:paraId="0CDD096C">
                  <w:pPr>
                    <w:pStyle w:val="23"/>
                    <w:widowControl w:val="0"/>
                    <w:spacing w:before="0" w:beforeAutospacing="0" w:after="0" w:afterAutospacing="0" w:line="240" w:lineRule="auto"/>
                    <w:jc w:val="center"/>
                    <w:rPr>
                      <w:rFonts w:hint="default" w:ascii="Times New Roman" w:hAnsi="Times New Roman"/>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19</w:t>
                  </w:r>
                </w:p>
              </w:tc>
              <w:tc>
                <w:tcPr>
                  <w:tcW w:w="881" w:type="dxa"/>
                  <w:vAlign w:val="center"/>
                </w:tcPr>
                <w:p w14:paraId="1F60093F">
                  <w:pPr>
                    <w:pStyle w:val="23"/>
                    <w:widowControl w:val="0"/>
                    <w:spacing w:before="0" w:beforeAutospacing="0" w:after="0" w:afterAutospacing="0" w:line="240" w:lineRule="auto"/>
                    <w:jc w:val="center"/>
                    <w:rPr>
                      <w:rFonts w:hint="default" w:ascii="Times New Roman" w:hAnsi="Times New Roman"/>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0.036</w:t>
                  </w:r>
                </w:p>
              </w:tc>
              <w:tc>
                <w:tcPr>
                  <w:tcW w:w="622" w:type="dxa"/>
                  <w:vAlign w:val="center"/>
                </w:tcPr>
                <w:p w14:paraId="2F865AF6">
                  <w:pPr>
                    <w:pStyle w:val="23"/>
                    <w:widowControl w:val="0"/>
                    <w:spacing w:before="0" w:beforeAutospacing="0" w:after="0" w:afterAutospacing="0" w:line="240" w:lineRule="auto"/>
                    <w:jc w:val="center"/>
                    <w:rPr>
                      <w:rFonts w:hint="default" w:ascii="Times New Roman" w:hAnsi="Times New Roman"/>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6.84</w:t>
                  </w:r>
                </w:p>
              </w:tc>
              <w:tc>
                <w:tcPr>
                  <w:tcW w:w="626" w:type="dxa"/>
                  <w:vAlign w:val="center"/>
                </w:tcPr>
                <w:p w14:paraId="04E7F9C9">
                  <w:pPr>
                    <w:widowControl w:val="0"/>
                    <w:spacing w:before="0" w:beforeAutospacing="0" w:after="0" w:afterAutospacing="0" w:line="240" w:lineRule="auto"/>
                    <w:jc w:val="center"/>
                    <w:rPr>
                      <w:rFonts w:hint="eastAsia" w:ascii="Times New Roman" w:hAnsi="Times New Roman"/>
                      <w:color w:val="000000" w:themeColor="text1"/>
                      <w:sz w:val="21"/>
                      <w:szCs w:val="21"/>
                      <w:u w:val="none"/>
                      <w14:textFill>
                        <w14:solidFill>
                          <w14:schemeClr w14:val="tx1"/>
                        </w14:solidFill>
                      </w14:textFill>
                    </w:rPr>
                  </w:pPr>
                  <w:r>
                    <w:rPr>
                      <w:rFonts w:hint="eastAsia" w:ascii="Times New Roman" w:hAnsi="Times New Roman"/>
                      <w:color w:val="000000" w:themeColor="text1"/>
                      <w:sz w:val="21"/>
                      <w:szCs w:val="21"/>
                      <w:u w:val="none"/>
                      <w14:textFill>
                        <w14:solidFill>
                          <w14:schemeClr w14:val="tx1"/>
                        </w14:solidFill>
                      </w14:textFill>
                    </w:rPr>
                    <w:t>5级</w:t>
                  </w:r>
                </w:p>
              </w:tc>
            </w:tr>
            <w:tr w14:paraId="76C895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81" w:type="dxa"/>
                  <w:vAlign w:val="center"/>
                </w:tcPr>
                <w:p w14:paraId="37EF13C1">
                  <w:pPr>
                    <w:pStyle w:val="23"/>
                    <w:widowControl w:val="0"/>
                    <w:spacing w:before="0" w:beforeAutospacing="0" w:after="0" w:afterAutospacing="0" w:line="240" w:lineRule="auto"/>
                    <w:jc w:val="center"/>
                    <w:rPr>
                      <w:rFonts w:hint="eastAsia" w:ascii="Times New Roman" w:hAnsi="Times New Roman"/>
                      <w:color w:val="000000" w:themeColor="text1"/>
                      <w:sz w:val="21"/>
                      <w:szCs w:val="21"/>
                      <w:u w:val="none"/>
                      <w14:textFill>
                        <w14:solidFill>
                          <w14:schemeClr w14:val="tx1"/>
                        </w14:solidFill>
                      </w14:textFill>
                    </w:rPr>
                  </w:pPr>
                  <w:r>
                    <w:rPr>
                      <w:rFonts w:hint="eastAsia" w:ascii="Times New Roman" w:hAnsi="Times New Roman"/>
                      <w:color w:val="000000" w:themeColor="text1"/>
                      <w:sz w:val="21"/>
                      <w:szCs w:val="21"/>
                      <w:u w:val="none"/>
                      <w14:textFill>
                        <w14:solidFill>
                          <w14:schemeClr w14:val="tx1"/>
                        </w14:solidFill>
                      </w14:textFill>
                    </w:rPr>
                    <w:t>Z5</w:t>
                  </w:r>
                </w:p>
              </w:tc>
              <w:tc>
                <w:tcPr>
                  <w:tcW w:w="1306" w:type="dxa"/>
                  <w:vAlign w:val="center"/>
                </w:tcPr>
                <w:p w14:paraId="53377494">
                  <w:pPr>
                    <w:widowControl w:val="0"/>
                    <w:spacing w:before="0" w:beforeAutospacing="0" w:after="0" w:afterAutospacing="0" w:line="240" w:lineRule="auto"/>
                    <w:jc w:val="center"/>
                    <w:rPr>
                      <w:rFonts w:hint="eastAsia" w:ascii="Times New Roman" w:hAnsi="Times New Roman"/>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5#风</w:t>
                  </w:r>
                </w:p>
                <w:p w14:paraId="15E947A7">
                  <w:pPr>
                    <w:widowControl w:val="0"/>
                    <w:spacing w:before="0" w:beforeAutospacing="0" w:after="0" w:afterAutospacing="0" w:line="240" w:lineRule="auto"/>
                    <w:jc w:val="center"/>
                    <w:rPr>
                      <w:rFonts w:hint="default" w:ascii="Times New Roman" w:hAnsi="Times New Roman"/>
                      <w:color w:val="000000" w:themeColor="text1"/>
                      <w:sz w:val="21"/>
                      <w:szCs w:val="21"/>
                      <w:u w:val="none"/>
                      <w:lang w:val="en-US"/>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机西南侧</w:t>
                  </w:r>
                </w:p>
              </w:tc>
              <w:tc>
                <w:tcPr>
                  <w:tcW w:w="535" w:type="dxa"/>
                  <w:vAlign w:val="center"/>
                </w:tcPr>
                <w:p w14:paraId="1CADA30F">
                  <w:pPr>
                    <w:widowControl w:val="0"/>
                    <w:spacing w:before="0" w:beforeAutospacing="0" w:after="0" w:afterAutospacing="0" w:line="240" w:lineRule="auto"/>
                    <w:jc w:val="center"/>
                    <w:rPr>
                      <w:rFonts w:hint="eastAsia" w:ascii="Times New Roman" w:hAnsi="Times New Roman"/>
                      <w:color w:val="000000" w:themeColor="text1"/>
                      <w:sz w:val="21"/>
                      <w:szCs w:val="21"/>
                      <w:u w:val="none"/>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山凹</w:t>
                  </w:r>
                </w:p>
              </w:tc>
              <w:tc>
                <w:tcPr>
                  <w:tcW w:w="879" w:type="dxa"/>
                  <w:vAlign w:val="center"/>
                </w:tcPr>
                <w:p w14:paraId="3BC4C8AF">
                  <w:pPr>
                    <w:pStyle w:val="23"/>
                    <w:widowControl w:val="0"/>
                    <w:spacing w:before="0" w:beforeAutospacing="0" w:after="0" w:afterAutospacing="0" w:line="240" w:lineRule="auto"/>
                    <w:jc w:val="center"/>
                    <w:rPr>
                      <w:rFonts w:hint="default" w:ascii="Times New Roman" w:hAnsi="Times New Roman" w:eastAsia="宋体"/>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0.83</w:t>
                  </w:r>
                </w:p>
              </w:tc>
              <w:tc>
                <w:tcPr>
                  <w:tcW w:w="637" w:type="dxa"/>
                  <w:vAlign w:val="center"/>
                </w:tcPr>
                <w:p w14:paraId="6312C5E5">
                  <w:pPr>
                    <w:pStyle w:val="23"/>
                    <w:widowControl w:val="0"/>
                    <w:spacing w:before="0" w:beforeAutospacing="0" w:after="0" w:afterAutospacing="0" w:line="240" w:lineRule="auto"/>
                    <w:jc w:val="center"/>
                    <w:rPr>
                      <w:rFonts w:hint="eastAsia" w:ascii="Times New Roman" w:hAnsi="Times New Roman"/>
                      <w:color w:val="000000" w:themeColor="text1"/>
                      <w:sz w:val="21"/>
                      <w:szCs w:val="21"/>
                      <w:u w:val="none"/>
                      <w14:textFill>
                        <w14:solidFill>
                          <w14:schemeClr w14:val="tx1"/>
                        </w14:solidFill>
                      </w14:textFill>
                    </w:rPr>
                  </w:pPr>
                  <w:r>
                    <w:rPr>
                      <w:rFonts w:hint="eastAsia" w:ascii="Times New Roman" w:hAnsi="Times New Roman"/>
                      <w:color w:val="000000" w:themeColor="text1"/>
                      <w:sz w:val="21"/>
                      <w:szCs w:val="21"/>
                      <w:u w:val="none"/>
                      <w14:textFill>
                        <w14:solidFill>
                          <w14:schemeClr w14:val="tx1"/>
                        </w14:solidFill>
                      </w14:textFill>
                    </w:rPr>
                    <w:t>沟道型</w:t>
                  </w:r>
                </w:p>
              </w:tc>
              <w:tc>
                <w:tcPr>
                  <w:tcW w:w="625" w:type="dxa"/>
                  <w:vAlign w:val="center"/>
                </w:tcPr>
                <w:p w14:paraId="2CA62CC5">
                  <w:pPr>
                    <w:pStyle w:val="23"/>
                    <w:widowControl w:val="0"/>
                    <w:spacing w:before="0" w:beforeAutospacing="0" w:after="0" w:afterAutospacing="0" w:line="240" w:lineRule="auto"/>
                    <w:jc w:val="center"/>
                    <w:rPr>
                      <w:rFonts w:hint="default" w:ascii="Times New Roman" w:hAnsi="Times New Roman" w:eastAsia="宋体"/>
                      <w:color w:val="FF0000"/>
                      <w:sz w:val="21"/>
                      <w:szCs w:val="21"/>
                      <w:u w:val="none"/>
                      <w:lang w:val="en-US" w:eastAsia="zh-CN"/>
                    </w:rPr>
                  </w:pPr>
                  <w:r>
                    <w:rPr>
                      <w:rFonts w:hint="eastAsia" w:ascii="Times New Roman" w:hAnsi="Times New Roman"/>
                      <w:color w:val="000000" w:themeColor="text1"/>
                      <w:sz w:val="21"/>
                      <w:szCs w:val="21"/>
                      <w:u w:val="none"/>
                      <w:lang w:val="en-US" w:eastAsia="zh-CN"/>
                      <w14:textFill>
                        <w14:solidFill>
                          <w14:schemeClr w14:val="tx1"/>
                        </w14:solidFill>
                      </w14:textFill>
                    </w:rPr>
                    <w:t>7.62</w:t>
                  </w:r>
                </w:p>
              </w:tc>
              <w:tc>
                <w:tcPr>
                  <w:tcW w:w="673" w:type="dxa"/>
                  <w:vAlign w:val="center"/>
                </w:tcPr>
                <w:p w14:paraId="364341EE">
                  <w:pPr>
                    <w:widowControl w:val="0"/>
                    <w:spacing w:before="0" w:beforeAutospacing="0" w:after="0" w:afterAutospacing="0" w:line="240" w:lineRule="auto"/>
                    <w:jc w:val="center"/>
                    <w:rPr>
                      <w:rFonts w:hint="default" w:ascii="Times New Roman" w:hAnsi="Times New Roman" w:eastAsia="宋体"/>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1</w:t>
                  </w:r>
                  <w:r>
                    <w:rPr>
                      <w:rFonts w:hint="eastAsia"/>
                      <w:color w:val="000000" w:themeColor="text1"/>
                      <w:sz w:val="21"/>
                      <w:szCs w:val="21"/>
                      <w:u w:val="none"/>
                      <w:lang w:val="en-US" w:eastAsia="zh-CN"/>
                      <w14:textFill>
                        <w14:solidFill>
                          <w14:schemeClr w14:val="tx1"/>
                        </w14:solidFill>
                      </w14:textFill>
                    </w:rPr>
                    <w:t>0</w:t>
                  </w:r>
                </w:p>
              </w:tc>
              <w:tc>
                <w:tcPr>
                  <w:tcW w:w="673" w:type="dxa"/>
                  <w:vAlign w:val="center"/>
                </w:tcPr>
                <w:p w14:paraId="17E4B586">
                  <w:pPr>
                    <w:pStyle w:val="23"/>
                    <w:widowControl w:val="0"/>
                    <w:spacing w:before="0" w:beforeAutospacing="0" w:after="0" w:afterAutospacing="0" w:line="240" w:lineRule="auto"/>
                    <w:jc w:val="center"/>
                    <w:rPr>
                      <w:rFonts w:hint="eastAsia" w:ascii="Times New Roman" w:hAnsi="Times New Roman" w:eastAsia="宋体"/>
                      <w:color w:val="000000" w:themeColor="text1"/>
                      <w:sz w:val="21"/>
                      <w:szCs w:val="21"/>
                      <w:u w:val="none"/>
                      <w:lang w:eastAsia="zh-CN"/>
                      <w14:textFill>
                        <w14:solidFill>
                          <w14:schemeClr w14:val="tx1"/>
                        </w14:solidFill>
                      </w14:textFill>
                    </w:rPr>
                  </w:pPr>
                  <w:r>
                    <w:rPr>
                      <w:rFonts w:hint="eastAsia" w:ascii="Times New Roman" w:hAnsi="Times New Roman"/>
                      <w:color w:val="000000" w:themeColor="text1"/>
                      <w:sz w:val="21"/>
                      <w:szCs w:val="21"/>
                      <w:u w:val="none"/>
                      <w14:textFill>
                        <w14:solidFill>
                          <w14:schemeClr w14:val="tx1"/>
                        </w14:solidFill>
                      </w14:textFill>
                    </w:rPr>
                    <w:t>1</w:t>
                  </w:r>
                  <w:r>
                    <w:rPr>
                      <w:rFonts w:hint="eastAsia" w:ascii="Times New Roman" w:hAnsi="Times New Roman"/>
                      <w:color w:val="000000" w:themeColor="text1"/>
                      <w:sz w:val="21"/>
                      <w:szCs w:val="21"/>
                      <w:u w:val="none"/>
                      <w:lang w:val="en-US" w:eastAsia="zh-CN"/>
                      <w14:textFill>
                        <w14:solidFill>
                          <w14:schemeClr w14:val="tx1"/>
                        </w14:solidFill>
                      </w14:textFill>
                    </w:rPr>
                    <w:t>8</w:t>
                  </w:r>
                </w:p>
              </w:tc>
              <w:tc>
                <w:tcPr>
                  <w:tcW w:w="881" w:type="dxa"/>
                  <w:vAlign w:val="center"/>
                </w:tcPr>
                <w:p w14:paraId="1E341519">
                  <w:pPr>
                    <w:pStyle w:val="23"/>
                    <w:widowControl w:val="0"/>
                    <w:spacing w:before="0" w:beforeAutospacing="0" w:after="0" w:afterAutospacing="0" w:line="240" w:lineRule="auto"/>
                    <w:jc w:val="center"/>
                    <w:rPr>
                      <w:rFonts w:hint="default" w:ascii="Times New Roman" w:hAnsi="Times New Roman" w:eastAsia="宋体"/>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0.038</w:t>
                  </w:r>
                </w:p>
              </w:tc>
              <w:tc>
                <w:tcPr>
                  <w:tcW w:w="622" w:type="dxa"/>
                  <w:vAlign w:val="center"/>
                </w:tcPr>
                <w:p w14:paraId="024AA131">
                  <w:pPr>
                    <w:pStyle w:val="23"/>
                    <w:widowControl w:val="0"/>
                    <w:spacing w:before="0" w:beforeAutospacing="0" w:after="0" w:afterAutospacing="0" w:line="240" w:lineRule="auto"/>
                    <w:jc w:val="center"/>
                    <w:rPr>
                      <w:rFonts w:hint="default" w:ascii="Times New Roman" w:hAnsi="Times New Roman" w:eastAsia="宋体"/>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8.30</w:t>
                  </w:r>
                </w:p>
              </w:tc>
              <w:tc>
                <w:tcPr>
                  <w:tcW w:w="626" w:type="dxa"/>
                  <w:vAlign w:val="center"/>
                </w:tcPr>
                <w:p w14:paraId="3690130D">
                  <w:pPr>
                    <w:widowControl w:val="0"/>
                    <w:spacing w:before="0" w:beforeAutospacing="0" w:after="0" w:afterAutospacing="0" w:line="240" w:lineRule="auto"/>
                    <w:jc w:val="center"/>
                    <w:rPr>
                      <w:rFonts w:hint="default" w:ascii="Times New Roman" w:hAnsi="Times New Roman" w:eastAsia="宋体"/>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14:textFill>
                        <w14:solidFill>
                          <w14:schemeClr w14:val="tx1"/>
                        </w14:solidFill>
                      </w14:textFill>
                    </w:rPr>
                    <w:t>5级</w:t>
                  </w:r>
                </w:p>
              </w:tc>
            </w:tr>
            <w:tr w14:paraId="3D3421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81" w:type="dxa"/>
                  <w:vAlign w:val="center"/>
                </w:tcPr>
                <w:p w14:paraId="181F0993">
                  <w:pPr>
                    <w:pStyle w:val="23"/>
                    <w:widowControl w:val="0"/>
                    <w:spacing w:before="0" w:beforeAutospacing="0" w:after="0" w:afterAutospacing="0" w:line="240" w:lineRule="auto"/>
                    <w:jc w:val="center"/>
                    <w:rPr>
                      <w:rFonts w:hint="eastAsia" w:ascii="Times New Roman" w:hAnsi="Times New Roman"/>
                      <w:color w:val="000000" w:themeColor="text1"/>
                      <w:sz w:val="21"/>
                      <w:szCs w:val="21"/>
                      <w:u w:val="none"/>
                      <w14:textFill>
                        <w14:solidFill>
                          <w14:schemeClr w14:val="tx1"/>
                        </w14:solidFill>
                      </w14:textFill>
                    </w:rPr>
                  </w:pPr>
                  <w:r>
                    <w:rPr>
                      <w:rFonts w:hint="eastAsia" w:ascii="Times New Roman" w:hAnsi="Times New Roman"/>
                      <w:color w:val="000000" w:themeColor="text1"/>
                      <w:sz w:val="21"/>
                      <w:szCs w:val="21"/>
                      <w:u w:val="none"/>
                      <w14:textFill>
                        <w14:solidFill>
                          <w14:schemeClr w14:val="tx1"/>
                        </w14:solidFill>
                      </w14:textFill>
                    </w:rPr>
                    <w:t>Z6</w:t>
                  </w:r>
                </w:p>
              </w:tc>
              <w:tc>
                <w:tcPr>
                  <w:tcW w:w="1306" w:type="dxa"/>
                  <w:vAlign w:val="center"/>
                </w:tcPr>
                <w:p w14:paraId="0E86B85E">
                  <w:pPr>
                    <w:widowControl w:val="0"/>
                    <w:spacing w:before="0" w:beforeAutospacing="0" w:after="0" w:afterAutospacing="0" w:line="240" w:lineRule="auto"/>
                    <w:jc w:val="center"/>
                    <w:rPr>
                      <w:rFonts w:hint="default" w:ascii="Times New Roman" w:hAnsi="Times New Roman" w:eastAsia="宋体"/>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9#风机北侧</w:t>
                  </w:r>
                </w:p>
              </w:tc>
              <w:tc>
                <w:tcPr>
                  <w:tcW w:w="535" w:type="dxa"/>
                  <w:vAlign w:val="center"/>
                </w:tcPr>
                <w:p w14:paraId="2CD16B08">
                  <w:pPr>
                    <w:widowControl w:val="0"/>
                    <w:spacing w:before="0" w:beforeAutospacing="0" w:after="0" w:afterAutospacing="0" w:line="240" w:lineRule="auto"/>
                    <w:jc w:val="center"/>
                    <w:rPr>
                      <w:rFonts w:hint="eastAsia" w:ascii="Times New Roman" w:hAnsi="Times New Roman"/>
                      <w:color w:val="000000" w:themeColor="text1"/>
                      <w:sz w:val="21"/>
                      <w:szCs w:val="21"/>
                      <w:u w:val="none"/>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山凹</w:t>
                  </w:r>
                </w:p>
              </w:tc>
              <w:tc>
                <w:tcPr>
                  <w:tcW w:w="879" w:type="dxa"/>
                  <w:vAlign w:val="center"/>
                </w:tcPr>
                <w:p w14:paraId="26B49F8C">
                  <w:pPr>
                    <w:pStyle w:val="23"/>
                    <w:widowControl w:val="0"/>
                    <w:spacing w:before="0" w:beforeAutospacing="0" w:after="0" w:afterAutospacing="0" w:line="240" w:lineRule="auto"/>
                    <w:jc w:val="center"/>
                    <w:rPr>
                      <w:rFonts w:hint="default" w:ascii="Times New Roman" w:hAnsi="Times New Roman" w:eastAsia="宋体"/>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0.78</w:t>
                  </w:r>
                </w:p>
              </w:tc>
              <w:tc>
                <w:tcPr>
                  <w:tcW w:w="637" w:type="dxa"/>
                  <w:vAlign w:val="center"/>
                </w:tcPr>
                <w:p w14:paraId="6236A307">
                  <w:pPr>
                    <w:pStyle w:val="23"/>
                    <w:widowControl w:val="0"/>
                    <w:spacing w:before="0" w:beforeAutospacing="0" w:after="0" w:afterAutospacing="0" w:line="240" w:lineRule="auto"/>
                    <w:jc w:val="center"/>
                    <w:rPr>
                      <w:rFonts w:hint="eastAsia" w:ascii="Times New Roman" w:hAnsi="Times New Roman"/>
                      <w:color w:val="000000" w:themeColor="text1"/>
                      <w:sz w:val="21"/>
                      <w:szCs w:val="21"/>
                      <w:u w:val="none"/>
                      <w14:textFill>
                        <w14:solidFill>
                          <w14:schemeClr w14:val="tx1"/>
                        </w14:solidFill>
                      </w14:textFill>
                    </w:rPr>
                  </w:pPr>
                  <w:r>
                    <w:rPr>
                      <w:rFonts w:hint="eastAsia" w:ascii="Times New Roman" w:hAnsi="Times New Roman"/>
                      <w:color w:val="000000" w:themeColor="text1"/>
                      <w:sz w:val="21"/>
                      <w:szCs w:val="21"/>
                      <w:u w:val="none"/>
                      <w14:textFill>
                        <w14:solidFill>
                          <w14:schemeClr w14:val="tx1"/>
                        </w14:solidFill>
                      </w14:textFill>
                    </w:rPr>
                    <w:t>沟道</w:t>
                  </w:r>
                </w:p>
                <w:p w14:paraId="20D66D5E">
                  <w:pPr>
                    <w:pStyle w:val="23"/>
                    <w:widowControl w:val="0"/>
                    <w:spacing w:before="0" w:beforeAutospacing="0" w:after="0" w:afterAutospacing="0" w:line="240" w:lineRule="auto"/>
                    <w:jc w:val="center"/>
                    <w:rPr>
                      <w:rFonts w:hint="eastAsia" w:ascii="Times New Roman" w:hAnsi="Times New Roman"/>
                      <w:color w:val="000000" w:themeColor="text1"/>
                      <w:sz w:val="21"/>
                      <w:szCs w:val="21"/>
                      <w:u w:val="none"/>
                      <w14:textFill>
                        <w14:solidFill>
                          <w14:schemeClr w14:val="tx1"/>
                        </w14:solidFill>
                      </w14:textFill>
                    </w:rPr>
                  </w:pPr>
                  <w:r>
                    <w:rPr>
                      <w:rFonts w:hint="eastAsia" w:ascii="Times New Roman" w:hAnsi="Times New Roman"/>
                      <w:color w:val="000000" w:themeColor="text1"/>
                      <w:sz w:val="21"/>
                      <w:szCs w:val="21"/>
                      <w:u w:val="none"/>
                      <w14:textFill>
                        <w14:solidFill>
                          <w14:schemeClr w14:val="tx1"/>
                        </w14:solidFill>
                      </w14:textFill>
                    </w:rPr>
                    <w:t>型</w:t>
                  </w:r>
                </w:p>
              </w:tc>
              <w:tc>
                <w:tcPr>
                  <w:tcW w:w="625" w:type="dxa"/>
                  <w:vAlign w:val="center"/>
                </w:tcPr>
                <w:p w14:paraId="643C8682">
                  <w:pPr>
                    <w:pStyle w:val="23"/>
                    <w:widowControl w:val="0"/>
                    <w:spacing w:before="0" w:beforeAutospacing="0" w:after="0" w:afterAutospacing="0" w:line="240" w:lineRule="auto"/>
                    <w:jc w:val="center"/>
                    <w:rPr>
                      <w:rFonts w:hint="default" w:ascii="Times New Roman" w:hAnsi="Times New Roman" w:eastAsia="宋体"/>
                      <w:color w:val="FF0000"/>
                      <w:sz w:val="21"/>
                      <w:szCs w:val="21"/>
                      <w:u w:val="none"/>
                      <w:lang w:val="en-US" w:eastAsia="zh-CN"/>
                    </w:rPr>
                  </w:pPr>
                  <w:r>
                    <w:rPr>
                      <w:rFonts w:hint="eastAsia" w:ascii="Times New Roman" w:hAnsi="Times New Roman"/>
                      <w:color w:val="000000" w:themeColor="text1"/>
                      <w:sz w:val="21"/>
                      <w:szCs w:val="21"/>
                      <w:u w:val="none"/>
                      <w:lang w:val="en-US" w:eastAsia="zh-CN"/>
                      <w14:textFill>
                        <w14:solidFill>
                          <w14:schemeClr w14:val="tx1"/>
                        </w14:solidFill>
                      </w14:textFill>
                    </w:rPr>
                    <w:t>5.65</w:t>
                  </w:r>
                </w:p>
              </w:tc>
              <w:tc>
                <w:tcPr>
                  <w:tcW w:w="673" w:type="dxa"/>
                  <w:vAlign w:val="center"/>
                </w:tcPr>
                <w:p w14:paraId="02544E1C">
                  <w:pPr>
                    <w:pStyle w:val="23"/>
                    <w:widowControl w:val="0"/>
                    <w:spacing w:before="0" w:beforeAutospacing="0" w:after="0" w:afterAutospacing="0" w:line="240" w:lineRule="auto"/>
                    <w:jc w:val="center"/>
                    <w:rPr>
                      <w:rFonts w:hint="default" w:ascii="Times New Roman" w:hAnsi="Times New Roman" w:eastAsia="宋体"/>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10</w:t>
                  </w:r>
                </w:p>
              </w:tc>
              <w:tc>
                <w:tcPr>
                  <w:tcW w:w="673" w:type="dxa"/>
                  <w:vAlign w:val="center"/>
                </w:tcPr>
                <w:p w14:paraId="766FE1D4">
                  <w:pPr>
                    <w:pStyle w:val="23"/>
                    <w:widowControl w:val="0"/>
                    <w:spacing w:before="0" w:beforeAutospacing="0" w:after="0" w:afterAutospacing="0" w:line="240" w:lineRule="auto"/>
                    <w:jc w:val="center"/>
                    <w:rPr>
                      <w:rFonts w:hint="eastAsia" w:ascii="Times New Roman" w:hAnsi="Times New Roman" w:eastAsia="宋体"/>
                      <w:color w:val="000000" w:themeColor="text1"/>
                      <w:sz w:val="21"/>
                      <w:szCs w:val="21"/>
                      <w:u w:val="none"/>
                      <w:lang w:eastAsia="zh-CN"/>
                      <w14:textFill>
                        <w14:solidFill>
                          <w14:schemeClr w14:val="tx1"/>
                        </w14:solidFill>
                      </w14:textFill>
                    </w:rPr>
                  </w:pPr>
                  <w:r>
                    <w:rPr>
                      <w:rFonts w:hint="eastAsia" w:ascii="Times New Roman" w:hAnsi="Times New Roman"/>
                      <w:color w:val="000000" w:themeColor="text1"/>
                      <w:sz w:val="21"/>
                      <w:szCs w:val="21"/>
                      <w:u w:val="none"/>
                      <w14:textFill>
                        <w14:solidFill>
                          <w14:schemeClr w14:val="tx1"/>
                        </w14:solidFill>
                      </w14:textFill>
                    </w:rPr>
                    <w:t>1</w:t>
                  </w:r>
                  <w:r>
                    <w:rPr>
                      <w:rFonts w:hint="eastAsia" w:ascii="Times New Roman" w:hAnsi="Times New Roman"/>
                      <w:color w:val="000000" w:themeColor="text1"/>
                      <w:sz w:val="21"/>
                      <w:szCs w:val="21"/>
                      <w:u w:val="none"/>
                      <w:lang w:val="en-US" w:eastAsia="zh-CN"/>
                      <w14:textFill>
                        <w14:solidFill>
                          <w14:schemeClr w14:val="tx1"/>
                        </w14:solidFill>
                      </w14:textFill>
                    </w:rPr>
                    <w:t>7</w:t>
                  </w:r>
                </w:p>
              </w:tc>
              <w:tc>
                <w:tcPr>
                  <w:tcW w:w="881" w:type="dxa"/>
                  <w:vAlign w:val="center"/>
                </w:tcPr>
                <w:p w14:paraId="756E49A0">
                  <w:pPr>
                    <w:pStyle w:val="23"/>
                    <w:widowControl w:val="0"/>
                    <w:spacing w:before="0" w:beforeAutospacing="0" w:after="0" w:afterAutospacing="0" w:line="240" w:lineRule="auto"/>
                    <w:jc w:val="center"/>
                    <w:rPr>
                      <w:rFonts w:hint="default" w:ascii="Times New Roman" w:hAnsi="Times New Roman" w:eastAsia="宋体"/>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0.037</w:t>
                  </w:r>
                </w:p>
              </w:tc>
              <w:tc>
                <w:tcPr>
                  <w:tcW w:w="622" w:type="dxa"/>
                  <w:vAlign w:val="center"/>
                </w:tcPr>
                <w:p w14:paraId="78441DA3">
                  <w:pPr>
                    <w:pStyle w:val="23"/>
                    <w:widowControl w:val="0"/>
                    <w:spacing w:before="0" w:beforeAutospacing="0" w:after="0" w:afterAutospacing="0" w:line="240" w:lineRule="auto"/>
                    <w:jc w:val="center"/>
                    <w:rPr>
                      <w:rFonts w:hint="default" w:ascii="Times New Roman" w:hAnsi="Times New Roman" w:eastAsia="宋体"/>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7.80</w:t>
                  </w:r>
                </w:p>
              </w:tc>
              <w:tc>
                <w:tcPr>
                  <w:tcW w:w="626" w:type="dxa"/>
                  <w:vAlign w:val="center"/>
                </w:tcPr>
                <w:p w14:paraId="3F46D58E">
                  <w:pPr>
                    <w:widowControl w:val="0"/>
                    <w:spacing w:before="0" w:beforeAutospacing="0" w:after="0" w:afterAutospacing="0" w:line="240" w:lineRule="auto"/>
                    <w:jc w:val="center"/>
                    <w:rPr>
                      <w:rFonts w:hint="default" w:ascii="Times New Roman" w:hAnsi="Times New Roman" w:eastAsia="宋体"/>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14:textFill>
                        <w14:solidFill>
                          <w14:schemeClr w14:val="tx1"/>
                        </w14:solidFill>
                      </w14:textFill>
                    </w:rPr>
                    <w:t>5级</w:t>
                  </w:r>
                </w:p>
              </w:tc>
            </w:tr>
            <w:tr w14:paraId="51FDB9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81" w:type="dxa"/>
                  <w:vAlign w:val="center"/>
                </w:tcPr>
                <w:p w14:paraId="2679D8B2">
                  <w:pPr>
                    <w:pStyle w:val="23"/>
                    <w:widowControl w:val="0"/>
                    <w:spacing w:before="0" w:beforeAutospacing="0" w:after="0" w:afterAutospacing="0" w:line="240" w:lineRule="auto"/>
                    <w:jc w:val="center"/>
                    <w:rPr>
                      <w:rFonts w:hint="eastAsia" w:ascii="Times New Roman" w:hAnsi="Times New Roman"/>
                      <w:color w:val="000000" w:themeColor="text1"/>
                      <w:sz w:val="21"/>
                      <w:szCs w:val="21"/>
                      <w:u w:val="none"/>
                      <w14:textFill>
                        <w14:solidFill>
                          <w14:schemeClr w14:val="tx1"/>
                        </w14:solidFill>
                      </w14:textFill>
                    </w:rPr>
                  </w:pPr>
                  <w:r>
                    <w:rPr>
                      <w:rFonts w:hint="eastAsia" w:ascii="Times New Roman" w:hAnsi="Times New Roman"/>
                      <w:color w:val="000000" w:themeColor="text1"/>
                      <w:sz w:val="21"/>
                      <w:szCs w:val="21"/>
                      <w:u w:val="none"/>
                      <w14:textFill>
                        <w14:solidFill>
                          <w14:schemeClr w14:val="tx1"/>
                        </w14:solidFill>
                      </w14:textFill>
                    </w:rPr>
                    <w:t>Z7</w:t>
                  </w:r>
                </w:p>
              </w:tc>
              <w:tc>
                <w:tcPr>
                  <w:tcW w:w="1306" w:type="dxa"/>
                  <w:vAlign w:val="center"/>
                </w:tcPr>
                <w:p w14:paraId="19140CAE">
                  <w:pPr>
                    <w:widowControl w:val="0"/>
                    <w:spacing w:before="0" w:beforeAutospacing="0" w:after="0" w:afterAutospacing="0" w:line="240" w:lineRule="auto"/>
                    <w:jc w:val="center"/>
                    <w:rPr>
                      <w:rFonts w:hint="default" w:ascii="Times New Roman" w:hAnsi="Times New Roman" w:eastAsia="宋体"/>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11#风机西南侧</w:t>
                  </w:r>
                </w:p>
              </w:tc>
              <w:tc>
                <w:tcPr>
                  <w:tcW w:w="535" w:type="dxa"/>
                  <w:vAlign w:val="center"/>
                </w:tcPr>
                <w:p w14:paraId="5099E056">
                  <w:pPr>
                    <w:widowControl w:val="0"/>
                    <w:spacing w:before="0" w:beforeAutospacing="0" w:after="0" w:afterAutospacing="0" w:line="240" w:lineRule="auto"/>
                    <w:jc w:val="center"/>
                    <w:rPr>
                      <w:rFonts w:hint="eastAsia" w:ascii="Times New Roman" w:hAnsi="Times New Roman"/>
                      <w:color w:val="000000" w:themeColor="text1"/>
                      <w:sz w:val="21"/>
                      <w:szCs w:val="21"/>
                      <w:u w:val="none"/>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山凹</w:t>
                  </w:r>
                </w:p>
              </w:tc>
              <w:tc>
                <w:tcPr>
                  <w:tcW w:w="879" w:type="dxa"/>
                  <w:vAlign w:val="center"/>
                </w:tcPr>
                <w:p w14:paraId="48FE3A55">
                  <w:pPr>
                    <w:pStyle w:val="23"/>
                    <w:widowControl w:val="0"/>
                    <w:spacing w:before="0" w:beforeAutospacing="0" w:after="0" w:afterAutospacing="0" w:line="240" w:lineRule="auto"/>
                    <w:jc w:val="center"/>
                    <w:rPr>
                      <w:rFonts w:hint="default" w:ascii="Times New Roman" w:hAnsi="Times New Roman" w:eastAsia="宋体"/>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0.76</w:t>
                  </w:r>
                </w:p>
              </w:tc>
              <w:tc>
                <w:tcPr>
                  <w:tcW w:w="637" w:type="dxa"/>
                  <w:vAlign w:val="center"/>
                </w:tcPr>
                <w:p w14:paraId="383B140D">
                  <w:pPr>
                    <w:pStyle w:val="23"/>
                    <w:widowControl w:val="0"/>
                    <w:spacing w:before="0" w:beforeAutospacing="0" w:after="0" w:afterAutospacing="0" w:line="240" w:lineRule="auto"/>
                    <w:jc w:val="center"/>
                    <w:rPr>
                      <w:rFonts w:hint="eastAsia" w:ascii="Times New Roman" w:hAnsi="Times New Roman"/>
                      <w:color w:val="000000" w:themeColor="text1"/>
                      <w:sz w:val="21"/>
                      <w:szCs w:val="21"/>
                      <w:u w:val="none"/>
                      <w14:textFill>
                        <w14:solidFill>
                          <w14:schemeClr w14:val="tx1"/>
                        </w14:solidFill>
                      </w14:textFill>
                    </w:rPr>
                  </w:pPr>
                  <w:r>
                    <w:rPr>
                      <w:rFonts w:hint="eastAsia" w:ascii="Times New Roman" w:hAnsi="Times New Roman"/>
                      <w:color w:val="000000" w:themeColor="text1"/>
                      <w:sz w:val="21"/>
                      <w:szCs w:val="21"/>
                      <w:u w:val="none"/>
                      <w14:textFill>
                        <w14:solidFill>
                          <w14:schemeClr w14:val="tx1"/>
                        </w14:solidFill>
                      </w14:textFill>
                    </w:rPr>
                    <w:t>沟道型</w:t>
                  </w:r>
                </w:p>
              </w:tc>
              <w:tc>
                <w:tcPr>
                  <w:tcW w:w="625" w:type="dxa"/>
                  <w:vAlign w:val="center"/>
                </w:tcPr>
                <w:p w14:paraId="732F2DD4">
                  <w:pPr>
                    <w:pStyle w:val="23"/>
                    <w:widowControl w:val="0"/>
                    <w:spacing w:before="0" w:beforeAutospacing="0" w:after="0" w:afterAutospacing="0" w:line="240" w:lineRule="auto"/>
                    <w:jc w:val="center"/>
                    <w:rPr>
                      <w:rFonts w:hint="default" w:ascii="Times New Roman" w:hAnsi="Times New Roman" w:eastAsia="宋体"/>
                      <w:color w:val="FF0000"/>
                      <w:sz w:val="21"/>
                      <w:szCs w:val="21"/>
                      <w:u w:val="none"/>
                      <w:lang w:val="en-US" w:eastAsia="zh-CN"/>
                    </w:rPr>
                  </w:pPr>
                  <w:r>
                    <w:rPr>
                      <w:rFonts w:hint="eastAsia" w:ascii="Times New Roman" w:hAnsi="Times New Roman"/>
                      <w:color w:val="000000" w:themeColor="text1"/>
                      <w:sz w:val="21"/>
                      <w:szCs w:val="21"/>
                      <w:u w:val="none"/>
                      <w:lang w:val="en-US" w:eastAsia="zh-CN"/>
                      <w14:textFill>
                        <w14:solidFill>
                          <w14:schemeClr w14:val="tx1"/>
                        </w14:solidFill>
                      </w14:textFill>
                    </w:rPr>
                    <w:t>6.36</w:t>
                  </w:r>
                </w:p>
              </w:tc>
              <w:tc>
                <w:tcPr>
                  <w:tcW w:w="673" w:type="dxa"/>
                  <w:vAlign w:val="center"/>
                </w:tcPr>
                <w:p w14:paraId="6750DB8B">
                  <w:pPr>
                    <w:pStyle w:val="23"/>
                    <w:widowControl w:val="0"/>
                    <w:spacing w:before="0" w:beforeAutospacing="0" w:after="0" w:afterAutospacing="0" w:line="240" w:lineRule="auto"/>
                    <w:jc w:val="center"/>
                    <w:rPr>
                      <w:rFonts w:hint="default" w:ascii="Times New Roman" w:hAnsi="Times New Roman" w:eastAsia="宋体"/>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10</w:t>
                  </w:r>
                </w:p>
              </w:tc>
              <w:tc>
                <w:tcPr>
                  <w:tcW w:w="673" w:type="dxa"/>
                  <w:vAlign w:val="center"/>
                </w:tcPr>
                <w:p w14:paraId="4E98D0C6">
                  <w:pPr>
                    <w:pStyle w:val="23"/>
                    <w:widowControl w:val="0"/>
                    <w:spacing w:before="0" w:beforeAutospacing="0" w:after="0" w:afterAutospacing="0" w:line="240" w:lineRule="auto"/>
                    <w:jc w:val="center"/>
                    <w:rPr>
                      <w:rFonts w:hint="eastAsia" w:ascii="Times New Roman" w:hAnsi="Times New Roman" w:eastAsia="宋体"/>
                      <w:color w:val="000000" w:themeColor="text1"/>
                      <w:sz w:val="21"/>
                      <w:szCs w:val="21"/>
                      <w:u w:val="none"/>
                      <w:lang w:eastAsia="zh-CN"/>
                      <w14:textFill>
                        <w14:solidFill>
                          <w14:schemeClr w14:val="tx1"/>
                        </w14:solidFill>
                      </w14:textFill>
                    </w:rPr>
                  </w:pPr>
                  <w:r>
                    <w:rPr>
                      <w:rFonts w:hint="eastAsia" w:ascii="Times New Roman" w:hAnsi="Times New Roman"/>
                      <w:color w:val="000000" w:themeColor="text1"/>
                      <w:sz w:val="21"/>
                      <w:szCs w:val="21"/>
                      <w:u w:val="none"/>
                      <w14:textFill>
                        <w14:solidFill>
                          <w14:schemeClr w14:val="tx1"/>
                        </w14:solidFill>
                      </w14:textFill>
                    </w:rPr>
                    <w:t>1</w:t>
                  </w:r>
                  <w:r>
                    <w:rPr>
                      <w:rFonts w:hint="eastAsia" w:ascii="Times New Roman" w:hAnsi="Times New Roman"/>
                      <w:color w:val="000000" w:themeColor="text1"/>
                      <w:sz w:val="21"/>
                      <w:szCs w:val="21"/>
                      <w:u w:val="none"/>
                      <w:lang w:val="en-US" w:eastAsia="zh-CN"/>
                      <w14:textFill>
                        <w14:solidFill>
                          <w14:schemeClr w14:val="tx1"/>
                        </w14:solidFill>
                      </w14:textFill>
                    </w:rPr>
                    <w:t>7</w:t>
                  </w:r>
                </w:p>
              </w:tc>
              <w:tc>
                <w:tcPr>
                  <w:tcW w:w="881" w:type="dxa"/>
                  <w:vAlign w:val="center"/>
                </w:tcPr>
                <w:p w14:paraId="05D4E55F">
                  <w:pPr>
                    <w:pStyle w:val="23"/>
                    <w:widowControl w:val="0"/>
                    <w:spacing w:before="0" w:beforeAutospacing="0" w:after="0" w:afterAutospacing="0" w:line="240" w:lineRule="auto"/>
                    <w:jc w:val="center"/>
                    <w:rPr>
                      <w:rFonts w:hint="default" w:ascii="Times New Roman" w:hAnsi="Times New Roman" w:eastAsia="宋体"/>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0.035</w:t>
                  </w:r>
                </w:p>
              </w:tc>
              <w:tc>
                <w:tcPr>
                  <w:tcW w:w="622" w:type="dxa"/>
                  <w:vAlign w:val="center"/>
                </w:tcPr>
                <w:p w14:paraId="349A239B">
                  <w:pPr>
                    <w:pStyle w:val="23"/>
                    <w:widowControl w:val="0"/>
                    <w:spacing w:before="0" w:beforeAutospacing="0" w:after="0" w:afterAutospacing="0" w:line="240" w:lineRule="auto"/>
                    <w:jc w:val="center"/>
                    <w:rPr>
                      <w:rFonts w:hint="default" w:ascii="Times New Roman" w:hAnsi="Times New Roman" w:eastAsia="宋体"/>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7.60</w:t>
                  </w:r>
                </w:p>
              </w:tc>
              <w:tc>
                <w:tcPr>
                  <w:tcW w:w="626" w:type="dxa"/>
                  <w:vAlign w:val="center"/>
                </w:tcPr>
                <w:p w14:paraId="6AD253C8">
                  <w:pPr>
                    <w:widowControl w:val="0"/>
                    <w:spacing w:before="0" w:beforeAutospacing="0" w:after="0" w:afterAutospacing="0" w:line="240" w:lineRule="auto"/>
                    <w:jc w:val="center"/>
                    <w:rPr>
                      <w:rFonts w:hint="default" w:ascii="Times New Roman" w:hAnsi="Times New Roman" w:eastAsia="宋体"/>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14:textFill>
                        <w14:solidFill>
                          <w14:schemeClr w14:val="tx1"/>
                        </w14:solidFill>
                      </w14:textFill>
                    </w:rPr>
                    <w:t>5级</w:t>
                  </w:r>
                </w:p>
              </w:tc>
            </w:tr>
            <w:tr w14:paraId="439627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81" w:type="dxa"/>
                  <w:vAlign w:val="center"/>
                </w:tcPr>
                <w:p w14:paraId="3ACB2DA7">
                  <w:pPr>
                    <w:pStyle w:val="23"/>
                    <w:widowControl w:val="0"/>
                    <w:spacing w:before="0" w:beforeAutospacing="0" w:after="0" w:afterAutospacing="0" w:line="240" w:lineRule="auto"/>
                    <w:jc w:val="center"/>
                    <w:rPr>
                      <w:rFonts w:hint="eastAsia" w:ascii="Times New Roman" w:hAnsi="Times New Roman"/>
                      <w:color w:val="000000" w:themeColor="text1"/>
                      <w:sz w:val="21"/>
                      <w:szCs w:val="21"/>
                      <w:u w:val="none"/>
                      <w14:textFill>
                        <w14:solidFill>
                          <w14:schemeClr w14:val="tx1"/>
                        </w14:solidFill>
                      </w14:textFill>
                    </w:rPr>
                  </w:pPr>
                  <w:r>
                    <w:rPr>
                      <w:rFonts w:hint="eastAsia" w:ascii="Times New Roman" w:hAnsi="Times New Roman"/>
                      <w:color w:val="000000" w:themeColor="text1"/>
                      <w:sz w:val="21"/>
                      <w:szCs w:val="21"/>
                      <w:u w:val="none"/>
                      <w14:textFill>
                        <w14:solidFill>
                          <w14:schemeClr w14:val="tx1"/>
                        </w14:solidFill>
                      </w14:textFill>
                    </w:rPr>
                    <w:t>Z8</w:t>
                  </w:r>
                </w:p>
              </w:tc>
              <w:tc>
                <w:tcPr>
                  <w:tcW w:w="1306" w:type="dxa"/>
                  <w:vAlign w:val="center"/>
                </w:tcPr>
                <w:p w14:paraId="23B45456">
                  <w:pPr>
                    <w:widowControl w:val="0"/>
                    <w:spacing w:before="0" w:beforeAutospacing="0" w:after="0" w:afterAutospacing="0" w:line="240" w:lineRule="auto"/>
                    <w:jc w:val="center"/>
                    <w:rPr>
                      <w:rFonts w:hint="eastAsia" w:ascii="Times New Roman" w:hAnsi="Times New Roman"/>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12#</w:t>
                  </w:r>
                </w:p>
                <w:p w14:paraId="77947055">
                  <w:pPr>
                    <w:widowControl w:val="0"/>
                    <w:spacing w:before="0" w:beforeAutospacing="0" w:after="0" w:afterAutospacing="0" w:line="240" w:lineRule="auto"/>
                    <w:jc w:val="center"/>
                    <w:rPr>
                      <w:rFonts w:hint="default" w:ascii="Times New Roman" w:hAnsi="Times New Roman"/>
                      <w:color w:val="000000" w:themeColor="text1"/>
                      <w:sz w:val="21"/>
                      <w:szCs w:val="21"/>
                      <w:u w:val="none"/>
                      <w:lang w:val="en-US"/>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风机东侧</w:t>
                  </w:r>
                </w:p>
              </w:tc>
              <w:tc>
                <w:tcPr>
                  <w:tcW w:w="535" w:type="dxa"/>
                  <w:vAlign w:val="center"/>
                </w:tcPr>
                <w:p w14:paraId="286597A1">
                  <w:pPr>
                    <w:widowControl w:val="0"/>
                    <w:spacing w:before="0" w:beforeAutospacing="0" w:after="0" w:afterAutospacing="0" w:line="240" w:lineRule="auto"/>
                    <w:jc w:val="center"/>
                    <w:rPr>
                      <w:rFonts w:hint="eastAsia" w:ascii="Times New Roman" w:hAnsi="Times New Roman"/>
                      <w:color w:val="000000" w:themeColor="text1"/>
                      <w:sz w:val="21"/>
                      <w:szCs w:val="21"/>
                      <w:u w:val="none"/>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山凹</w:t>
                  </w:r>
                </w:p>
              </w:tc>
              <w:tc>
                <w:tcPr>
                  <w:tcW w:w="879" w:type="dxa"/>
                  <w:vAlign w:val="center"/>
                </w:tcPr>
                <w:p w14:paraId="723D0C9C">
                  <w:pPr>
                    <w:pStyle w:val="23"/>
                    <w:widowControl w:val="0"/>
                    <w:spacing w:before="0" w:beforeAutospacing="0" w:after="0" w:afterAutospacing="0" w:line="240" w:lineRule="auto"/>
                    <w:jc w:val="center"/>
                    <w:rPr>
                      <w:rFonts w:hint="default" w:ascii="Times New Roman" w:hAnsi="Times New Roman" w:eastAsia="宋体"/>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0.3</w:t>
                  </w:r>
                </w:p>
              </w:tc>
              <w:tc>
                <w:tcPr>
                  <w:tcW w:w="637" w:type="dxa"/>
                  <w:vAlign w:val="center"/>
                </w:tcPr>
                <w:p w14:paraId="4BC11F7A">
                  <w:pPr>
                    <w:pStyle w:val="23"/>
                    <w:widowControl w:val="0"/>
                    <w:spacing w:before="0" w:beforeAutospacing="0" w:after="0" w:afterAutospacing="0" w:line="240" w:lineRule="auto"/>
                    <w:jc w:val="center"/>
                    <w:rPr>
                      <w:rFonts w:hint="eastAsia" w:ascii="Times New Roman" w:hAnsi="Times New Roman"/>
                      <w:color w:val="000000" w:themeColor="text1"/>
                      <w:sz w:val="21"/>
                      <w:szCs w:val="21"/>
                      <w:u w:val="none"/>
                      <w14:textFill>
                        <w14:solidFill>
                          <w14:schemeClr w14:val="tx1"/>
                        </w14:solidFill>
                      </w14:textFill>
                    </w:rPr>
                  </w:pPr>
                  <w:r>
                    <w:rPr>
                      <w:rFonts w:hint="eastAsia" w:ascii="Times New Roman" w:hAnsi="Times New Roman"/>
                      <w:color w:val="000000" w:themeColor="text1"/>
                      <w:sz w:val="21"/>
                      <w:szCs w:val="21"/>
                      <w:u w:val="none"/>
                      <w14:textFill>
                        <w14:solidFill>
                          <w14:schemeClr w14:val="tx1"/>
                        </w14:solidFill>
                      </w14:textFill>
                    </w:rPr>
                    <w:t>沟道</w:t>
                  </w:r>
                </w:p>
                <w:p w14:paraId="4CA07F6F">
                  <w:pPr>
                    <w:pStyle w:val="23"/>
                    <w:widowControl w:val="0"/>
                    <w:spacing w:before="0" w:beforeAutospacing="0" w:after="0" w:afterAutospacing="0" w:line="240" w:lineRule="auto"/>
                    <w:jc w:val="center"/>
                    <w:rPr>
                      <w:rFonts w:hint="eastAsia" w:ascii="Times New Roman" w:hAnsi="Times New Roman"/>
                      <w:color w:val="000000" w:themeColor="text1"/>
                      <w:sz w:val="21"/>
                      <w:szCs w:val="21"/>
                      <w:u w:val="none"/>
                      <w14:textFill>
                        <w14:solidFill>
                          <w14:schemeClr w14:val="tx1"/>
                        </w14:solidFill>
                      </w14:textFill>
                    </w:rPr>
                  </w:pPr>
                  <w:r>
                    <w:rPr>
                      <w:rFonts w:hint="eastAsia" w:ascii="Times New Roman" w:hAnsi="Times New Roman"/>
                      <w:color w:val="000000" w:themeColor="text1"/>
                      <w:sz w:val="21"/>
                      <w:szCs w:val="21"/>
                      <w:u w:val="none"/>
                      <w14:textFill>
                        <w14:solidFill>
                          <w14:schemeClr w14:val="tx1"/>
                        </w14:solidFill>
                      </w14:textFill>
                    </w:rPr>
                    <w:t>型</w:t>
                  </w:r>
                </w:p>
              </w:tc>
              <w:tc>
                <w:tcPr>
                  <w:tcW w:w="625" w:type="dxa"/>
                  <w:vAlign w:val="center"/>
                </w:tcPr>
                <w:p w14:paraId="7775425F">
                  <w:pPr>
                    <w:pStyle w:val="23"/>
                    <w:widowControl w:val="0"/>
                    <w:spacing w:before="0" w:beforeAutospacing="0" w:after="0" w:afterAutospacing="0" w:line="240" w:lineRule="auto"/>
                    <w:jc w:val="center"/>
                    <w:rPr>
                      <w:rFonts w:hint="default" w:ascii="Times New Roman" w:hAnsi="Times New Roman" w:eastAsia="宋体"/>
                      <w:color w:val="FF0000"/>
                      <w:sz w:val="21"/>
                      <w:szCs w:val="21"/>
                      <w:u w:val="none"/>
                      <w:lang w:val="en-US" w:eastAsia="zh-CN"/>
                    </w:rPr>
                  </w:pPr>
                  <w:r>
                    <w:rPr>
                      <w:rFonts w:hint="eastAsia" w:ascii="Times New Roman" w:hAnsi="Times New Roman"/>
                      <w:color w:val="000000" w:themeColor="text1"/>
                      <w:sz w:val="21"/>
                      <w:szCs w:val="21"/>
                      <w:u w:val="none"/>
                      <w:lang w:val="en-US" w:eastAsia="zh-CN"/>
                      <w14:textFill>
                        <w14:solidFill>
                          <w14:schemeClr w14:val="tx1"/>
                        </w14:solidFill>
                      </w14:textFill>
                    </w:rPr>
                    <w:t>2.73</w:t>
                  </w:r>
                </w:p>
              </w:tc>
              <w:tc>
                <w:tcPr>
                  <w:tcW w:w="673" w:type="dxa"/>
                  <w:vAlign w:val="center"/>
                </w:tcPr>
                <w:p w14:paraId="0B72DBE9">
                  <w:pPr>
                    <w:pStyle w:val="23"/>
                    <w:widowControl w:val="0"/>
                    <w:spacing w:before="0" w:beforeAutospacing="0" w:after="0" w:afterAutospacing="0" w:line="240" w:lineRule="auto"/>
                    <w:jc w:val="center"/>
                    <w:rPr>
                      <w:rFonts w:hint="default" w:ascii="Times New Roman" w:hAnsi="Times New Roman" w:eastAsia="宋体"/>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12</w:t>
                  </w:r>
                </w:p>
              </w:tc>
              <w:tc>
                <w:tcPr>
                  <w:tcW w:w="673" w:type="dxa"/>
                  <w:vAlign w:val="center"/>
                </w:tcPr>
                <w:p w14:paraId="0049AE13">
                  <w:pPr>
                    <w:pStyle w:val="23"/>
                    <w:widowControl w:val="0"/>
                    <w:spacing w:before="0" w:beforeAutospacing="0" w:after="0" w:afterAutospacing="0" w:line="240" w:lineRule="auto"/>
                    <w:jc w:val="center"/>
                    <w:rPr>
                      <w:rFonts w:hint="eastAsia" w:ascii="Times New Roman" w:hAnsi="Times New Roman" w:eastAsia="宋体"/>
                      <w:color w:val="000000" w:themeColor="text1"/>
                      <w:sz w:val="21"/>
                      <w:szCs w:val="21"/>
                      <w:u w:val="none"/>
                      <w:lang w:eastAsia="zh-CN"/>
                      <w14:textFill>
                        <w14:solidFill>
                          <w14:schemeClr w14:val="tx1"/>
                        </w14:solidFill>
                      </w14:textFill>
                    </w:rPr>
                  </w:pPr>
                  <w:r>
                    <w:rPr>
                      <w:rFonts w:hint="eastAsia" w:ascii="Times New Roman" w:hAnsi="Times New Roman"/>
                      <w:color w:val="000000" w:themeColor="text1"/>
                      <w:sz w:val="21"/>
                      <w:szCs w:val="21"/>
                      <w:u w:val="none"/>
                      <w14:textFill>
                        <w14:solidFill>
                          <w14:schemeClr w14:val="tx1"/>
                        </w14:solidFill>
                      </w14:textFill>
                    </w:rPr>
                    <w:t>1</w:t>
                  </w:r>
                  <w:r>
                    <w:rPr>
                      <w:rFonts w:hint="eastAsia" w:ascii="Times New Roman" w:hAnsi="Times New Roman"/>
                      <w:color w:val="000000" w:themeColor="text1"/>
                      <w:sz w:val="21"/>
                      <w:szCs w:val="21"/>
                      <w:u w:val="none"/>
                      <w:lang w:val="en-US" w:eastAsia="zh-CN"/>
                      <w14:textFill>
                        <w14:solidFill>
                          <w14:schemeClr w14:val="tx1"/>
                        </w14:solidFill>
                      </w14:textFill>
                    </w:rPr>
                    <w:t>9</w:t>
                  </w:r>
                </w:p>
              </w:tc>
              <w:tc>
                <w:tcPr>
                  <w:tcW w:w="881" w:type="dxa"/>
                  <w:vAlign w:val="center"/>
                </w:tcPr>
                <w:p w14:paraId="504DD386">
                  <w:pPr>
                    <w:pStyle w:val="23"/>
                    <w:widowControl w:val="0"/>
                    <w:spacing w:before="0" w:beforeAutospacing="0" w:after="0" w:afterAutospacing="0" w:line="240" w:lineRule="auto"/>
                    <w:jc w:val="center"/>
                    <w:rPr>
                      <w:rFonts w:hint="default" w:ascii="Times New Roman" w:hAnsi="Times New Roman" w:eastAsia="宋体"/>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0.021</w:t>
                  </w:r>
                </w:p>
              </w:tc>
              <w:tc>
                <w:tcPr>
                  <w:tcW w:w="622" w:type="dxa"/>
                  <w:vAlign w:val="center"/>
                </w:tcPr>
                <w:p w14:paraId="08315179">
                  <w:pPr>
                    <w:pStyle w:val="23"/>
                    <w:widowControl w:val="0"/>
                    <w:spacing w:before="0" w:beforeAutospacing="0" w:after="0" w:afterAutospacing="0" w:line="240" w:lineRule="auto"/>
                    <w:jc w:val="center"/>
                    <w:rPr>
                      <w:rFonts w:hint="default" w:ascii="Times New Roman" w:hAnsi="Times New Roman" w:eastAsia="宋体"/>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3.60</w:t>
                  </w:r>
                </w:p>
              </w:tc>
              <w:tc>
                <w:tcPr>
                  <w:tcW w:w="626" w:type="dxa"/>
                  <w:vAlign w:val="center"/>
                </w:tcPr>
                <w:p w14:paraId="7F473389">
                  <w:pPr>
                    <w:widowControl w:val="0"/>
                    <w:spacing w:before="0" w:beforeAutospacing="0" w:after="0" w:afterAutospacing="0" w:line="240" w:lineRule="auto"/>
                    <w:jc w:val="center"/>
                    <w:rPr>
                      <w:rFonts w:hint="default" w:ascii="Times New Roman" w:hAnsi="Times New Roman" w:eastAsia="宋体"/>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14:textFill>
                        <w14:solidFill>
                          <w14:schemeClr w14:val="tx1"/>
                        </w14:solidFill>
                      </w14:textFill>
                    </w:rPr>
                    <w:t>5级</w:t>
                  </w:r>
                </w:p>
              </w:tc>
            </w:tr>
            <w:tr w14:paraId="718776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81" w:type="dxa"/>
                  <w:vAlign w:val="center"/>
                </w:tcPr>
                <w:p w14:paraId="56E19474">
                  <w:pPr>
                    <w:pStyle w:val="23"/>
                    <w:widowControl w:val="0"/>
                    <w:spacing w:before="0" w:beforeAutospacing="0" w:after="0" w:afterAutospacing="0" w:line="240" w:lineRule="auto"/>
                    <w:jc w:val="center"/>
                    <w:rPr>
                      <w:rFonts w:hint="eastAsia" w:ascii="Times New Roman" w:hAnsi="Times New Roman"/>
                      <w:color w:val="000000" w:themeColor="text1"/>
                      <w:sz w:val="21"/>
                      <w:szCs w:val="21"/>
                      <w:u w:val="none"/>
                      <w14:textFill>
                        <w14:solidFill>
                          <w14:schemeClr w14:val="tx1"/>
                        </w14:solidFill>
                      </w14:textFill>
                    </w:rPr>
                  </w:pPr>
                  <w:r>
                    <w:rPr>
                      <w:rFonts w:hint="eastAsia" w:ascii="Times New Roman" w:hAnsi="Times New Roman"/>
                      <w:color w:val="000000" w:themeColor="text1"/>
                      <w:sz w:val="21"/>
                      <w:szCs w:val="21"/>
                      <w:u w:val="none"/>
                      <w14:textFill>
                        <w14:solidFill>
                          <w14:schemeClr w14:val="tx1"/>
                        </w14:solidFill>
                      </w14:textFill>
                    </w:rPr>
                    <w:t>Z9</w:t>
                  </w:r>
                </w:p>
              </w:tc>
              <w:tc>
                <w:tcPr>
                  <w:tcW w:w="1306" w:type="dxa"/>
                  <w:vAlign w:val="center"/>
                </w:tcPr>
                <w:p w14:paraId="4A1D4EBE">
                  <w:pPr>
                    <w:widowControl w:val="0"/>
                    <w:spacing w:before="0" w:beforeAutospacing="0" w:after="0" w:afterAutospacing="0" w:line="240" w:lineRule="auto"/>
                    <w:jc w:val="center"/>
                    <w:rPr>
                      <w:rFonts w:hint="default" w:ascii="Times New Roman" w:hAnsi="Times New Roman"/>
                      <w:color w:val="000000" w:themeColor="text1"/>
                      <w:sz w:val="21"/>
                      <w:szCs w:val="21"/>
                      <w:u w:val="none"/>
                      <w:lang w:val="en-US"/>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14#风机东侧</w:t>
                  </w:r>
                </w:p>
              </w:tc>
              <w:tc>
                <w:tcPr>
                  <w:tcW w:w="535" w:type="dxa"/>
                  <w:vAlign w:val="center"/>
                </w:tcPr>
                <w:p w14:paraId="22FC2C43">
                  <w:pPr>
                    <w:widowControl w:val="0"/>
                    <w:spacing w:before="0" w:beforeAutospacing="0" w:after="0" w:afterAutospacing="0" w:line="240" w:lineRule="auto"/>
                    <w:jc w:val="center"/>
                    <w:rPr>
                      <w:rFonts w:hint="eastAsia" w:ascii="Times New Roman" w:hAnsi="Times New Roman"/>
                      <w:color w:val="000000" w:themeColor="text1"/>
                      <w:sz w:val="21"/>
                      <w:szCs w:val="21"/>
                      <w:u w:val="none"/>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山凹</w:t>
                  </w:r>
                </w:p>
              </w:tc>
              <w:tc>
                <w:tcPr>
                  <w:tcW w:w="879" w:type="dxa"/>
                  <w:vAlign w:val="center"/>
                </w:tcPr>
                <w:p w14:paraId="124A2B4A">
                  <w:pPr>
                    <w:pStyle w:val="23"/>
                    <w:widowControl w:val="0"/>
                    <w:spacing w:before="0" w:beforeAutospacing="0" w:after="0" w:afterAutospacing="0" w:line="240" w:lineRule="auto"/>
                    <w:jc w:val="center"/>
                    <w:rPr>
                      <w:rFonts w:hint="default" w:ascii="Times New Roman" w:hAnsi="Times New Roman" w:eastAsia="宋体"/>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0.91</w:t>
                  </w:r>
                </w:p>
              </w:tc>
              <w:tc>
                <w:tcPr>
                  <w:tcW w:w="637" w:type="dxa"/>
                  <w:vAlign w:val="center"/>
                </w:tcPr>
                <w:p w14:paraId="1D7A0ECB">
                  <w:pPr>
                    <w:pStyle w:val="23"/>
                    <w:widowControl w:val="0"/>
                    <w:spacing w:before="0" w:beforeAutospacing="0" w:after="0" w:afterAutospacing="0" w:line="240" w:lineRule="auto"/>
                    <w:jc w:val="center"/>
                    <w:rPr>
                      <w:rFonts w:hint="eastAsia" w:ascii="Times New Roman" w:hAnsi="Times New Roman"/>
                      <w:color w:val="000000" w:themeColor="text1"/>
                      <w:sz w:val="21"/>
                      <w:szCs w:val="21"/>
                      <w:u w:val="none"/>
                      <w14:textFill>
                        <w14:solidFill>
                          <w14:schemeClr w14:val="tx1"/>
                        </w14:solidFill>
                      </w14:textFill>
                    </w:rPr>
                  </w:pPr>
                  <w:r>
                    <w:rPr>
                      <w:rFonts w:hint="eastAsia" w:ascii="Times New Roman" w:hAnsi="Times New Roman"/>
                      <w:color w:val="000000" w:themeColor="text1"/>
                      <w:sz w:val="21"/>
                      <w:szCs w:val="21"/>
                      <w:u w:val="none"/>
                      <w14:textFill>
                        <w14:solidFill>
                          <w14:schemeClr w14:val="tx1"/>
                        </w14:solidFill>
                      </w14:textFill>
                    </w:rPr>
                    <w:t>沟道型</w:t>
                  </w:r>
                </w:p>
              </w:tc>
              <w:tc>
                <w:tcPr>
                  <w:tcW w:w="625" w:type="dxa"/>
                  <w:vAlign w:val="center"/>
                </w:tcPr>
                <w:p w14:paraId="34BB79B6">
                  <w:pPr>
                    <w:pStyle w:val="23"/>
                    <w:widowControl w:val="0"/>
                    <w:spacing w:before="0" w:beforeAutospacing="0" w:after="0" w:afterAutospacing="0" w:line="240" w:lineRule="auto"/>
                    <w:jc w:val="center"/>
                    <w:rPr>
                      <w:rFonts w:hint="default" w:ascii="Times New Roman" w:hAnsi="Times New Roman" w:eastAsia="宋体"/>
                      <w:color w:val="FF0000"/>
                      <w:sz w:val="21"/>
                      <w:szCs w:val="21"/>
                      <w:u w:val="none"/>
                      <w:lang w:val="en-US" w:eastAsia="zh-CN"/>
                    </w:rPr>
                  </w:pPr>
                  <w:r>
                    <w:rPr>
                      <w:rFonts w:hint="eastAsia" w:ascii="Times New Roman" w:hAnsi="Times New Roman"/>
                      <w:color w:val="000000" w:themeColor="text1"/>
                      <w:sz w:val="21"/>
                      <w:szCs w:val="21"/>
                      <w:u w:val="none"/>
                      <w:lang w:val="en-US" w:eastAsia="zh-CN"/>
                      <w14:textFill>
                        <w14:solidFill>
                          <w14:schemeClr w14:val="tx1"/>
                        </w14:solidFill>
                      </w14:textFill>
                    </w:rPr>
                    <w:t>11.30</w:t>
                  </w:r>
                </w:p>
              </w:tc>
              <w:tc>
                <w:tcPr>
                  <w:tcW w:w="673" w:type="dxa"/>
                  <w:vAlign w:val="center"/>
                </w:tcPr>
                <w:p w14:paraId="19A8E778">
                  <w:pPr>
                    <w:pStyle w:val="23"/>
                    <w:widowControl w:val="0"/>
                    <w:spacing w:before="0" w:beforeAutospacing="0" w:after="0" w:afterAutospacing="0" w:line="240" w:lineRule="auto"/>
                    <w:jc w:val="center"/>
                    <w:rPr>
                      <w:rFonts w:hint="default" w:ascii="Times New Roman" w:hAnsi="Times New Roman" w:eastAsia="宋体"/>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13</w:t>
                  </w:r>
                </w:p>
              </w:tc>
              <w:tc>
                <w:tcPr>
                  <w:tcW w:w="673" w:type="dxa"/>
                  <w:vAlign w:val="center"/>
                </w:tcPr>
                <w:p w14:paraId="2D9A8653">
                  <w:pPr>
                    <w:pStyle w:val="23"/>
                    <w:widowControl w:val="0"/>
                    <w:spacing w:before="0" w:beforeAutospacing="0" w:after="0" w:afterAutospacing="0" w:line="240" w:lineRule="auto"/>
                    <w:jc w:val="center"/>
                    <w:rPr>
                      <w:rFonts w:hint="eastAsia" w:ascii="Times New Roman" w:hAnsi="Times New Roman" w:eastAsia="宋体"/>
                      <w:color w:val="000000" w:themeColor="text1"/>
                      <w:sz w:val="21"/>
                      <w:szCs w:val="21"/>
                      <w:u w:val="none"/>
                      <w:lang w:eastAsia="zh-CN"/>
                      <w14:textFill>
                        <w14:solidFill>
                          <w14:schemeClr w14:val="tx1"/>
                        </w14:solidFill>
                      </w14:textFill>
                    </w:rPr>
                  </w:pPr>
                  <w:r>
                    <w:rPr>
                      <w:rFonts w:hint="eastAsia" w:ascii="Times New Roman" w:hAnsi="Times New Roman"/>
                      <w:color w:val="000000" w:themeColor="text1"/>
                      <w:sz w:val="21"/>
                      <w:szCs w:val="21"/>
                      <w:u w:val="none"/>
                      <w14:textFill>
                        <w14:solidFill>
                          <w14:schemeClr w14:val="tx1"/>
                        </w14:solidFill>
                      </w14:textFill>
                    </w:rPr>
                    <w:t>1</w:t>
                  </w:r>
                  <w:r>
                    <w:rPr>
                      <w:rFonts w:hint="eastAsia" w:ascii="Times New Roman" w:hAnsi="Times New Roman"/>
                      <w:color w:val="000000" w:themeColor="text1"/>
                      <w:sz w:val="21"/>
                      <w:szCs w:val="21"/>
                      <w:u w:val="none"/>
                      <w:lang w:val="en-US" w:eastAsia="zh-CN"/>
                      <w14:textFill>
                        <w14:solidFill>
                          <w14:schemeClr w14:val="tx1"/>
                        </w14:solidFill>
                      </w14:textFill>
                    </w:rPr>
                    <w:t>9</w:t>
                  </w:r>
                </w:p>
              </w:tc>
              <w:tc>
                <w:tcPr>
                  <w:tcW w:w="881" w:type="dxa"/>
                  <w:vAlign w:val="center"/>
                </w:tcPr>
                <w:p w14:paraId="3AF4BE3A">
                  <w:pPr>
                    <w:pStyle w:val="23"/>
                    <w:widowControl w:val="0"/>
                    <w:spacing w:before="0" w:beforeAutospacing="0" w:after="0" w:afterAutospacing="0" w:line="240" w:lineRule="auto"/>
                    <w:jc w:val="center"/>
                    <w:rPr>
                      <w:rFonts w:hint="default" w:ascii="Times New Roman" w:hAnsi="Times New Roman" w:eastAsia="宋体"/>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0.041</w:t>
                  </w:r>
                </w:p>
              </w:tc>
              <w:tc>
                <w:tcPr>
                  <w:tcW w:w="622" w:type="dxa"/>
                  <w:vAlign w:val="center"/>
                </w:tcPr>
                <w:p w14:paraId="7E8B9BA2">
                  <w:pPr>
                    <w:pStyle w:val="23"/>
                    <w:widowControl w:val="0"/>
                    <w:spacing w:before="0" w:beforeAutospacing="0" w:after="0" w:afterAutospacing="0" w:line="240" w:lineRule="auto"/>
                    <w:jc w:val="center"/>
                    <w:rPr>
                      <w:rFonts w:hint="default" w:ascii="Times New Roman" w:hAnsi="Times New Roman" w:eastAsia="宋体"/>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11.83</w:t>
                  </w:r>
                </w:p>
              </w:tc>
              <w:tc>
                <w:tcPr>
                  <w:tcW w:w="626" w:type="dxa"/>
                  <w:vAlign w:val="center"/>
                </w:tcPr>
                <w:p w14:paraId="77B581C8">
                  <w:pPr>
                    <w:widowControl w:val="0"/>
                    <w:spacing w:before="0" w:beforeAutospacing="0" w:after="0" w:afterAutospacing="0" w:line="240" w:lineRule="auto"/>
                    <w:jc w:val="center"/>
                    <w:rPr>
                      <w:rFonts w:hint="default" w:ascii="Times New Roman" w:hAnsi="Times New Roman" w:eastAsia="宋体"/>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14:textFill>
                        <w14:solidFill>
                          <w14:schemeClr w14:val="tx1"/>
                        </w14:solidFill>
                      </w14:textFill>
                    </w:rPr>
                    <w:t>5级</w:t>
                  </w:r>
                </w:p>
              </w:tc>
            </w:tr>
            <w:tr w14:paraId="0257BC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687" w:type="dxa"/>
                  <w:gridSpan w:val="2"/>
                  <w:vAlign w:val="center"/>
                </w:tcPr>
                <w:p w14:paraId="5990AF42">
                  <w:pPr>
                    <w:pStyle w:val="23"/>
                    <w:widowControl w:val="0"/>
                    <w:spacing w:before="0" w:beforeAutospacing="0" w:after="0" w:afterAutospacing="0" w:line="240" w:lineRule="auto"/>
                    <w:jc w:val="center"/>
                    <w:rPr>
                      <w:rFonts w:hint="eastAsia" w:ascii="Times New Roman" w:hAnsi="Times New Roman"/>
                      <w:color w:val="000000" w:themeColor="text1"/>
                      <w:sz w:val="21"/>
                      <w:szCs w:val="21"/>
                      <w:u w:val="none"/>
                      <w14:textFill>
                        <w14:solidFill>
                          <w14:schemeClr w14:val="tx1"/>
                        </w14:solidFill>
                      </w14:textFill>
                    </w:rPr>
                  </w:pPr>
                  <w:r>
                    <w:rPr>
                      <w:rFonts w:hint="eastAsia" w:ascii="Times New Roman" w:hAnsi="Times New Roman"/>
                      <w:color w:val="000000" w:themeColor="text1"/>
                      <w:sz w:val="21"/>
                      <w:szCs w:val="21"/>
                      <w:u w:val="none"/>
                      <w14:textFill>
                        <w14:solidFill>
                          <w14:schemeClr w14:val="tx1"/>
                        </w14:solidFill>
                      </w14:textFill>
                    </w:rPr>
                    <w:t>合计</w:t>
                  </w:r>
                </w:p>
              </w:tc>
              <w:tc>
                <w:tcPr>
                  <w:tcW w:w="535" w:type="dxa"/>
                  <w:vAlign w:val="center"/>
                </w:tcPr>
                <w:p w14:paraId="2624C5C4">
                  <w:pPr>
                    <w:pStyle w:val="23"/>
                    <w:widowControl w:val="0"/>
                    <w:spacing w:before="0" w:beforeAutospacing="0" w:after="0" w:afterAutospacing="0" w:line="240" w:lineRule="auto"/>
                    <w:jc w:val="center"/>
                    <w:rPr>
                      <w:rFonts w:hint="eastAsia" w:ascii="Times New Roman" w:hAnsi="Times New Roman"/>
                      <w:color w:val="000000" w:themeColor="text1"/>
                      <w:sz w:val="21"/>
                      <w:szCs w:val="21"/>
                      <w:u w:val="none"/>
                      <w14:textFill>
                        <w14:solidFill>
                          <w14:schemeClr w14:val="tx1"/>
                        </w14:solidFill>
                      </w14:textFill>
                    </w:rPr>
                  </w:pPr>
                </w:p>
              </w:tc>
              <w:tc>
                <w:tcPr>
                  <w:tcW w:w="879" w:type="dxa"/>
                  <w:vAlign w:val="center"/>
                </w:tcPr>
                <w:p w14:paraId="0DF106E8">
                  <w:pPr>
                    <w:pStyle w:val="23"/>
                    <w:widowControl w:val="0"/>
                    <w:spacing w:before="0" w:beforeAutospacing="0" w:after="0" w:afterAutospacing="0" w:line="240" w:lineRule="auto"/>
                    <w:jc w:val="center"/>
                    <w:rPr>
                      <w:rFonts w:hint="default" w:ascii="Times New Roman" w:hAnsi="Times New Roman" w:eastAsia="宋体"/>
                      <w:color w:val="000000" w:themeColor="text1"/>
                      <w:sz w:val="21"/>
                      <w:szCs w:val="21"/>
                      <w:u w:val="none"/>
                      <w:lang w:val="en-US" w:eastAsia="zh-CN"/>
                      <w14:textFill>
                        <w14:solidFill>
                          <w14:schemeClr w14:val="tx1"/>
                        </w14:solidFill>
                      </w14:textFill>
                    </w:rPr>
                  </w:pPr>
                </w:p>
              </w:tc>
              <w:tc>
                <w:tcPr>
                  <w:tcW w:w="637" w:type="dxa"/>
                  <w:vAlign w:val="center"/>
                </w:tcPr>
                <w:p w14:paraId="43C105C6">
                  <w:pPr>
                    <w:pStyle w:val="23"/>
                    <w:widowControl w:val="0"/>
                    <w:spacing w:before="0" w:beforeAutospacing="0" w:after="0" w:afterAutospacing="0" w:line="240" w:lineRule="auto"/>
                    <w:jc w:val="center"/>
                    <w:rPr>
                      <w:rFonts w:hint="eastAsia" w:ascii="Times New Roman" w:hAnsi="Times New Roman"/>
                      <w:color w:val="FF0000"/>
                      <w:sz w:val="21"/>
                      <w:szCs w:val="21"/>
                      <w:u w:val="none"/>
                    </w:rPr>
                  </w:pPr>
                </w:p>
              </w:tc>
              <w:tc>
                <w:tcPr>
                  <w:tcW w:w="625" w:type="dxa"/>
                  <w:vAlign w:val="center"/>
                </w:tcPr>
                <w:p w14:paraId="7E32617A">
                  <w:pPr>
                    <w:pStyle w:val="23"/>
                    <w:widowControl w:val="0"/>
                    <w:spacing w:before="0" w:beforeAutospacing="0" w:after="0" w:afterAutospacing="0" w:line="240" w:lineRule="auto"/>
                    <w:jc w:val="center"/>
                    <w:rPr>
                      <w:rFonts w:hint="default" w:ascii="Times New Roman" w:hAnsi="Times New Roman" w:eastAsia="宋体"/>
                      <w:color w:val="FF0000"/>
                      <w:sz w:val="21"/>
                      <w:szCs w:val="21"/>
                      <w:u w:val="none"/>
                      <w:lang w:val="en-US" w:eastAsia="zh-CN"/>
                    </w:rPr>
                  </w:pPr>
                  <w:r>
                    <w:rPr>
                      <w:rFonts w:hint="eastAsia" w:ascii="Times New Roman" w:hAnsi="Times New Roman"/>
                      <w:color w:val="000000" w:themeColor="text1"/>
                      <w:sz w:val="21"/>
                      <w:szCs w:val="21"/>
                      <w:u w:val="none"/>
                      <w:lang w:val="en-US" w:eastAsia="zh-CN"/>
                      <w14:textFill>
                        <w14:solidFill>
                          <w14:schemeClr w14:val="tx1"/>
                        </w14:solidFill>
                      </w14:textFill>
                    </w:rPr>
                    <w:t>59.21</w:t>
                  </w:r>
                </w:p>
              </w:tc>
              <w:tc>
                <w:tcPr>
                  <w:tcW w:w="673" w:type="dxa"/>
                  <w:vAlign w:val="center"/>
                </w:tcPr>
                <w:p w14:paraId="4B818124">
                  <w:pPr>
                    <w:pStyle w:val="23"/>
                    <w:widowControl w:val="0"/>
                    <w:spacing w:before="0" w:beforeAutospacing="0" w:after="0" w:afterAutospacing="0" w:line="240" w:lineRule="auto"/>
                    <w:jc w:val="center"/>
                    <w:rPr>
                      <w:rFonts w:hint="default" w:ascii="Times New Roman" w:hAnsi="Times New Roman" w:eastAsia="宋体"/>
                      <w:color w:val="000000" w:themeColor="text1"/>
                      <w:sz w:val="21"/>
                      <w:szCs w:val="21"/>
                      <w:u w:val="none"/>
                      <w:lang w:val="en-US" w:eastAsia="zh-CN"/>
                      <w14:textFill>
                        <w14:solidFill>
                          <w14:schemeClr w14:val="tx1"/>
                        </w14:solidFill>
                      </w14:textFill>
                    </w:rPr>
                  </w:pPr>
                </w:p>
              </w:tc>
              <w:tc>
                <w:tcPr>
                  <w:tcW w:w="673" w:type="dxa"/>
                  <w:vAlign w:val="center"/>
                </w:tcPr>
                <w:p w14:paraId="6EB82727">
                  <w:pPr>
                    <w:pStyle w:val="23"/>
                    <w:widowControl w:val="0"/>
                    <w:spacing w:before="0" w:beforeAutospacing="0" w:after="0" w:afterAutospacing="0" w:line="240" w:lineRule="auto"/>
                    <w:jc w:val="center"/>
                    <w:rPr>
                      <w:rFonts w:hint="eastAsia" w:ascii="Times New Roman" w:hAnsi="Times New Roman"/>
                      <w:color w:val="FF0000"/>
                      <w:sz w:val="21"/>
                      <w:szCs w:val="21"/>
                      <w:u w:val="none"/>
                    </w:rPr>
                  </w:pPr>
                </w:p>
              </w:tc>
              <w:tc>
                <w:tcPr>
                  <w:tcW w:w="881" w:type="dxa"/>
                  <w:vAlign w:val="center"/>
                </w:tcPr>
                <w:p w14:paraId="1B812F90">
                  <w:pPr>
                    <w:pStyle w:val="23"/>
                    <w:widowControl w:val="0"/>
                    <w:spacing w:before="0" w:beforeAutospacing="0" w:after="0" w:afterAutospacing="0" w:line="240" w:lineRule="auto"/>
                    <w:jc w:val="center"/>
                    <w:rPr>
                      <w:rFonts w:hint="default" w:ascii="Times New Roman" w:hAnsi="Times New Roman" w:eastAsia="宋体"/>
                      <w:color w:val="FF0000"/>
                      <w:sz w:val="21"/>
                      <w:szCs w:val="21"/>
                      <w:u w:val="none"/>
                      <w:lang w:val="en-US" w:eastAsia="zh-CN"/>
                    </w:rPr>
                  </w:pPr>
                </w:p>
              </w:tc>
              <w:tc>
                <w:tcPr>
                  <w:tcW w:w="622" w:type="dxa"/>
                  <w:vAlign w:val="center"/>
                </w:tcPr>
                <w:p w14:paraId="1E02FC86">
                  <w:pPr>
                    <w:pStyle w:val="23"/>
                    <w:widowControl w:val="0"/>
                    <w:spacing w:before="0" w:beforeAutospacing="0" w:after="0" w:afterAutospacing="0" w:line="240" w:lineRule="auto"/>
                    <w:jc w:val="center"/>
                    <w:rPr>
                      <w:rFonts w:hint="default" w:ascii="Times New Roman" w:hAnsi="Times New Roman" w:eastAsia="宋体"/>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68.05</w:t>
                  </w:r>
                </w:p>
              </w:tc>
              <w:tc>
                <w:tcPr>
                  <w:tcW w:w="626" w:type="dxa"/>
                  <w:vAlign w:val="center"/>
                </w:tcPr>
                <w:p w14:paraId="1F5A85BA">
                  <w:pPr>
                    <w:pStyle w:val="23"/>
                    <w:widowControl w:val="0"/>
                    <w:spacing w:before="0" w:beforeAutospacing="0" w:after="0" w:afterAutospacing="0" w:line="240" w:lineRule="auto"/>
                    <w:jc w:val="center"/>
                    <w:rPr>
                      <w:rFonts w:hint="default" w:ascii="Times New Roman" w:hAnsi="Times New Roman" w:eastAsia="宋体"/>
                      <w:color w:val="000000" w:themeColor="text1"/>
                      <w:sz w:val="21"/>
                      <w:szCs w:val="21"/>
                      <w:u w:val="none"/>
                      <w:lang w:val="en-US" w:eastAsia="zh-CN"/>
                      <w14:textFill>
                        <w14:solidFill>
                          <w14:schemeClr w14:val="tx1"/>
                        </w14:solidFill>
                      </w14:textFill>
                    </w:rPr>
                  </w:pPr>
                </w:p>
              </w:tc>
            </w:tr>
          </w:tbl>
          <w:p w14:paraId="7F6B1A2A">
            <w:pPr>
              <w:pStyle w:val="89"/>
              <w:spacing w:line="240" w:lineRule="auto"/>
              <w:ind w:firstLine="2951" w:firstLineChars="1400"/>
              <w:jc w:val="both"/>
              <w:rPr>
                <w:color w:val="FF0000"/>
                <w:highlight w:val="none"/>
                <w:u w:val="none"/>
              </w:rPr>
            </w:pPr>
          </w:p>
          <w:p w14:paraId="680BDFBF">
            <w:pPr>
              <w:pStyle w:val="89"/>
              <w:spacing w:line="240" w:lineRule="auto"/>
              <w:ind w:firstLine="2951" w:firstLineChars="1400"/>
              <w:jc w:val="both"/>
              <w:rPr>
                <w:color w:val="000000" w:themeColor="text1"/>
                <w:u w:val="none"/>
                <w14:textFill>
                  <w14:solidFill>
                    <w14:schemeClr w14:val="tx1"/>
                  </w14:solidFill>
                </w14:textFill>
              </w:rPr>
            </w:pPr>
            <w:r>
              <w:rPr>
                <w:color w:val="000000" w:themeColor="text1"/>
                <w:highlight w:val="none"/>
                <w:u w:val="none"/>
                <w14:textFill>
                  <w14:solidFill>
                    <w14:schemeClr w14:val="tx1"/>
                  </w14:solidFill>
                </w14:textFill>
              </w:rPr>
              <w:t>表</w:t>
            </w:r>
            <w:r>
              <w:rPr>
                <w:rFonts w:hint="eastAsia"/>
                <w:color w:val="000000" w:themeColor="text1"/>
                <w:highlight w:val="none"/>
                <w:u w:val="none"/>
                <w14:textFill>
                  <w14:solidFill>
                    <w14:schemeClr w14:val="tx1"/>
                  </w14:solidFill>
                </w14:textFill>
              </w:rPr>
              <w:t>2.4-</w:t>
            </w:r>
            <w:r>
              <w:rPr>
                <w:rFonts w:hint="eastAsia"/>
                <w:color w:val="000000" w:themeColor="text1"/>
                <w:highlight w:val="none"/>
                <w:u w:val="none"/>
                <w:lang w:val="en-US" w:eastAsia="zh-CN"/>
                <w14:textFill>
                  <w14:solidFill>
                    <w14:schemeClr w14:val="tx1"/>
                  </w14:solidFill>
                </w14:textFill>
              </w:rPr>
              <w:t xml:space="preserve">4 </w:t>
            </w:r>
            <w:r>
              <w:rPr>
                <w:rFonts w:hint="eastAsia"/>
                <w:color w:val="000000" w:themeColor="text1"/>
                <w:u w:val="none"/>
                <w14:textFill>
                  <w14:solidFill>
                    <w14:schemeClr w14:val="tx1"/>
                  </w14:solidFill>
                </w14:textFill>
              </w:rPr>
              <w:t>各弃渣场弃渣来源表</w:t>
            </w:r>
          </w:p>
          <w:tbl>
            <w:tblPr>
              <w:tblStyle w:val="26"/>
              <w:tblW w:w="4998" w:type="pct"/>
              <w:tblInd w:w="-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27"/>
              <w:gridCol w:w="1892"/>
              <w:gridCol w:w="1544"/>
              <w:gridCol w:w="3490"/>
              <w:gridCol w:w="484"/>
            </w:tblGrid>
            <w:tr w14:paraId="21AD24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73" w:type="pct"/>
                  <w:tcBorders>
                    <w:top w:val="single" w:color="auto" w:sz="4" w:space="0"/>
                  </w:tcBorders>
                  <w:vAlign w:val="center"/>
                </w:tcPr>
                <w:p w14:paraId="25C574D5">
                  <w:pPr>
                    <w:pStyle w:val="23"/>
                    <w:widowControl w:val="0"/>
                    <w:spacing w:before="0" w:beforeAutospacing="0" w:after="0" w:afterAutospacing="0" w:line="240" w:lineRule="auto"/>
                    <w:jc w:val="center"/>
                    <w:rPr>
                      <w:rFonts w:hint="eastAsia" w:ascii="Times New Roman" w:hAnsi="Times New Roman"/>
                      <w:color w:val="000000" w:themeColor="text1"/>
                      <w:sz w:val="21"/>
                      <w:szCs w:val="21"/>
                      <w:u w:val="none"/>
                      <w14:textFill>
                        <w14:solidFill>
                          <w14:schemeClr w14:val="tx1"/>
                        </w14:solidFill>
                      </w14:textFill>
                    </w:rPr>
                  </w:pPr>
                  <w:r>
                    <w:rPr>
                      <w:rFonts w:hint="eastAsia" w:ascii="Times New Roman" w:hAnsi="Times New Roman"/>
                      <w:b/>
                      <w:bCs/>
                      <w:color w:val="000000" w:themeColor="text1"/>
                      <w:sz w:val="21"/>
                      <w:szCs w:val="21"/>
                      <w:u w:val="none"/>
                      <w14:textFill>
                        <w14:solidFill>
                          <w14:schemeClr w14:val="tx1"/>
                        </w14:solidFill>
                      </w14:textFill>
                    </w:rPr>
                    <w:t>渣场名称</w:t>
                  </w:r>
                </w:p>
              </w:tc>
              <w:tc>
                <w:tcPr>
                  <w:tcW w:w="1207" w:type="pct"/>
                  <w:vAlign w:val="center"/>
                </w:tcPr>
                <w:p w14:paraId="52B2EAF5">
                  <w:pPr>
                    <w:pStyle w:val="23"/>
                    <w:widowControl w:val="0"/>
                    <w:spacing w:before="0" w:beforeAutospacing="0" w:after="0" w:afterAutospacing="0" w:line="240" w:lineRule="auto"/>
                    <w:jc w:val="center"/>
                    <w:rPr>
                      <w:rFonts w:hint="default" w:ascii="Times New Roman" w:hAnsi="Times New Roman" w:eastAsia="宋体"/>
                      <w:b/>
                      <w:bCs/>
                      <w:color w:val="000000" w:themeColor="text1"/>
                      <w:sz w:val="21"/>
                      <w:szCs w:val="21"/>
                      <w:u w:val="none"/>
                      <w:lang w:val="en-US" w:eastAsia="zh-CN"/>
                      <w14:textFill>
                        <w14:solidFill>
                          <w14:schemeClr w14:val="tx1"/>
                        </w14:solidFill>
                      </w14:textFill>
                    </w:rPr>
                  </w:pPr>
                  <w:r>
                    <w:rPr>
                      <w:rFonts w:hint="eastAsia" w:ascii="Times New Roman" w:hAnsi="Times New Roman"/>
                      <w:b/>
                      <w:bCs/>
                      <w:color w:val="000000" w:themeColor="text1"/>
                      <w:sz w:val="21"/>
                      <w:szCs w:val="21"/>
                      <w:u w:val="none"/>
                      <w:lang w:val="en-US" w:eastAsia="zh-CN"/>
                      <w14:textFill>
                        <w14:solidFill>
                          <w14:schemeClr w14:val="tx1"/>
                        </w14:solidFill>
                      </w14:textFill>
                    </w:rPr>
                    <w:t>坐标</w:t>
                  </w:r>
                </w:p>
              </w:tc>
              <w:tc>
                <w:tcPr>
                  <w:tcW w:w="985" w:type="pct"/>
                  <w:vAlign w:val="center"/>
                </w:tcPr>
                <w:p w14:paraId="69462BC3">
                  <w:pPr>
                    <w:pStyle w:val="23"/>
                    <w:widowControl w:val="0"/>
                    <w:spacing w:before="0" w:beforeAutospacing="0" w:after="0" w:afterAutospacing="0" w:line="240" w:lineRule="auto"/>
                    <w:jc w:val="center"/>
                    <w:rPr>
                      <w:rFonts w:hint="default" w:ascii="Times New Roman" w:hAnsi="Times New Roman"/>
                      <w:b/>
                      <w:bCs/>
                      <w:color w:val="000000" w:themeColor="text1"/>
                      <w:sz w:val="21"/>
                      <w:szCs w:val="21"/>
                      <w:u w:val="none"/>
                      <w:lang w:val="en-US" w:eastAsia="zh-CN"/>
                      <w14:textFill>
                        <w14:solidFill>
                          <w14:schemeClr w14:val="tx1"/>
                        </w14:solidFill>
                      </w14:textFill>
                    </w:rPr>
                  </w:pPr>
                  <w:r>
                    <w:rPr>
                      <w:rFonts w:hint="eastAsia" w:ascii="Times New Roman" w:hAnsi="Times New Roman"/>
                      <w:b/>
                      <w:bCs/>
                      <w:color w:val="000000" w:themeColor="text1"/>
                      <w:sz w:val="21"/>
                      <w:szCs w:val="21"/>
                      <w:u w:val="none"/>
                      <w:lang w:val="en-US" w:eastAsia="zh-CN"/>
                      <w14:textFill>
                        <w14:solidFill>
                          <w14:schemeClr w14:val="tx1"/>
                        </w14:solidFill>
                      </w14:textFill>
                    </w:rPr>
                    <w:t>相对位置</w:t>
                  </w:r>
                </w:p>
              </w:tc>
              <w:tc>
                <w:tcPr>
                  <w:tcW w:w="2226" w:type="pct"/>
                  <w:vAlign w:val="center"/>
                </w:tcPr>
                <w:p w14:paraId="5CF11C1D">
                  <w:pPr>
                    <w:pStyle w:val="23"/>
                    <w:widowControl w:val="0"/>
                    <w:spacing w:before="0" w:beforeAutospacing="0" w:after="0" w:afterAutospacing="0" w:line="240" w:lineRule="auto"/>
                    <w:jc w:val="center"/>
                    <w:rPr>
                      <w:rFonts w:hint="eastAsia" w:ascii="Times New Roman" w:hAnsi="Times New Roman"/>
                      <w:b/>
                      <w:bCs/>
                      <w:color w:val="000000" w:themeColor="text1"/>
                      <w:sz w:val="21"/>
                      <w:szCs w:val="21"/>
                      <w:u w:val="none"/>
                      <w14:textFill>
                        <w14:solidFill>
                          <w14:schemeClr w14:val="tx1"/>
                        </w14:solidFill>
                      </w14:textFill>
                    </w:rPr>
                  </w:pPr>
                  <w:r>
                    <w:rPr>
                      <w:rFonts w:hint="eastAsia" w:ascii="Times New Roman" w:hAnsi="Times New Roman"/>
                      <w:b/>
                      <w:bCs/>
                      <w:color w:val="000000" w:themeColor="text1"/>
                      <w:sz w:val="21"/>
                      <w:szCs w:val="21"/>
                      <w:u w:val="none"/>
                      <w14:textFill>
                        <w14:solidFill>
                          <w14:schemeClr w14:val="tx1"/>
                        </w14:solidFill>
                      </w14:textFill>
                    </w:rPr>
                    <w:t>来源</w:t>
                  </w:r>
                </w:p>
              </w:tc>
              <w:tc>
                <w:tcPr>
                  <w:tcW w:w="307" w:type="pct"/>
                  <w:tcBorders>
                    <w:right w:val="single" w:color="auto" w:sz="4" w:space="0"/>
                  </w:tcBorders>
                  <w:vAlign w:val="center"/>
                </w:tcPr>
                <w:p w14:paraId="0C8C98A9">
                  <w:pPr>
                    <w:pStyle w:val="23"/>
                    <w:widowControl w:val="0"/>
                    <w:spacing w:before="0" w:beforeAutospacing="0" w:after="0" w:afterAutospacing="0" w:line="240" w:lineRule="auto"/>
                    <w:jc w:val="center"/>
                    <w:rPr>
                      <w:rFonts w:hint="eastAsia" w:ascii="Times New Roman" w:hAnsi="Times New Roman"/>
                      <w:b/>
                      <w:bCs/>
                      <w:color w:val="000000" w:themeColor="text1"/>
                      <w:sz w:val="21"/>
                      <w:szCs w:val="21"/>
                      <w:u w:val="none"/>
                      <w14:textFill>
                        <w14:solidFill>
                          <w14:schemeClr w14:val="tx1"/>
                        </w14:solidFill>
                      </w14:textFill>
                    </w:rPr>
                  </w:pPr>
                  <w:r>
                    <w:rPr>
                      <w:rFonts w:hint="eastAsia" w:ascii="Times New Roman" w:hAnsi="Times New Roman"/>
                      <w:b/>
                      <w:bCs/>
                      <w:color w:val="000000" w:themeColor="text1"/>
                      <w:sz w:val="21"/>
                      <w:szCs w:val="21"/>
                      <w:u w:val="none"/>
                      <w14:textFill>
                        <w14:solidFill>
                          <w14:schemeClr w14:val="tx1"/>
                        </w14:solidFill>
                      </w14:textFill>
                    </w:rPr>
                    <w:t>弃渣量</w:t>
                  </w:r>
                </w:p>
              </w:tc>
            </w:tr>
            <w:tr w14:paraId="5D3BB5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73" w:type="pct"/>
                  <w:vAlign w:val="center"/>
                </w:tcPr>
                <w:p w14:paraId="1B8ECEE1">
                  <w:pPr>
                    <w:pStyle w:val="23"/>
                    <w:widowControl w:val="0"/>
                    <w:spacing w:before="0" w:beforeAutospacing="0" w:after="0" w:afterAutospacing="0" w:line="240" w:lineRule="auto"/>
                    <w:jc w:val="center"/>
                    <w:rPr>
                      <w:rFonts w:hint="eastAsia" w:ascii="Times New Roman" w:hAnsi="Times New Roman"/>
                      <w:color w:val="000000" w:themeColor="text1"/>
                      <w:sz w:val="21"/>
                      <w:szCs w:val="21"/>
                      <w:u w:val="none"/>
                      <w14:textFill>
                        <w14:solidFill>
                          <w14:schemeClr w14:val="tx1"/>
                        </w14:solidFill>
                      </w14:textFill>
                    </w:rPr>
                  </w:pPr>
                  <w:r>
                    <w:rPr>
                      <w:rFonts w:hint="eastAsia" w:ascii="Times New Roman" w:hAnsi="Times New Roman"/>
                      <w:color w:val="000000" w:themeColor="text1"/>
                      <w:sz w:val="21"/>
                      <w:szCs w:val="21"/>
                      <w:u w:val="none"/>
                      <w14:textFill>
                        <w14:solidFill>
                          <w14:schemeClr w14:val="tx1"/>
                        </w14:solidFill>
                      </w14:textFill>
                    </w:rPr>
                    <w:t>Z1</w:t>
                  </w:r>
                </w:p>
              </w:tc>
              <w:tc>
                <w:tcPr>
                  <w:tcW w:w="1207" w:type="pct"/>
                  <w:vAlign w:val="center"/>
                </w:tcPr>
                <w:p w14:paraId="60CA2211">
                  <w:pPr>
                    <w:pStyle w:val="23"/>
                    <w:widowControl w:val="0"/>
                    <w:spacing w:before="0" w:beforeAutospacing="0" w:after="0" w:afterAutospacing="0" w:line="240" w:lineRule="auto"/>
                    <w:jc w:val="center"/>
                    <w:rPr>
                      <w:rFonts w:hint="eastAsia" w:ascii="Times New Roman" w:hAnsi="Times New Roman"/>
                      <w:color w:val="000000" w:themeColor="text1"/>
                      <w:sz w:val="21"/>
                      <w:szCs w:val="21"/>
                      <w:u w:val="none"/>
                      <w:lang w:eastAsia="zh-CN"/>
                      <w14:textFill>
                        <w14:solidFill>
                          <w14:schemeClr w14:val="tx1"/>
                        </w14:solidFill>
                      </w14:textFill>
                    </w:rPr>
                  </w:pPr>
                  <w:r>
                    <w:rPr>
                      <w:rFonts w:hint="eastAsia" w:ascii="Times New Roman" w:hAnsi="Times New Roman"/>
                      <w:color w:val="000000" w:themeColor="text1"/>
                      <w:sz w:val="21"/>
                      <w:szCs w:val="21"/>
                      <w:u w:val="none"/>
                      <w14:textFill>
                        <w14:solidFill>
                          <w14:schemeClr w14:val="tx1"/>
                        </w14:solidFill>
                      </w14:textFill>
                    </w:rPr>
                    <w:t>109</w:t>
                  </w:r>
                  <w:r>
                    <w:rPr>
                      <w:rFonts w:hint="eastAsia" w:ascii="宋体" w:hAnsi="宋体" w:eastAsia="宋体" w:cs="宋体"/>
                      <w:color w:val="000000" w:themeColor="text1"/>
                      <w:sz w:val="21"/>
                      <w:szCs w:val="21"/>
                      <w:u w:val="none"/>
                      <w14:textFill>
                        <w14:solidFill>
                          <w14:schemeClr w14:val="tx1"/>
                        </w14:solidFill>
                      </w14:textFill>
                    </w:rPr>
                    <w:t>°</w:t>
                  </w:r>
                  <w:r>
                    <w:rPr>
                      <w:rFonts w:hint="eastAsia" w:ascii="Times New Roman" w:hAnsi="Times New Roman"/>
                      <w:color w:val="000000" w:themeColor="text1"/>
                      <w:sz w:val="21"/>
                      <w:szCs w:val="21"/>
                      <w:u w:val="none"/>
                      <w14:textFill>
                        <w14:solidFill>
                          <w14:schemeClr w14:val="tx1"/>
                        </w14:solidFill>
                      </w14:textFill>
                    </w:rPr>
                    <w:t>45</w:t>
                  </w:r>
                  <w:r>
                    <w:rPr>
                      <w:rFonts w:hint="default" w:ascii="Times New Roman" w:hAnsi="Times New Roman" w:cs="Times New Roman"/>
                      <w:color w:val="000000" w:themeColor="text1"/>
                      <w:sz w:val="21"/>
                      <w:szCs w:val="21"/>
                      <w:u w:val="none"/>
                      <w14:textFill>
                        <w14:solidFill>
                          <w14:schemeClr w14:val="tx1"/>
                        </w14:solidFill>
                      </w14:textFill>
                    </w:rPr>
                    <w:t>'</w:t>
                  </w:r>
                  <w:r>
                    <w:rPr>
                      <w:rFonts w:hint="eastAsia" w:ascii="Times New Roman" w:hAnsi="Times New Roman"/>
                      <w:color w:val="000000" w:themeColor="text1"/>
                      <w:sz w:val="21"/>
                      <w:szCs w:val="21"/>
                      <w:u w:val="none"/>
                      <w14:textFill>
                        <w14:solidFill>
                          <w14:schemeClr w14:val="tx1"/>
                        </w14:solidFill>
                      </w14:textFill>
                    </w:rPr>
                    <w:t>55.64</w:t>
                  </w:r>
                  <w:r>
                    <w:rPr>
                      <w:rFonts w:hint="default" w:ascii="Times New Roman" w:hAnsi="Times New Roman" w:cs="Times New Roman"/>
                      <w:color w:val="000000" w:themeColor="text1"/>
                      <w:sz w:val="21"/>
                      <w:szCs w:val="21"/>
                      <w:u w:val="none"/>
                      <w14:textFill>
                        <w14:solidFill>
                          <w14:schemeClr w14:val="tx1"/>
                        </w14:solidFill>
                      </w14:textFill>
                    </w:rPr>
                    <w:t>"</w:t>
                  </w:r>
                  <w:r>
                    <w:rPr>
                      <w:rFonts w:hint="eastAsia" w:ascii="Times New Roman" w:hAnsi="Times New Roman"/>
                      <w:color w:val="000000" w:themeColor="text1"/>
                      <w:sz w:val="21"/>
                      <w:szCs w:val="21"/>
                      <w:u w:val="none"/>
                      <w:lang w:eastAsia="zh-CN"/>
                      <w14:textFill>
                        <w14:solidFill>
                          <w14:schemeClr w14:val="tx1"/>
                        </w14:solidFill>
                      </w14:textFill>
                    </w:rPr>
                    <w:t>，</w:t>
                  </w:r>
                </w:p>
                <w:p w14:paraId="6C834D34">
                  <w:pPr>
                    <w:pStyle w:val="23"/>
                    <w:widowControl w:val="0"/>
                    <w:spacing w:before="0" w:beforeAutospacing="0" w:after="0" w:afterAutospacing="0" w:line="240" w:lineRule="auto"/>
                    <w:jc w:val="center"/>
                    <w:rPr>
                      <w:rFonts w:hint="eastAsia" w:ascii="Times New Roman" w:hAnsi="Times New Roman" w:eastAsia="宋体"/>
                      <w:color w:val="000000" w:themeColor="text1"/>
                      <w:sz w:val="21"/>
                      <w:szCs w:val="21"/>
                      <w:u w:val="none"/>
                      <w:lang w:eastAsia="zh-CN"/>
                      <w14:textFill>
                        <w14:solidFill>
                          <w14:schemeClr w14:val="tx1"/>
                        </w14:solidFill>
                      </w14:textFill>
                    </w:rPr>
                  </w:pPr>
                  <w:r>
                    <w:rPr>
                      <w:rFonts w:hint="eastAsia" w:ascii="Times New Roman" w:hAnsi="Times New Roman"/>
                      <w:color w:val="000000" w:themeColor="text1"/>
                      <w:sz w:val="21"/>
                      <w:szCs w:val="21"/>
                      <w:u w:val="none"/>
                      <w14:textFill>
                        <w14:solidFill>
                          <w14:schemeClr w14:val="tx1"/>
                        </w14:solidFill>
                      </w14:textFill>
                    </w:rPr>
                    <w:t>26°10</w:t>
                  </w:r>
                  <w:r>
                    <w:rPr>
                      <w:rFonts w:hint="default" w:ascii="Times New Roman" w:hAnsi="Times New Roman" w:cs="Times New Roman"/>
                      <w:color w:val="000000" w:themeColor="text1"/>
                      <w:sz w:val="21"/>
                      <w:szCs w:val="21"/>
                      <w:u w:val="none"/>
                      <w14:textFill>
                        <w14:solidFill>
                          <w14:schemeClr w14:val="tx1"/>
                        </w14:solidFill>
                      </w14:textFill>
                    </w:rPr>
                    <w:t>'</w:t>
                  </w:r>
                  <w:r>
                    <w:rPr>
                      <w:rFonts w:hint="eastAsia" w:ascii="Times New Roman" w:hAnsi="Times New Roman"/>
                      <w:color w:val="000000" w:themeColor="text1"/>
                      <w:sz w:val="21"/>
                      <w:szCs w:val="21"/>
                      <w:u w:val="none"/>
                      <w14:textFill>
                        <w14:solidFill>
                          <w14:schemeClr w14:val="tx1"/>
                        </w14:solidFill>
                      </w14:textFill>
                    </w:rPr>
                    <w:t>22.17</w:t>
                  </w:r>
                  <w:r>
                    <w:rPr>
                      <w:rFonts w:hint="default" w:ascii="Times New Roman" w:hAnsi="Times New Roman" w:cs="Times New Roman"/>
                      <w:color w:val="000000" w:themeColor="text1"/>
                      <w:sz w:val="21"/>
                      <w:szCs w:val="21"/>
                      <w:u w:val="none"/>
                      <w14:textFill>
                        <w14:solidFill>
                          <w14:schemeClr w14:val="tx1"/>
                        </w14:solidFill>
                      </w14:textFill>
                    </w:rPr>
                    <w:t>"</w:t>
                  </w:r>
                </w:p>
              </w:tc>
              <w:tc>
                <w:tcPr>
                  <w:tcW w:w="985" w:type="pct"/>
                  <w:vAlign w:val="center"/>
                </w:tcPr>
                <w:p w14:paraId="7566D3BE">
                  <w:pPr>
                    <w:pStyle w:val="23"/>
                    <w:widowControl w:val="0"/>
                    <w:spacing w:before="0" w:beforeAutospacing="0" w:after="0" w:afterAutospacing="0" w:line="240" w:lineRule="auto"/>
                    <w:jc w:val="center"/>
                    <w:rPr>
                      <w:rFonts w:hint="eastAsia" w:ascii="Times New Roman" w:hAnsi="Times New Roman"/>
                      <w:color w:val="000000" w:themeColor="text1"/>
                      <w:sz w:val="21"/>
                      <w:szCs w:val="21"/>
                      <w:u w:val="none"/>
                      <w14:textFill>
                        <w14:solidFill>
                          <w14:schemeClr w14:val="tx1"/>
                        </w14:solidFill>
                      </w14:textFill>
                    </w:rPr>
                  </w:pPr>
                  <w:r>
                    <w:rPr>
                      <w:rFonts w:hint="eastAsia" w:ascii="Times New Roman" w:hAnsi="Times New Roman"/>
                      <w:color w:val="000000" w:themeColor="text1"/>
                      <w:sz w:val="21"/>
                      <w:szCs w:val="21"/>
                      <w:u w:val="none"/>
                      <w14:textFill>
                        <w14:solidFill>
                          <w14:schemeClr w14:val="tx1"/>
                        </w14:solidFill>
                      </w14:textFill>
                    </w:rPr>
                    <w:t>进场道路起点</w:t>
                  </w:r>
                </w:p>
                <w:p w14:paraId="6B937EFD">
                  <w:pPr>
                    <w:pStyle w:val="23"/>
                    <w:widowControl w:val="0"/>
                    <w:spacing w:before="0" w:beforeAutospacing="0" w:after="0" w:afterAutospacing="0" w:line="240" w:lineRule="auto"/>
                    <w:jc w:val="center"/>
                    <w:rPr>
                      <w:rFonts w:hint="eastAsia" w:ascii="Times New Roman" w:hAnsi="Times New Roman"/>
                      <w:color w:val="000000" w:themeColor="text1"/>
                      <w:sz w:val="21"/>
                      <w:szCs w:val="21"/>
                      <w:u w:val="none"/>
                      <w14:textFill>
                        <w14:solidFill>
                          <w14:schemeClr w14:val="tx1"/>
                        </w14:solidFill>
                      </w14:textFill>
                    </w:rPr>
                  </w:pPr>
                  <w:r>
                    <w:rPr>
                      <w:rFonts w:hint="eastAsia" w:ascii="Times New Roman" w:hAnsi="Times New Roman"/>
                      <w:color w:val="000000" w:themeColor="text1"/>
                      <w:sz w:val="21"/>
                      <w:szCs w:val="21"/>
                      <w:u w:val="none"/>
                      <w14:textFill>
                        <w14:solidFill>
                          <w14:schemeClr w14:val="tx1"/>
                        </w14:solidFill>
                      </w14:textFill>
                    </w:rPr>
                    <w:t>西侧</w:t>
                  </w:r>
                </w:p>
              </w:tc>
              <w:tc>
                <w:tcPr>
                  <w:tcW w:w="2226" w:type="pct"/>
                  <w:vAlign w:val="center"/>
                </w:tcPr>
                <w:p w14:paraId="708D1AC3">
                  <w:pPr>
                    <w:pStyle w:val="23"/>
                    <w:widowControl w:val="0"/>
                    <w:spacing w:before="0" w:beforeAutospacing="0" w:after="0" w:afterAutospacing="0" w:line="240" w:lineRule="auto"/>
                    <w:jc w:val="center"/>
                    <w:rPr>
                      <w:rFonts w:hint="default" w:ascii="Times New Roman" w:hAnsi="Times New Roman" w:eastAsia="宋体"/>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进场改造道路、升压站及进站道路</w:t>
                  </w:r>
                </w:p>
              </w:tc>
              <w:tc>
                <w:tcPr>
                  <w:tcW w:w="307" w:type="pct"/>
                  <w:vAlign w:val="center"/>
                </w:tcPr>
                <w:p w14:paraId="7B4AF337">
                  <w:pPr>
                    <w:pStyle w:val="23"/>
                    <w:widowControl w:val="0"/>
                    <w:spacing w:before="0" w:beforeAutospacing="0" w:after="0" w:afterAutospacing="0" w:line="240" w:lineRule="auto"/>
                    <w:jc w:val="center"/>
                    <w:rPr>
                      <w:rFonts w:hint="default" w:ascii="Times New Roman" w:hAnsi="Times New Roman" w:eastAsia="宋体"/>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2.80</w:t>
                  </w:r>
                </w:p>
              </w:tc>
            </w:tr>
            <w:tr w14:paraId="7739AE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73" w:type="pct"/>
                  <w:vAlign w:val="center"/>
                </w:tcPr>
                <w:p w14:paraId="04C8D5F7">
                  <w:pPr>
                    <w:pStyle w:val="23"/>
                    <w:widowControl w:val="0"/>
                    <w:spacing w:before="0" w:beforeAutospacing="0" w:after="0" w:afterAutospacing="0" w:line="240" w:lineRule="auto"/>
                    <w:jc w:val="center"/>
                    <w:rPr>
                      <w:rFonts w:hint="eastAsia" w:ascii="Times New Roman" w:hAnsi="Times New Roman"/>
                      <w:color w:val="000000" w:themeColor="text1"/>
                      <w:sz w:val="21"/>
                      <w:szCs w:val="21"/>
                      <w:u w:val="none"/>
                      <w14:textFill>
                        <w14:solidFill>
                          <w14:schemeClr w14:val="tx1"/>
                        </w14:solidFill>
                      </w14:textFill>
                    </w:rPr>
                  </w:pPr>
                  <w:r>
                    <w:rPr>
                      <w:rFonts w:hint="eastAsia" w:ascii="Times New Roman" w:hAnsi="Times New Roman"/>
                      <w:color w:val="000000" w:themeColor="text1"/>
                      <w:sz w:val="21"/>
                      <w:szCs w:val="21"/>
                      <w:u w:val="none"/>
                      <w14:textFill>
                        <w14:solidFill>
                          <w14:schemeClr w14:val="tx1"/>
                        </w14:solidFill>
                      </w14:textFill>
                    </w:rPr>
                    <w:t>Z2</w:t>
                  </w:r>
                </w:p>
              </w:tc>
              <w:tc>
                <w:tcPr>
                  <w:tcW w:w="1207" w:type="pct"/>
                  <w:vAlign w:val="center"/>
                </w:tcPr>
                <w:p w14:paraId="62E7B46D">
                  <w:pPr>
                    <w:pStyle w:val="23"/>
                    <w:widowControl w:val="0"/>
                    <w:spacing w:before="0" w:beforeAutospacing="0" w:after="0" w:afterAutospacing="0" w:line="240" w:lineRule="auto"/>
                    <w:jc w:val="center"/>
                    <w:rPr>
                      <w:rFonts w:hint="eastAsia" w:ascii="Times New Roman" w:hAnsi="Times New Roman" w:cs="Times New Roman"/>
                      <w:color w:val="000000" w:themeColor="text1"/>
                      <w:sz w:val="21"/>
                      <w:szCs w:val="21"/>
                      <w:u w:val="none"/>
                      <w:lang w:eastAsia="zh-CN"/>
                      <w14:textFill>
                        <w14:solidFill>
                          <w14:schemeClr w14:val="tx1"/>
                        </w14:solidFill>
                      </w14:textFill>
                    </w:rPr>
                  </w:pPr>
                  <w:r>
                    <w:rPr>
                      <w:rFonts w:hint="eastAsia" w:ascii="Times New Roman" w:hAnsi="Times New Roman"/>
                      <w:color w:val="000000" w:themeColor="text1"/>
                      <w:sz w:val="21"/>
                      <w:szCs w:val="21"/>
                      <w:u w:val="none"/>
                      <w14:textFill>
                        <w14:solidFill>
                          <w14:schemeClr w14:val="tx1"/>
                        </w14:solidFill>
                      </w14:textFill>
                    </w:rPr>
                    <w:t>109°43</w:t>
                  </w:r>
                  <w:r>
                    <w:rPr>
                      <w:rFonts w:hint="default" w:ascii="Times New Roman" w:hAnsi="Times New Roman" w:cs="Times New Roman"/>
                      <w:color w:val="000000" w:themeColor="text1"/>
                      <w:sz w:val="21"/>
                      <w:szCs w:val="21"/>
                      <w:u w:val="none"/>
                      <w14:textFill>
                        <w14:solidFill>
                          <w14:schemeClr w14:val="tx1"/>
                        </w14:solidFill>
                      </w14:textFill>
                    </w:rPr>
                    <w:t>'</w:t>
                  </w:r>
                  <w:r>
                    <w:rPr>
                      <w:rFonts w:hint="eastAsia" w:ascii="Times New Roman" w:hAnsi="Times New Roman"/>
                      <w:color w:val="000000" w:themeColor="text1"/>
                      <w:sz w:val="21"/>
                      <w:szCs w:val="21"/>
                      <w:u w:val="none"/>
                      <w14:textFill>
                        <w14:solidFill>
                          <w14:schemeClr w14:val="tx1"/>
                        </w14:solidFill>
                      </w14:textFill>
                    </w:rPr>
                    <w:t>35.68</w:t>
                  </w:r>
                  <w:r>
                    <w:rPr>
                      <w:rFonts w:hint="default" w:ascii="Times New Roman" w:hAnsi="Times New Roman" w:cs="Times New Roman"/>
                      <w:color w:val="000000" w:themeColor="text1"/>
                      <w:sz w:val="21"/>
                      <w:szCs w:val="21"/>
                      <w:u w:val="none"/>
                      <w14:textFill>
                        <w14:solidFill>
                          <w14:schemeClr w14:val="tx1"/>
                        </w14:solidFill>
                      </w14:textFill>
                    </w:rPr>
                    <w:t>"</w:t>
                  </w:r>
                  <w:r>
                    <w:rPr>
                      <w:rFonts w:hint="eastAsia" w:ascii="Times New Roman" w:hAnsi="Times New Roman" w:cs="Times New Roman"/>
                      <w:color w:val="000000" w:themeColor="text1"/>
                      <w:sz w:val="21"/>
                      <w:szCs w:val="21"/>
                      <w:u w:val="none"/>
                      <w:lang w:eastAsia="zh-CN"/>
                      <w14:textFill>
                        <w14:solidFill>
                          <w14:schemeClr w14:val="tx1"/>
                        </w14:solidFill>
                      </w14:textFill>
                    </w:rPr>
                    <w:t>，</w:t>
                  </w:r>
                </w:p>
                <w:p w14:paraId="5FD87193">
                  <w:pPr>
                    <w:pStyle w:val="23"/>
                    <w:widowControl w:val="0"/>
                    <w:spacing w:before="0" w:beforeAutospacing="0" w:after="0" w:afterAutospacing="0" w:line="240" w:lineRule="auto"/>
                    <w:jc w:val="center"/>
                    <w:rPr>
                      <w:rFonts w:hint="eastAsia" w:ascii="Times New Roman" w:hAnsi="Times New Roman" w:eastAsia="宋体"/>
                      <w:color w:val="000000" w:themeColor="text1"/>
                      <w:sz w:val="21"/>
                      <w:szCs w:val="21"/>
                      <w:u w:val="none"/>
                      <w:lang w:eastAsia="zh-CN"/>
                      <w14:textFill>
                        <w14:solidFill>
                          <w14:schemeClr w14:val="tx1"/>
                        </w14:solidFill>
                      </w14:textFill>
                    </w:rPr>
                  </w:pPr>
                  <w:r>
                    <w:rPr>
                      <w:rFonts w:hint="eastAsia" w:ascii="Times New Roman" w:hAnsi="Times New Roman"/>
                      <w:color w:val="000000" w:themeColor="text1"/>
                      <w:sz w:val="21"/>
                      <w:szCs w:val="21"/>
                      <w:u w:val="none"/>
                      <w14:textFill>
                        <w14:solidFill>
                          <w14:schemeClr w14:val="tx1"/>
                        </w14:solidFill>
                      </w14:textFill>
                    </w:rPr>
                    <w:t>26°10</w:t>
                  </w:r>
                  <w:r>
                    <w:rPr>
                      <w:rFonts w:hint="default" w:ascii="Times New Roman" w:hAnsi="Times New Roman" w:cs="Times New Roman"/>
                      <w:color w:val="000000" w:themeColor="text1"/>
                      <w:sz w:val="21"/>
                      <w:szCs w:val="21"/>
                      <w:u w:val="none"/>
                      <w14:textFill>
                        <w14:solidFill>
                          <w14:schemeClr w14:val="tx1"/>
                        </w14:solidFill>
                      </w14:textFill>
                    </w:rPr>
                    <w:t>'</w:t>
                  </w:r>
                  <w:r>
                    <w:rPr>
                      <w:rFonts w:hint="eastAsia" w:ascii="Times New Roman" w:hAnsi="Times New Roman"/>
                      <w:color w:val="000000" w:themeColor="text1"/>
                      <w:sz w:val="21"/>
                      <w:szCs w:val="21"/>
                      <w:u w:val="none"/>
                      <w14:textFill>
                        <w14:solidFill>
                          <w14:schemeClr w14:val="tx1"/>
                        </w14:solidFill>
                      </w14:textFill>
                    </w:rPr>
                    <w:t>22.19</w:t>
                  </w:r>
                  <w:r>
                    <w:rPr>
                      <w:rFonts w:hint="default" w:ascii="Times New Roman" w:hAnsi="Times New Roman" w:cs="Times New Roman"/>
                      <w:color w:val="000000" w:themeColor="text1"/>
                      <w:sz w:val="21"/>
                      <w:szCs w:val="21"/>
                      <w:u w:val="none"/>
                      <w14:textFill>
                        <w14:solidFill>
                          <w14:schemeClr w14:val="tx1"/>
                        </w14:solidFill>
                      </w14:textFill>
                    </w:rPr>
                    <w:t>"</w:t>
                  </w:r>
                </w:p>
              </w:tc>
              <w:tc>
                <w:tcPr>
                  <w:tcW w:w="985" w:type="pct"/>
                  <w:vAlign w:val="center"/>
                </w:tcPr>
                <w:p w14:paraId="3DBF085E">
                  <w:pPr>
                    <w:pStyle w:val="23"/>
                    <w:widowControl w:val="0"/>
                    <w:spacing w:before="0" w:beforeAutospacing="0" w:after="0" w:afterAutospacing="0" w:line="240" w:lineRule="auto"/>
                    <w:jc w:val="center"/>
                    <w:rPr>
                      <w:rFonts w:hint="eastAsia" w:ascii="Times New Roman" w:hAnsi="Times New Roman"/>
                      <w:color w:val="000000" w:themeColor="text1"/>
                      <w:sz w:val="21"/>
                      <w:szCs w:val="21"/>
                      <w:u w:val="none"/>
                      <w14:textFill>
                        <w14:solidFill>
                          <w14:schemeClr w14:val="tx1"/>
                        </w14:solidFill>
                      </w14:textFill>
                    </w:rPr>
                  </w:pPr>
                  <w:r>
                    <w:rPr>
                      <w:rFonts w:hint="eastAsia" w:ascii="Times New Roman" w:hAnsi="Times New Roman"/>
                      <w:color w:val="000000" w:themeColor="text1"/>
                      <w:sz w:val="21"/>
                      <w:szCs w:val="21"/>
                      <w:u w:val="none"/>
                      <w14:textFill>
                        <w14:solidFill>
                          <w14:schemeClr w14:val="tx1"/>
                        </w14:solidFill>
                      </w14:textFill>
                    </w:rPr>
                    <w:t>升压站东侧</w:t>
                  </w:r>
                </w:p>
              </w:tc>
              <w:tc>
                <w:tcPr>
                  <w:tcW w:w="2226" w:type="pct"/>
                  <w:vAlign w:val="center"/>
                </w:tcPr>
                <w:p w14:paraId="71616D39">
                  <w:pPr>
                    <w:pStyle w:val="23"/>
                    <w:widowControl w:val="0"/>
                    <w:spacing w:before="0" w:beforeAutospacing="0" w:after="0" w:afterAutospacing="0" w:line="240" w:lineRule="auto"/>
                    <w:jc w:val="center"/>
                    <w:rPr>
                      <w:rFonts w:hint="default" w:ascii="Times New Roman" w:hAnsi="Times New Roman" w:eastAsia="宋体"/>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场内道路至TPS1-TPS段及TPS1、TPS2风机平台</w:t>
                  </w:r>
                </w:p>
              </w:tc>
              <w:tc>
                <w:tcPr>
                  <w:tcW w:w="307" w:type="pct"/>
                  <w:vAlign w:val="center"/>
                </w:tcPr>
                <w:p w14:paraId="0FCC462C">
                  <w:pPr>
                    <w:pStyle w:val="23"/>
                    <w:widowControl w:val="0"/>
                    <w:spacing w:before="0" w:beforeAutospacing="0" w:after="0" w:afterAutospacing="0" w:line="240" w:lineRule="auto"/>
                    <w:jc w:val="center"/>
                    <w:rPr>
                      <w:rFonts w:hint="default" w:ascii="Times New Roman" w:hAnsi="Times New Roman" w:eastAsia="宋体"/>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10.28</w:t>
                  </w:r>
                </w:p>
              </w:tc>
            </w:tr>
            <w:tr w14:paraId="0D6542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73" w:type="pct"/>
                  <w:vAlign w:val="center"/>
                </w:tcPr>
                <w:p w14:paraId="3093DE22">
                  <w:pPr>
                    <w:pStyle w:val="23"/>
                    <w:widowControl w:val="0"/>
                    <w:spacing w:before="0" w:beforeAutospacing="0" w:after="0" w:afterAutospacing="0" w:line="240" w:lineRule="auto"/>
                    <w:jc w:val="center"/>
                    <w:rPr>
                      <w:rFonts w:hint="eastAsia" w:ascii="Times New Roman" w:hAnsi="Times New Roman"/>
                      <w:color w:val="000000" w:themeColor="text1"/>
                      <w:sz w:val="21"/>
                      <w:szCs w:val="21"/>
                      <w:u w:val="none"/>
                      <w14:textFill>
                        <w14:solidFill>
                          <w14:schemeClr w14:val="tx1"/>
                        </w14:solidFill>
                      </w14:textFill>
                    </w:rPr>
                  </w:pPr>
                  <w:r>
                    <w:rPr>
                      <w:rFonts w:hint="eastAsia" w:ascii="Times New Roman" w:hAnsi="Times New Roman"/>
                      <w:color w:val="000000" w:themeColor="text1"/>
                      <w:sz w:val="21"/>
                      <w:szCs w:val="21"/>
                      <w:u w:val="none"/>
                      <w14:textFill>
                        <w14:solidFill>
                          <w14:schemeClr w14:val="tx1"/>
                        </w14:solidFill>
                      </w14:textFill>
                    </w:rPr>
                    <w:t>Z3</w:t>
                  </w:r>
                </w:p>
              </w:tc>
              <w:tc>
                <w:tcPr>
                  <w:tcW w:w="1207" w:type="pct"/>
                  <w:vAlign w:val="center"/>
                </w:tcPr>
                <w:p w14:paraId="62EBDCD7">
                  <w:pPr>
                    <w:pStyle w:val="23"/>
                    <w:widowControl w:val="0"/>
                    <w:spacing w:before="0" w:beforeAutospacing="0" w:after="0" w:afterAutospacing="0" w:line="240" w:lineRule="auto"/>
                    <w:jc w:val="center"/>
                    <w:rPr>
                      <w:rFonts w:hint="eastAsia" w:ascii="Times New Roman" w:hAnsi="Times New Roman" w:cs="Times New Roman"/>
                      <w:color w:val="000000" w:themeColor="text1"/>
                      <w:sz w:val="21"/>
                      <w:szCs w:val="21"/>
                      <w:u w:val="none"/>
                      <w:lang w:eastAsia="zh-CN"/>
                      <w14:textFill>
                        <w14:solidFill>
                          <w14:schemeClr w14:val="tx1"/>
                        </w14:solidFill>
                      </w14:textFill>
                    </w:rPr>
                  </w:pPr>
                  <w:r>
                    <w:rPr>
                      <w:rFonts w:hint="eastAsia" w:ascii="Times New Roman" w:hAnsi="Times New Roman"/>
                      <w:color w:val="000000" w:themeColor="text1"/>
                      <w:sz w:val="21"/>
                      <w:szCs w:val="21"/>
                      <w:u w:val="none"/>
                      <w14:textFill>
                        <w14:solidFill>
                          <w14:schemeClr w14:val="tx1"/>
                        </w14:solidFill>
                      </w14:textFill>
                    </w:rPr>
                    <w:t>109°42</w:t>
                  </w:r>
                  <w:r>
                    <w:rPr>
                      <w:rFonts w:hint="default" w:ascii="Times New Roman" w:hAnsi="Times New Roman" w:cs="Times New Roman"/>
                      <w:color w:val="000000" w:themeColor="text1"/>
                      <w:sz w:val="21"/>
                      <w:szCs w:val="21"/>
                      <w:u w:val="none"/>
                      <w14:textFill>
                        <w14:solidFill>
                          <w14:schemeClr w14:val="tx1"/>
                        </w14:solidFill>
                      </w14:textFill>
                    </w:rPr>
                    <w:t>'</w:t>
                  </w:r>
                  <w:r>
                    <w:rPr>
                      <w:rFonts w:hint="eastAsia" w:ascii="Times New Roman" w:hAnsi="Times New Roman"/>
                      <w:color w:val="000000" w:themeColor="text1"/>
                      <w:sz w:val="21"/>
                      <w:szCs w:val="21"/>
                      <w:u w:val="none"/>
                      <w14:textFill>
                        <w14:solidFill>
                          <w14:schemeClr w14:val="tx1"/>
                        </w14:solidFill>
                      </w14:textFill>
                    </w:rPr>
                    <w:t>48.81</w:t>
                  </w:r>
                  <w:r>
                    <w:rPr>
                      <w:rFonts w:hint="default" w:ascii="Times New Roman" w:hAnsi="Times New Roman" w:cs="Times New Roman"/>
                      <w:color w:val="000000" w:themeColor="text1"/>
                      <w:sz w:val="21"/>
                      <w:szCs w:val="21"/>
                      <w:u w:val="none"/>
                      <w14:textFill>
                        <w14:solidFill>
                          <w14:schemeClr w14:val="tx1"/>
                        </w14:solidFill>
                      </w14:textFill>
                    </w:rPr>
                    <w:t>"</w:t>
                  </w:r>
                  <w:r>
                    <w:rPr>
                      <w:rFonts w:hint="eastAsia" w:ascii="Times New Roman" w:hAnsi="Times New Roman" w:cs="Times New Roman"/>
                      <w:color w:val="000000" w:themeColor="text1"/>
                      <w:sz w:val="21"/>
                      <w:szCs w:val="21"/>
                      <w:u w:val="none"/>
                      <w:lang w:eastAsia="zh-CN"/>
                      <w14:textFill>
                        <w14:solidFill>
                          <w14:schemeClr w14:val="tx1"/>
                        </w14:solidFill>
                      </w14:textFill>
                    </w:rPr>
                    <w:t>，</w:t>
                  </w:r>
                </w:p>
                <w:p w14:paraId="35567AAC">
                  <w:pPr>
                    <w:pStyle w:val="23"/>
                    <w:widowControl w:val="0"/>
                    <w:spacing w:before="0" w:beforeAutospacing="0" w:after="0" w:afterAutospacing="0" w:line="240" w:lineRule="auto"/>
                    <w:jc w:val="center"/>
                    <w:rPr>
                      <w:rFonts w:hint="eastAsia" w:ascii="Times New Roman" w:hAnsi="Times New Roman" w:eastAsia="宋体"/>
                      <w:color w:val="000000" w:themeColor="text1"/>
                      <w:sz w:val="21"/>
                      <w:szCs w:val="21"/>
                      <w:u w:val="none"/>
                      <w:lang w:eastAsia="zh-CN"/>
                      <w14:textFill>
                        <w14:solidFill>
                          <w14:schemeClr w14:val="tx1"/>
                        </w14:solidFill>
                      </w14:textFill>
                    </w:rPr>
                  </w:pPr>
                  <w:r>
                    <w:rPr>
                      <w:rFonts w:hint="eastAsia" w:ascii="Times New Roman" w:hAnsi="Times New Roman"/>
                      <w:color w:val="000000" w:themeColor="text1"/>
                      <w:sz w:val="21"/>
                      <w:szCs w:val="21"/>
                      <w:u w:val="none"/>
                      <w14:textFill>
                        <w14:solidFill>
                          <w14:schemeClr w14:val="tx1"/>
                        </w14:solidFill>
                      </w14:textFill>
                    </w:rPr>
                    <w:t>26°10</w:t>
                  </w:r>
                  <w:r>
                    <w:rPr>
                      <w:rFonts w:hint="default" w:ascii="Times New Roman" w:hAnsi="Times New Roman" w:cs="Times New Roman"/>
                      <w:color w:val="000000" w:themeColor="text1"/>
                      <w:sz w:val="21"/>
                      <w:szCs w:val="21"/>
                      <w:u w:val="none"/>
                      <w14:textFill>
                        <w14:solidFill>
                          <w14:schemeClr w14:val="tx1"/>
                        </w14:solidFill>
                      </w14:textFill>
                    </w:rPr>
                    <w:t>'</w:t>
                  </w:r>
                  <w:r>
                    <w:rPr>
                      <w:rFonts w:hint="eastAsia" w:ascii="Times New Roman" w:hAnsi="Times New Roman"/>
                      <w:color w:val="000000" w:themeColor="text1"/>
                      <w:sz w:val="21"/>
                      <w:szCs w:val="21"/>
                      <w:u w:val="none"/>
                      <w14:textFill>
                        <w14:solidFill>
                          <w14:schemeClr w14:val="tx1"/>
                        </w14:solidFill>
                      </w14:textFill>
                    </w:rPr>
                    <w:t>12.12</w:t>
                  </w:r>
                  <w:r>
                    <w:rPr>
                      <w:rFonts w:hint="default" w:ascii="Times New Roman" w:hAnsi="Times New Roman" w:cs="Times New Roman"/>
                      <w:color w:val="000000" w:themeColor="text1"/>
                      <w:sz w:val="21"/>
                      <w:szCs w:val="21"/>
                      <w:u w:val="none"/>
                      <w14:textFill>
                        <w14:solidFill>
                          <w14:schemeClr w14:val="tx1"/>
                        </w14:solidFill>
                      </w14:textFill>
                    </w:rPr>
                    <w:t>"</w:t>
                  </w:r>
                </w:p>
              </w:tc>
              <w:tc>
                <w:tcPr>
                  <w:tcW w:w="985" w:type="pct"/>
                  <w:vAlign w:val="center"/>
                </w:tcPr>
                <w:p w14:paraId="54468E59">
                  <w:pPr>
                    <w:pStyle w:val="23"/>
                    <w:widowControl w:val="0"/>
                    <w:spacing w:before="0" w:beforeAutospacing="0" w:after="0" w:afterAutospacing="0" w:line="240" w:lineRule="auto"/>
                    <w:jc w:val="center"/>
                    <w:rPr>
                      <w:rFonts w:hint="eastAsia" w:ascii="Times New Roman" w:hAnsi="Times New Roman"/>
                      <w:color w:val="000000" w:themeColor="text1"/>
                      <w:sz w:val="21"/>
                      <w:szCs w:val="21"/>
                      <w:u w:val="none"/>
                      <w14:textFill>
                        <w14:solidFill>
                          <w14:schemeClr w14:val="tx1"/>
                        </w14:solidFill>
                      </w14:textFill>
                    </w:rPr>
                  </w:pPr>
                  <w:r>
                    <w:rPr>
                      <w:rFonts w:hint="eastAsia" w:ascii="Times New Roman" w:hAnsi="Times New Roman"/>
                      <w:color w:val="000000" w:themeColor="text1"/>
                      <w:sz w:val="21"/>
                      <w:szCs w:val="21"/>
                      <w:u w:val="none"/>
                      <w14:textFill>
                        <w14:solidFill>
                          <w14:schemeClr w14:val="tx1"/>
                        </w14:solidFill>
                      </w14:textFill>
                    </w:rPr>
                    <w:t>2#风机东北侧</w:t>
                  </w:r>
                </w:p>
              </w:tc>
              <w:tc>
                <w:tcPr>
                  <w:tcW w:w="2226" w:type="pct"/>
                  <w:vAlign w:val="center"/>
                </w:tcPr>
                <w:p w14:paraId="75366673">
                  <w:pPr>
                    <w:pStyle w:val="23"/>
                    <w:widowControl w:val="0"/>
                    <w:spacing w:before="0" w:beforeAutospacing="0" w:after="0" w:afterAutospacing="0" w:line="240" w:lineRule="auto"/>
                    <w:jc w:val="center"/>
                    <w:rPr>
                      <w:rFonts w:hint="default" w:ascii="Times New Roman" w:hAnsi="Times New Roman"/>
                      <w:color w:val="000000" w:themeColor="text1"/>
                      <w:sz w:val="21"/>
                      <w:szCs w:val="21"/>
                      <w:u w:val="none"/>
                      <w:lang w:val="en-US"/>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场内道路至 TPS3-TPS7段及 TPS3、TPS4、TPS5、TPS6、TPS7风机平台</w:t>
                  </w:r>
                </w:p>
              </w:tc>
              <w:tc>
                <w:tcPr>
                  <w:tcW w:w="307" w:type="pct"/>
                  <w:vMerge w:val="restart"/>
                  <w:vAlign w:val="center"/>
                </w:tcPr>
                <w:p w14:paraId="64D7AB53">
                  <w:pPr>
                    <w:pStyle w:val="23"/>
                    <w:widowControl w:val="0"/>
                    <w:spacing w:before="0" w:beforeAutospacing="0" w:after="0" w:afterAutospacing="0" w:line="240" w:lineRule="auto"/>
                    <w:jc w:val="center"/>
                    <w:rPr>
                      <w:rFonts w:hint="default" w:ascii="Times New Roman" w:hAnsi="Times New Roman" w:eastAsia="宋体"/>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13.47</w:t>
                  </w:r>
                </w:p>
              </w:tc>
            </w:tr>
            <w:tr w14:paraId="428260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73" w:type="pct"/>
                  <w:vAlign w:val="center"/>
                </w:tcPr>
                <w:p w14:paraId="75643C0A">
                  <w:pPr>
                    <w:pStyle w:val="23"/>
                    <w:widowControl w:val="0"/>
                    <w:spacing w:before="0" w:beforeAutospacing="0" w:after="0" w:afterAutospacing="0" w:line="240" w:lineRule="auto"/>
                    <w:jc w:val="center"/>
                    <w:rPr>
                      <w:rFonts w:hint="default" w:ascii="Times New Roman" w:hAnsi="Times New Roman" w:eastAsia="宋体"/>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Z4</w:t>
                  </w:r>
                </w:p>
              </w:tc>
              <w:tc>
                <w:tcPr>
                  <w:tcW w:w="1207" w:type="pct"/>
                  <w:vAlign w:val="center"/>
                </w:tcPr>
                <w:p w14:paraId="51CB031E">
                  <w:pPr>
                    <w:pStyle w:val="23"/>
                    <w:widowControl w:val="0"/>
                    <w:spacing w:before="0" w:beforeAutospacing="0" w:after="0" w:afterAutospacing="0" w:line="240" w:lineRule="auto"/>
                    <w:jc w:val="center"/>
                    <w:rPr>
                      <w:rFonts w:hint="eastAsia" w:ascii="Times New Roman" w:hAnsi="Times New Roman" w:cs="Times New Roman"/>
                      <w:color w:val="000000" w:themeColor="text1"/>
                      <w:sz w:val="21"/>
                      <w:szCs w:val="21"/>
                      <w:u w:val="none"/>
                      <w:lang w:eastAsia="zh-CN"/>
                      <w14:textFill>
                        <w14:solidFill>
                          <w14:schemeClr w14:val="tx1"/>
                        </w14:solidFill>
                      </w14:textFill>
                    </w:rPr>
                  </w:pPr>
                  <w:r>
                    <w:rPr>
                      <w:rFonts w:hint="eastAsia" w:ascii="Times New Roman" w:hAnsi="Times New Roman"/>
                      <w:color w:val="000000" w:themeColor="text1"/>
                      <w:sz w:val="21"/>
                      <w:szCs w:val="21"/>
                      <w:u w:val="none"/>
                      <w14:textFill>
                        <w14:solidFill>
                          <w14:schemeClr w14:val="tx1"/>
                        </w14:solidFill>
                      </w14:textFill>
                    </w:rPr>
                    <w:t>109°43</w:t>
                  </w:r>
                  <w:r>
                    <w:rPr>
                      <w:rFonts w:hint="default" w:ascii="Times New Roman" w:hAnsi="Times New Roman" w:cs="Times New Roman"/>
                      <w:color w:val="000000" w:themeColor="text1"/>
                      <w:sz w:val="21"/>
                      <w:szCs w:val="21"/>
                      <w:u w:val="none"/>
                      <w14:textFill>
                        <w14:solidFill>
                          <w14:schemeClr w14:val="tx1"/>
                        </w14:solidFill>
                      </w14:textFill>
                    </w:rPr>
                    <w:t>'</w:t>
                  </w:r>
                  <w:r>
                    <w:rPr>
                      <w:rFonts w:hint="eastAsia" w:ascii="Times New Roman" w:hAnsi="Times New Roman"/>
                      <w:color w:val="000000" w:themeColor="text1"/>
                      <w:sz w:val="21"/>
                      <w:szCs w:val="21"/>
                      <w:u w:val="none"/>
                      <w14:textFill>
                        <w14:solidFill>
                          <w14:schemeClr w14:val="tx1"/>
                        </w14:solidFill>
                      </w14:textFill>
                    </w:rPr>
                    <w:t>18.28</w:t>
                  </w:r>
                  <w:r>
                    <w:rPr>
                      <w:rFonts w:hint="default" w:ascii="Times New Roman" w:hAnsi="Times New Roman" w:cs="Times New Roman"/>
                      <w:color w:val="000000" w:themeColor="text1"/>
                      <w:sz w:val="21"/>
                      <w:szCs w:val="21"/>
                      <w:u w:val="none"/>
                      <w14:textFill>
                        <w14:solidFill>
                          <w14:schemeClr w14:val="tx1"/>
                        </w14:solidFill>
                      </w14:textFill>
                    </w:rPr>
                    <w:t>"</w:t>
                  </w:r>
                  <w:r>
                    <w:rPr>
                      <w:rFonts w:hint="eastAsia" w:ascii="Times New Roman" w:hAnsi="Times New Roman" w:cs="Times New Roman"/>
                      <w:color w:val="000000" w:themeColor="text1"/>
                      <w:sz w:val="21"/>
                      <w:szCs w:val="21"/>
                      <w:u w:val="none"/>
                      <w:lang w:eastAsia="zh-CN"/>
                      <w14:textFill>
                        <w14:solidFill>
                          <w14:schemeClr w14:val="tx1"/>
                        </w14:solidFill>
                      </w14:textFill>
                    </w:rPr>
                    <w:t>，</w:t>
                  </w:r>
                </w:p>
                <w:p w14:paraId="30320C0B">
                  <w:pPr>
                    <w:pStyle w:val="23"/>
                    <w:widowControl w:val="0"/>
                    <w:spacing w:before="0" w:beforeAutospacing="0" w:after="0" w:afterAutospacing="0" w:line="240" w:lineRule="auto"/>
                    <w:jc w:val="center"/>
                    <w:rPr>
                      <w:rFonts w:hint="eastAsia" w:ascii="Times New Roman" w:hAnsi="Times New Roman" w:eastAsia="宋体"/>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14:textFill>
                        <w14:solidFill>
                          <w14:schemeClr w14:val="tx1"/>
                        </w14:solidFill>
                      </w14:textFill>
                    </w:rPr>
                    <w:t>26°09</w:t>
                  </w:r>
                  <w:r>
                    <w:rPr>
                      <w:rFonts w:hint="default" w:ascii="Times New Roman" w:hAnsi="Times New Roman" w:cs="Times New Roman"/>
                      <w:color w:val="000000" w:themeColor="text1"/>
                      <w:sz w:val="21"/>
                      <w:szCs w:val="21"/>
                      <w:u w:val="none"/>
                      <w14:textFill>
                        <w14:solidFill>
                          <w14:schemeClr w14:val="tx1"/>
                        </w14:solidFill>
                      </w14:textFill>
                    </w:rPr>
                    <w:t>'</w:t>
                  </w:r>
                  <w:r>
                    <w:rPr>
                      <w:rFonts w:hint="eastAsia" w:ascii="Times New Roman" w:hAnsi="Times New Roman"/>
                      <w:color w:val="000000" w:themeColor="text1"/>
                      <w:sz w:val="21"/>
                      <w:szCs w:val="21"/>
                      <w:u w:val="none"/>
                      <w14:textFill>
                        <w14:solidFill>
                          <w14:schemeClr w14:val="tx1"/>
                        </w14:solidFill>
                      </w14:textFill>
                    </w:rPr>
                    <w:t>23.87</w:t>
                  </w:r>
                  <w:r>
                    <w:rPr>
                      <w:rFonts w:hint="default" w:ascii="Times New Roman" w:hAnsi="Times New Roman" w:cs="Times New Roman"/>
                      <w:color w:val="000000" w:themeColor="text1"/>
                      <w:sz w:val="21"/>
                      <w:szCs w:val="21"/>
                      <w:u w:val="none"/>
                      <w14:textFill>
                        <w14:solidFill>
                          <w14:schemeClr w14:val="tx1"/>
                        </w14:solidFill>
                      </w14:textFill>
                    </w:rPr>
                    <w:t>"</w:t>
                  </w:r>
                </w:p>
              </w:tc>
              <w:tc>
                <w:tcPr>
                  <w:tcW w:w="985" w:type="pct"/>
                  <w:vAlign w:val="center"/>
                </w:tcPr>
                <w:p w14:paraId="3A1D573F">
                  <w:pPr>
                    <w:pStyle w:val="23"/>
                    <w:widowControl w:val="0"/>
                    <w:spacing w:before="0" w:beforeAutospacing="0" w:after="0" w:afterAutospacing="0" w:line="240" w:lineRule="auto"/>
                    <w:jc w:val="center"/>
                    <w:rPr>
                      <w:rFonts w:hint="eastAsia" w:ascii="Times New Roman" w:hAnsi="Times New Roman"/>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14:textFill>
                        <w14:solidFill>
                          <w14:schemeClr w14:val="tx1"/>
                        </w14:solidFill>
                      </w14:textFill>
                    </w:rPr>
                    <w:t>1#风机西侧</w:t>
                  </w:r>
                </w:p>
              </w:tc>
              <w:tc>
                <w:tcPr>
                  <w:tcW w:w="2226" w:type="pct"/>
                  <w:vAlign w:val="center"/>
                </w:tcPr>
                <w:p w14:paraId="5E00BFCD">
                  <w:pPr>
                    <w:pStyle w:val="23"/>
                    <w:widowControl w:val="0"/>
                    <w:spacing w:before="0" w:beforeAutospacing="0" w:after="0" w:afterAutospacing="0" w:line="240" w:lineRule="auto"/>
                    <w:jc w:val="center"/>
                    <w:rPr>
                      <w:rFonts w:hint="eastAsia" w:ascii="Times New Roman" w:hAnsi="Times New Roman"/>
                      <w:color w:val="000000" w:themeColor="text1"/>
                      <w:sz w:val="21"/>
                      <w:szCs w:val="21"/>
                      <w:u w:val="none"/>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场内道路至TPS3-TPS7段及 TPS3、TPS4、TPS5、TPS6、TPS7风机平台</w:t>
                  </w:r>
                </w:p>
              </w:tc>
              <w:tc>
                <w:tcPr>
                  <w:tcW w:w="307" w:type="pct"/>
                  <w:vMerge w:val="continue"/>
                  <w:vAlign w:val="center"/>
                </w:tcPr>
                <w:p w14:paraId="75824DFC">
                  <w:pPr>
                    <w:pStyle w:val="23"/>
                    <w:widowControl w:val="0"/>
                    <w:spacing w:before="0" w:beforeAutospacing="0" w:after="0" w:afterAutospacing="0" w:line="240" w:lineRule="auto"/>
                    <w:jc w:val="center"/>
                    <w:rPr>
                      <w:rFonts w:hint="default" w:ascii="Times New Roman" w:hAnsi="Times New Roman" w:eastAsia="宋体"/>
                      <w:color w:val="000000" w:themeColor="text1"/>
                      <w:sz w:val="21"/>
                      <w:szCs w:val="21"/>
                      <w:u w:val="none"/>
                      <w:lang w:val="en-US" w:eastAsia="zh-CN"/>
                      <w14:textFill>
                        <w14:solidFill>
                          <w14:schemeClr w14:val="tx1"/>
                        </w14:solidFill>
                      </w14:textFill>
                    </w:rPr>
                  </w:pPr>
                </w:p>
              </w:tc>
            </w:tr>
            <w:tr w14:paraId="417CDB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73" w:type="pct"/>
                  <w:vAlign w:val="center"/>
                </w:tcPr>
                <w:p w14:paraId="3E115220">
                  <w:pPr>
                    <w:pStyle w:val="23"/>
                    <w:widowControl w:val="0"/>
                    <w:spacing w:before="0" w:beforeAutospacing="0" w:after="0" w:afterAutospacing="0" w:line="240" w:lineRule="auto"/>
                    <w:jc w:val="center"/>
                    <w:rPr>
                      <w:rFonts w:hint="eastAsia" w:ascii="Times New Roman" w:hAnsi="Times New Roman"/>
                      <w:color w:val="000000" w:themeColor="text1"/>
                      <w:sz w:val="21"/>
                      <w:szCs w:val="21"/>
                      <w:u w:val="none"/>
                      <w14:textFill>
                        <w14:solidFill>
                          <w14:schemeClr w14:val="tx1"/>
                        </w14:solidFill>
                      </w14:textFill>
                    </w:rPr>
                  </w:pPr>
                  <w:r>
                    <w:rPr>
                      <w:rFonts w:hint="eastAsia" w:ascii="Times New Roman" w:hAnsi="Times New Roman"/>
                      <w:color w:val="000000" w:themeColor="text1"/>
                      <w:sz w:val="21"/>
                      <w:szCs w:val="21"/>
                      <w:u w:val="none"/>
                      <w14:textFill>
                        <w14:solidFill>
                          <w14:schemeClr w14:val="tx1"/>
                        </w14:solidFill>
                      </w14:textFill>
                    </w:rPr>
                    <w:t>Z5</w:t>
                  </w:r>
                </w:p>
              </w:tc>
              <w:tc>
                <w:tcPr>
                  <w:tcW w:w="1207" w:type="pct"/>
                  <w:vAlign w:val="center"/>
                </w:tcPr>
                <w:p w14:paraId="3C08271F">
                  <w:pPr>
                    <w:pStyle w:val="23"/>
                    <w:widowControl w:val="0"/>
                    <w:spacing w:before="0" w:beforeAutospacing="0" w:after="0" w:afterAutospacing="0" w:line="240" w:lineRule="auto"/>
                    <w:jc w:val="center"/>
                    <w:rPr>
                      <w:rFonts w:hint="eastAsia" w:ascii="Times New Roman" w:hAnsi="Times New Roman" w:cs="Times New Roman"/>
                      <w:color w:val="000000" w:themeColor="text1"/>
                      <w:sz w:val="21"/>
                      <w:szCs w:val="21"/>
                      <w:u w:val="none"/>
                      <w:lang w:eastAsia="zh-CN"/>
                      <w14:textFill>
                        <w14:solidFill>
                          <w14:schemeClr w14:val="tx1"/>
                        </w14:solidFill>
                      </w14:textFill>
                    </w:rPr>
                  </w:pPr>
                  <w:r>
                    <w:rPr>
                      <w:rFonts w:hint="eastAsia" w:ascii="Times New Roman" w:hAnsi="Times New Roman"/>
                      <w:color w:val="000000" w:themeColor="text1"/>
                      <w:sz w:val="21"/>
                      <w:szCs w:val="21"/>
                      <w:u w:val="none"/>
                      <w14:textFill>
                        <w14:solidFill>
                          <w14:schemeClr w14:val="tx1"/>
                        </w14:solidFill>
                      </w14:textFill>
                    </w:rPr>
                    <w:t>109°41</w:t>
                  </w:r>
                  <w:r>
                    <w:rPr>
                      <w:rFonts w:hint="default" w:ascii="Times New Roman" w:hAnsi="Times New Roman" w:cs="Times New Roman"/>
                      <w:color w:val="000000" w:themeColor="text1"/>
                      <w:sz w:val="21"/>
                      <w:szCs w:val="21"/>
                      <w:u w:val="none"/>
                      <w14:textFill>
                        <w14:solidFill>
                          <w14:schemeClr w14:val="tx1"/>
                        </w14:solidFill>
                      </w14:textFill>
                    </w:rPr>
                    <w:t>'</w:t>
                  </w:r>
                  <w:r>
                    <w:rPr>
                      <w:rFonts w:hint="eastAsia" w:ascii="Times New Roman" w:hAnsi="Times New Roman"/>
                      <w:color w:val="000000" w:themeColor="text1"/>
                      <w:sz w:val="21"/>
                      <w:szCs w:val="21"/>
                      <w:u w:val="none"/>
                      <w14:textFill>
                        <w14:solidFill>
                          <w14:schemeClr w14:val="tx1"/>
                        </w14:solidFill>
                      </w14:textFill>
                    </w:rPr>
                    <w:t>33.92</w:t>
                  </w:r>
                  <w:r>
                    <w:rPr>
                      <w:rFonts w:hint="default" w:ascii="Times New Roman" w:hAnsi="Times New Roman" w:cs="Times New Roman"/>
                      <w:color w:val="000000" w:themeColor="text1"/>
                      <w:sz w:val="21"/>
                      <w:szCs w:val="21"/>
                      <w:u w:val="none"/>
                      <w14:textFill>
                        <w14:solidFill>
                          <w14:schemeClr w14:val="tx1"/>
                        </w14:solidFill>
                      </w14:textFill>
                    </w:rPr>
                    <w:t>"</w:t>
                  </w:r>
                  <w:r>
                    <w:rPr>
                      <w:rFonts w:hint="eastAsia" w:ascii="Times New Roman" w:hAnsi="Times New Roman" w:cs="Times New Roman"/>
                      <w:color w:val="000000" w:themeColor="text1"/>
                      <w:sz w:val="21"/>
                      <w:szCs w:val="21"/>
                      <w:u w:val="none"/>
                      <w:lang w:eastAsia="zh-CN"/>
                      <w14:textFill>
                        <w14:solidFill>
                          <w14:schemeClr w14:val="tx1"/>
                        </w14:solidFill>
                      </w14:textFill>
                    </w:rPr>
                    <w:t>，</w:t>
                  </w:r>
                </w:p>
                <w:p w14:paraId="48EA3D9A">
                  <w:pPr>
                    <w:pStyle w:val="23"/>
                    <w:widowControl w:val="0"/>
                    <w:spacing w:before="0" w:beforeAutospacing="0" w:after="0" w:afterAutospacing="0" w:line="240" w:lineRule="auto"/>
                    <w:jc w:val="center"/>
                    <w:rPr>
                      <w:rFonts w:hint="eastAsia" w:ascii="Times New Roman" w:hAnsi="Times New Roman" w:eastAsia="宋体"/>
                      <w:color w:val="000000" w:themeColor="text1"/>
                      <w:sz w:val="21"/>
                      <w:szCs w:val="21"/>
                      <w:u w:val="none"/>
                      <w:lang w:eastAsia="zh-CN"/>
                      <w14:textFill>
                        <w14:solidFill>
                          <w14:schemeClr w14:val="tx1"/>
                        </w14:solidFill>
                      </w14:textFill>
                    </w:rPr>
                  </w:pPr>
                  <w:r>
                    <w:rPr>
                      <w:rFonts w:hint="eastAsia" w:ascii="Times New Roman" w:hAnsi="Times New Roman"/>
                      <w:color w:val="000000" w:themeColor="text1"/>
                      <w:sz w:val="21"/>
                      <w:szCs w:val="21"/>
                      <w:u w:val="none"/>
                      <w14:textFill>
                        <w14:solidFill>
                          <w14:schemeClr w14:val="tx1"/>
                        </w14:solidFill>
                      </w14:textFill>
                    </w:rPr>
                    <w:t>26°09</w:t>
                  </w:r>
                  <w:r>
                    <w:rPr>
                      <w:rFonts w:hint="default" w:ascii="Times New Roman" w:hAnsi="Times New Roman" w:cs="Times New Roman"/>
                      <w:color w:val="000000" w:themeColor="text1"/>
                      <w:sz w:val="21"/>
                      <w:szCs w:val="21"/>
                      <w:u w:val="none"/>
                      <w14:textFill>
                        <w14:solidFill>
                          <w14:schemeClr w14:val="tx1"/>
                        </w14:solidFill>
                      </w14:textFill>
                    </w:rPr>
                    <w:t>'</w:t>
                  </w:r>
                  <w:r>
                    <w:rPr>
                      <w:rFonts w:hint="eastAsia" w:ascii="Times New Roman" w:hAnsi="Times New Roman"/>
                      <w:color w:val="000000" w:themeColor="text1"/>
                      <w:sz w:val="21"/>
                      <w:szCs w:val="21"/>
                      <w:u w:val="none"/>
                      <w14:textFill>
                        <w14:solidFill>
                          <w14:schemeClr w14:val="tx1"/>
                        </w14:solidFill>
                      </w14:textFill>
                    </w:rPr>
                    <w:t>10.39</w:t>
                  </w:r>
                  <w:r>
                    <w:rPr>
                      <w:rFonts w:hint="default" w:ascii="Times New Roman" w:hAnsi="Times New Roman" w:cs="Times New Roman"/>
                      <w:color w:val="000000" w:themeColor="text1"/>
                      <w:sz w:val="21"/>
                      <w:szCs w:val="21"/>
                      <w:u w:val="none"/>
                      <w14:textFill>
                        <w14:solidFill>
                          <w14:schemeClr w14:val="tx1"/>
                        </w14:solidFill>
                      </w14:textFill>
                    </w:rPr>
                    <w:t>"</w:t>
                  </w:r>
                </w:p>
              </w:tc>
              <w:tc>
                <w:tcPr>
                  <w:tcW w:w="985" w:type="pct"/>
                  <w:vAlign w:val="center"/>
                </w:tcPr>
                <w:p w14:paraId="107039D0">
                  <w:pPr>
                    <w:pStyle w:val="23"/>
                    <w:widowControl w:val="0"/>
                    <w:spacing w:before="0" w:beforeAutospacing="0" w:after="0" w:afterAutospacing="0" w:line="240" w:lineRule="auto"/>
                    <w:jc w:val="center"/>
                    <w:rPr>
                      <w:rFonts w:hint="eastAsia" w:ascii="Times New Roman" w:hAnsi="Times New Roman"/>
                      <w:color w:val="000000" w:themeColor="text1"/>
                      <w:sz w:val="21"/>
                      <w:szCs w:val="21"/>
                      <w:u w:val="none"/>
                      <w14:textFill>
                        <w14:solidFill>
                          <w14:schemeClr w14:val="tx1"/>
                        </w14:solidFill>
                      </w14:textFill>
                    </w:rPr>
                  </w:pPr>
                  <w:r>
                    <w:rPr>
                      <w:rFonts w:hint="eastAsia" w:ascii="Times New Roman" w:hAnsi="Times New Roman"/>
                      <w:color w:val="000000" w:themeColor="text1"/>
                      <w:sz w:val="21"/>
                      <w:szCs w:val="21"/>
                      <w:u w:val="none"/>
                      <w14:textFill>
                        <w14:solidFill>
                          <w14:schemeClr w14:val="tx1"/>
                        </w14:solidFill>
                      </w14:textFill>
                    </w:rPr>
                    <w:t>5#风机西南</w:t>
                  </w:r>
                </w:p>
                <w:p w14:paraId="0C9E00A2">
                  <w:pPr>
                    <w:pStyle w:val="23"/>
                    <w:widowControl w:val="0"/>
                    <w:spacing w:before="0" w:beforeAutospacing="0" w:after="0" w:afterAutospacing="0" w:line="240" w:lineRule="auto"/>
                    <w:jc w:val="center"/>
                    <w:rPr>
                      <w:rFonts w:hint="eastAsia" w:ascii="Times New Roman" w:hAnsi="Times New Roman"/>
                      <w:color w:val="000000" w:themeColor="text1"/>
                      <w:sz w:val="21"/>
                      <w:szCs w:val="21"/>
                      <w:u w:val="none"/>
                      <w14:textFill>
                        <w14:solidFill>
                          <w14:schemeClr w14:val="tx1"/>
                        </w14:solidFill>
                      </w14:textFill>
                    </w:rPr>
                  </w:pPr>
                  <w:r>
                    <w:rPr>
                      <w:rFonts w:hint="eastAsia" w:ascii="Times New Roman" w:hAnsi="Times New Roman"/>
                      <w:color w:val="000000" w:themeColor="text1"/>
                      <w:sz w:val="21"/>
                      <w:szCs w:val="21"/>
                      <w:u w:val="none"/>
                      <w14:textFill>
                        <w14:solidFill>
                          <w14:schemeClr w14:val="tx1"/>
                        </w14:solidFill>
                      </w14:textFill>
                    </w:rPr>
                    <w:t>侧</w:t>
                  </w:r>
                </w:p>
              </w:tc>
              <w:tc>
                <w:tcPr>
                  <w:tcW w:w="2226" w:type="pct"/>
                  <w:vAlign w:val="center"/>
                </w:tcPr>
                <w:p w14:paraId="470746CB">
                  <w:pPr>
                    <w:pStyle w:val="23"/>
                    <w:widowControl w:val="0"/>
                    <w:spacing w:before="0" w:beforeAutospacing="0" w:after="0" w:afterAutospacing="0" w:line="240" w:lineRule="auto"/>
                    <w:jc w:val="center"/>
                    <w:rPr>
                      <w:rFonts w:hint="eastAsia" w:ascii="Times New Roman" w:hAnsi="Times New Roman"/>
                      <w:color w:val="000000" w:themeColor="text1"/>
                      <w:sz w:val="21"/>
                      <w:szCs w:val="21"/>
                      <w:u w:val="none"/>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场内道路至TPS8-TPS10段及TPS8、TPS9、TPS10风机平台</w:t>
                  </w:r>
                </w:p>
              </w:tc>
              <w:tc>
                <w:tcPr>
                  <w:tcW w:w="307" w:type="pct"/>
                  <w:vMerge w:val="restart"/>
                  <w:vAlign w:val="center"/>
                </w:tcPr>
                <w:p w14:paraId="5E0006AB">
                  <w:pPr>
                    <w:pStyle w:val="23"/>
                    <w:widowControl w:val="0"/>
                    <w:spacing w:before="0" w:beforeAutospacing="0" w:after="0" w:afterAutospacing="0" w:line="240" w:lineRule="auto"/>
                    <w:jc w:val="center"/>
                    <w:rPr>
                      <w:rFonts w:hint="default" w:ascii="Times New Roman" w:hAnsi="Times New Roman" w:eastAsia="宋体"/>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13.27</w:t>
                  </w:r>
                </w:p>
              </w:tc>
            </w:tr>
            <w:tr w14:paraId="128B39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73" w:type="pct"/>
                  <w:vAlign w:val="center"/>
                </w:tcPr>
                <w:p w14:paraId="0ECD4EC1">
                  <w:pPr>
                    <w:pStyle w:val="23"/>
                    <w:widowControl w:val="0"/>
                    <w:spacing w:before="0" w:beforeAutospacing="0" w:after="0" w:afterAutospacing="0" w:line="240" w:lineRule="auto"/>
                    <w:jc w:val="center"/>
                    <w:rPr>
                      <w:rFonts w:hint="eastAsia" w:ascii="Times New Roman" w:hAnsi="Times New Roman"/>
                      <w:color w:val="000000" w:themeColor="text1"/>
                      <w:sz w:val="21"/>
                      <w:szCs w:val="21"/>
                      <w:u w:val="none"/>
                      <w14:textFill>
                        <w14:solidFill>
                          <w14:schemeClr w14:val="tx1"/>
                        </w14:solidFill>
                      </w14:textFill>
                    </w:rPr>
                  </w:pPr>
                  <w:r>
                    <w:rPr>
                      <w:rFonts w:hint="eastAsia" w:ascii="Times New Roman" w:hAnsi="Times New Roman"/>
                      <w:color w:val="000000" w:themeColor="text1"/>
                      <w:sz w:val="21"/>
                      <w:szCs w:val="21"/>
                      <w:u w:val="none"/>
                      <w14:textFill>
                        <w14:solidFill>
                          <w14:schemeClr w14:val="tx1"/>
                        </w14:solidFill>
                      </w14:textFill>
                    </w:rPr>
                    <w:t>Z6</w:t>
                  </w:r>
                </w:p>
              </w:tc>
              <w:tc>
                <w:tcPr>
                  <w:tcW w:w="1207" w:type="pct"/>
                  <w:vAlign w:val="center"/>
                </w:tcPr>
                <w:p w14:paraId="13A50486">
                  <w:pPr>
                    <w:pStyle w:val="23"/>
                    <w:widowControl w:val="0"/>
                    <w:spacing w:before="0" w:beforeAutospacing="0" w:after="0" w:afterAutospacing="0" w:line="240" w:lineRule="auto"/>
                    <w:jc w:val="center"/>
                    <w:rPr>
                      <w:rFonts w:hint="eastAsia" w:ascii="Times New Roman" w:hAnsi="Times New Roman" w:cs="Times New Roman"/>
                      <w:color w:val="000000" w:themeColor="text1"/>
                      <w:sz w:val="21"/>
                      <w:szCs w:val="21"/>
                      <w:u w:val="none"/>
                      <w:lang w:eastAsia="zh-CN"/>
                      <w14:textFill>
                        <w14:solidFill>
                          <w14:schemeClr w14:val="tx1"/>
                        </w14:solidFill>
                      </w14:textFill>
                    </w:rPr>
                  </w:pPr>
                  <w:r>
                    <w:rPr>
                      <w:rFonts w:hint="eastAsia" w:ascii="Times New Roman" w:hAnsi="Times New Roman"/>
                      <w:color w:val="000000" w:themeColor="text1"/>
                      <w:sz w:val="21"/>
                      <w:szCs w:val="21"/>
                      <w:u w:val="none"/>
                      <w14:textFill>
                        <w14:solidFill>
                          <w14:schemeClr w14:val="tx1"/>
                        </w14:solidFill>
                      </w14:textFill>
                    </w:rPr>
                    <w:t>109°40</w:t>
                  </w:r>
                  <w:r>
                    <w:rPr>
                      <w:rFonts w:hint="default" w:ascii="Times New Roman" w:hAnsi="Times New Roman" w:cs="Times New Roman"/>
                      <w:color w:val="000000" w:themeColor="text1"/>
                      <w:sz w:val="21"/>
                      <w:szCs w:val="21"/>
                      <w:u w:val="none"/>
                      <w14:textFill>
                        <w14:solidFill>
                          <w14:schemeClr w14:val="tx1"/>
                        </w14:solidFill>
                      </w14:textFill>
                    </w:rPr>
                    <w:t>'</w:t>
                  </w:r>
                  <w:r>
                    <w:rPr>
                      <w:rFonts w:hint="eastAsia" w:ascii="Times New Roman" w:hAnsi="Times New Roman"/>
                      <w:color w:val="000000" w:themeColor="text1"/>
                      <w:sz w:val="21"/>
                      <w:szCs w:val="21"/>
                      <w:u w:val="none"/>
                      <w14:textFill>
                        <w14:solidFill>
                          <w14:schemeClr w14:val="tx1"/>
                        </w14:solidFill>
                      </w14:textFill>
                    </w:rPr>
                    <w:t>56.62</w:t>
                  </w:r>
                  <w:r>
                    <w:rPr>
                      <w:rFonts w:hint="default" w:ascii="Times New Roman" w:hAnsi="Times New Roman" w:cs="Times New Roman"/>
                      <w:color w:val="000000" w:themeColor="text1"/>
                      <w:sz w:val="21"/>
                      <w:szCs w:val="21"/>
                      <w:u w:val="none"/>
                      <w14:textFill>
                        <w14:solidFill>
                          <w14:schemeClr w14:val="tx1"/>
                        </w14:solidFill>
                      </w14:textFill>
                    </w:rPr>
                    <w:t>"</w:t>
                  </w:r>
                  <w:r>
                    <w:rPr>
                      <w:rFonts w:hint="eastAsia" w:ascii="Times New Roman" w:hAnsi="Times New Roman" w:cs="Times New Roman"/>
                      <w:color w:val="000000" w:themeColor="text1"/>
                      <w:sz w:val="21"/>
                      <w:szCs w:val="21"/>
                      <w:u w:val="none"/>
                      <w:lang w:eastAsia="zh-CN"/>
                      <w14:textFill>
                        <w14:solidFill>
                          <w14:schemeClr w14:val="tx1"/>
                        </w14:solidFill>
                      </w14:textFill>
                    </w:rPr>
                    <w:t>，</w:t>
                  </w:r>
                </w:p>
                <w:p w14:paraId="4D2EE2A5">
                  <w:pPr>
                    <w:pStyle w:val="23"/>
                    <w:widowControl w:val="0"/>
                    <w:spacing w:before="0" w:beforeAutospacing="0" w:after="0" w:afterAutospacing="0" w:line="240" w:lineRule="auto"/>
                    <w:jc w:val="center"/>
                    <w:rPr>
                      <w:rFonts w:hint="eastAsia" w:ascii="Times New Roman" w:hAnsi="Times New Roman" w:eastAsia="宋体"/>
                      <w:color w:val="000000" w:themeColor="text1"/>
                      <w:sz w:val="21"/>
                      <w:szCs w:val="21"/>
                      <w:u w:val="none"/>
                      <w:lang w:eastAsia="zh-CN"/>
                      <w14:textFill>
                        <w14:solidFill>
                          <w14:schemeClr w14:val="tx1"/>
                        </w14:solidFill>
                      </w14:textFill>
                    </w:rPr>
                  </w:pPr>
                  <w:r>
                    <w:rPr>
                      <w:rFonts w:hint="eastAsia" w:ascii="Times New Roman" w:hAnsi="Times New Roman"/>
                      <w:color w:val="000000" w:themeColor="text1"/>
                      <w:sz w:val="21"/>
                      <w:szCs w:val="21"/>
                      <w:u w:val="none"/>
                      <w14:textFill>
                        <w14:solidFill>
                          <w14:schemeClr w14:val="tx1"/>
                        </w14:solidFill>
                      </w14:textFill>
                    </w:rPr>
                    <w:t>26°07</w:t>
                  </w:r>
                  <w:r>
                    <w:rPr>
                      <w:rFonts w:hint="default" w:ascii="Times New Roman" w:hAnsi="Times New Roman" w:cs="Times New Roman"/>
                      <w:color w:val="000000" w:themeColor="text1"/>
                      <w:sz w:val="21"/>
                      <w:szCs w:val="21"/>
                      <w:u w:val="none"/>
                      <w14:textFill>
                        <w14:solidFill>
                          <w14:schemeClr w14:val="tx1"/>
                        </w14:solidFill>
                      </w14:textFill>
                    </w:rPr>
                    <w:t>'</w:t>
                  </w:r>
                  <w:r>
                    <w:rPr>
                      <w:rFonts w:hint="eastAsia" w:ascii="Times New Roman" w:hAnsi="Times New Roman"/>
                      <w:color w:val="000000" w:themeColor="text1"/>
                      <w:sz w:val="21"/>
                      <w:szCs w:val="21"/>
                      <w:u w:val="none"/>
                      <w14:textFill>
                        <w14:solidFill>
                          <w14:schemeClr w14:val="tx1"/>
                        </w14:solidFill>
                      </w14:textFill>
                    </w:rPr>
                    <w:t>54.40</w:t>
                  </w:r>
                  <w:r>
                    <w:rPr>
                      <w:rFonts w:hint="default" w:ascii="Times New Roman" w:hAnsi="Times New Roman" w:cs="Times New Roman"/>
                      <w:color w:val="000000" w:themeColor="text1"/>
                      <w:sz w:val="21"/>
                      <w:szCs w:val="21"/>
                      <w:u w:val="none"/>
                      <w14:textFill>
                        <w14:solidFill>
                          <w14:schemeClr w14:val="tx1"/>
                        </w14:solidFill>
                      </w14:textFill>
                    </w:rPr>
                    <w:t>"</w:t>
                  </w:r>
                </w:p>
              </w:tc>
              <w:tc>
                <w:tcPr>
                  <w:tcW w:w="985" w:type="pct"/>
                  <w:vAlign w:val="center"/>
                </w:tcPr>
                <w:p w14:paraId="265BB6ED">
                  <w:pPr>
                    <w:pStyle w:val="23"/>
                    <w:widowControl w:val="0"/>
                    <w:spacing w:before="0" w:beforeAutospacing="0" w:after="0" w:afterAutospacing="0" w:line="240" w:lineRule="auto"/>
                    <w:jc w:val="center"/>
                    <w:rPr>
                      <w:rFonts w:hint="eastAsia" w:ascii="Times New Roman" w:hAnsi="Times New Roman"/>
                      <w:color w:val="000000" w:themeColor="text1"/>
                      <w:sz w:val="21"/>
                      <w:szCs w:val="21"/>
                      <w:u w:val="none"/>
                      <w14:textFill>
                        <w14:solidFill>
                          <w14:schemeClr w14:val="tx1"/>
                        </w14:solidFill>
                      </w14:textFill>
                    </w:rPr>
                  </w:pPr>
                  <w:r>
                    <w:rPr>
                      <w:rFonts w:hint="eastAsia" w:ascii="Times New Roman" w:hAnsi="Times New Roman"/>
                      <w:color w:val="000000" w:themeColor="text1"/>
                      <w:sz w:val="21"/>
                      <w:szCs w:val="21"/>
                      <w:u w:val="none"/>
                      <w14:textFill>
                        <w14:solidFill>
                          <w14:schemeClr w14:val="tx1"/>
                        </w14:solidFill>
                      </w14:textFill>
                    </w:rPr>
                    <w:t>9#风机北侧</w:t>
                  </w:r>
                </w:p>
              </w:tc>
              <w:tc>
                <w:tcPr>
                  <w:tcW w:w="2226" w:type="pct"/>
                  <w:vAlign w:val="center"/>
                </w:tcPr>
                <w:p w14:paraId="7C9D08ED">
                  <w:pPr>
                    <w:pStyle w:val="23"/>
                    <w:widowControl w:val="0"/>
                    <w:spacing w:before="0" w:beforeAutospacing="0" w:after="0" w:afterAutospacing="0" w:line="240" w:lineRule="auto"/>
                    <w:jc w:val="center"/>
                    <w:rPr>
                      <w:rFonts w:hint="eastAsia" w:ascii="Times New Roman" w:hAnsi="Times New Roman"/>
                      <w:color w:val="000000" w:themeColor="text1"/>
                      <w:sz w:val="21"/>
                      <w:szCs w:val="21"/>
                      <w:u w:val="none"/>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场内道路至 TPS8-TPS10段及TPS8、TPS9、TPS10风机平台</w:t>
                  </w:r>
                </w:p>
              </w:tc>
              <w:tc>
                <w:tcPr>
                  <w:tcW w:w="307" w:type="pct"/>
                  <w:vMerge w:val="continue"/>
                  <w:vAlign w:val="center"/>
                </w:tcPr>
                <w:p w14:paraId="3B04EAD4">
                  <w:pPr>
                    <w:pStyle w:val="23"/>
                    <w:widowControl w:val="0"/>
                    <w:spacing w:before="0" w:beforeAutospacing="0" w:after="0" w:afterAutospacing="0" w:line="240" w:lineRule="auto"/>
                    <w:jc w:val="center"/>
                    <w:rPr>
                      <w:rFonts w:hint="default" w:ascii="Times New Roman" w:hAnsi="Times New Roman" w:eastAsia="宋体"/>
                      <w:color w:val="000000" w:themeColor="text1"/>
                      <w:sz w:val="21"/>
                      <w:szCs w:val="21"/>
                      <w:u w:val="none"/>
                      <w:lang w:val="en-US" w:eastAsia="zh-CN"/>
                      <w14:textFill>
                        <w14:solidFill>
                          <w14:schemeClr w14:val="tx1"/>
                        </w14:solidFill>
                      </w14:textFill>
                    </w:rPr>
                  </w:pPr>
                </w:p>
              </w:tc>
            </w:tr>
            <w:tr w14:paraId="6F58E9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73" w:type="pct"/>
                  <w:vAlign w:val="center"/>
                </w:tcPr>
                <w:p w14:paraId="6C00E12B">
                  <w:pPr>
                    <w:pStyle w:val="23"/>
                    <w:widowControl w:val="0"/>
                    <w:spacing w:before="0" w:beforeAutospacing="0" w:after="0" w:afterAutospacing="0" w:line="240" w:lineRule="auto"/>
                    <w:jc w:val="center"/>
                    <w:rPr>
                      <w:rFonts w:hint="eastAsia" w:ascii="Times New Roman" w:hAnsi="Times New Roman"/>
                      <w:color w:val="000000" w:themeColor="text1"/>
                      <w:sz w:val="21"/>
                      <w:szCs w:val="21"/>
                      <w:u w:val="none"/>
                      <w14:textFill>
                        <w14:solidFill>
                          <w14:schemeClr w14:val="tx1"/>
                        </w14:solidFill>
                      </w14:textFill>
                    </w:rPr>
                  </w:pPr>
                  <w:r>
                    <w:rPr>
                      <w:rFonts w:hint="eastAsia" w:ascii="Times New Roman" w:hAnsi="Times New Roman"/>
                      <w:color w:val="000000" w:themeColor="text1"/>
                      <w:sz w:val="21"/>
                      <w:szCs w:val="21"/>
                      <w:u w:val="none"/>
                      <w14:textFill>
                        <w14:solidFill>
                          <w14:schemeClr w14:val="tx1"/>
                        </w14:solidFill>
                      </w14:textFill>
                    </w:rPr>
                    <w:t>Z7</w:t>
                  </w:r>
                </w:p>
              </w:tc>
              <w:tc>
                <w:tcPr>
                  <w:tcW w:w="1207" w:type="pct"/>
                  <w:vAlign w:val="center"/>
                </w:tcPr>
                <w:p w14:paraId="764871C5">
                  <w:pPr>
                    <w:pStyle w:val="23"/>
                    <w:widowControl w:val="0"/>
                    <w:spacing w:before="0" w:beforeAutospacing="0" w:after="0" w:afterAutospacing="0" w:line="240" w:lineRule="auto"/>
                    <w:jc w:val="center"/>
                    <w:rPr>
                      <w:rFonts w:hint="eastAsia" w:ascii="Times New Roman" w:hAnsi="Times New Roman" w:cs="Times New Roman"/>
                      <w:color w:val="000000" w:themeColor="text1"/>
                      <w:sz w:val="21"/>
                      <w:szCs w:val="21"/>
                      <w:u w:val="none"/>
                      <w:lang w:eastAsia="zh-CN"/>
                      <w14:textFill>
                        <w14:solidFill>
                          <w14:schemeClr w14:val="tx1"/>
                        </w14:solidFill>
                      </w14:textFill>
                    </w:rPr>
                  </w:pPr>
                  <w:r>
                    <w:rPr>
                      <w:rFonts w:hint="eastAsia" w:ascii="Times New Roman" w:hAnsi="Times New Roman"/>
                      <w:color w:val="000000" w:themeColor="text1"/>
                      <w:sz w:val="21"/>
                      <w:szCs w:val="21"/>
                      <w:u w:val="none"/>
                      <w14:textFill>
                        <w14:solidFill>
                          <w14:schemeClr w14:val="tx1"/>
                        </w14:solidFill>
                      </w14:textFill>
                    </w:rPr>
                    <w:t>109°40</w:t>
                  </w:r>
                  <w:r>
                    <w:rPr>
                      <w:rFonts w:hint="default" w:ascii="Times New Roman" w:hAnsi="Times New Roman" w:cs="Times New Roman"/>
                      <w:color w:val="000000" w:themeColor="text1"/>
                      <w:sz w:val="21"/>
                      <w:szCs w:val="21"/>
                      <w:u w:val="none"/>
                      <w14:textFill>
                        <w14:solidFill>
                          <w14:schemeClr w14:val="tx1"/>
                        </w14:solidFill>
                      </w14:textFill>
                    </w:rPr>
                    <w:t>'</w:t>
                  </w:r>
                  <w:r>
                    <w:rPr>
                      <w:rFonts w:hint="eastAsia" w:ascii="Times New Roman" w:hAnsi="Times New Roman"/>
                      <w:color w:val="000000" w:themeColor="text1"/>
                      <w:sz w:val="21"/>
                      <w:szCs w:val="21"/>
                      <w:u w:val="none"/>
                      <w14:textFill>
                        <w14:solidFill>
                          <w14:schemeClr w14:val="tx1"/>
                        </w14:solidFill>
                      </w14:textFill>
                    </w:rPr>
                    <w:t>17.46</w:t>
                  </w:r>
                  <w:r>
                    <w:rPr>
                      <w:rFonts w:hint="default" w:ascii="Times New Roman" w:hAnsi="Times New Roman" w:cs="Times New Roman"/>
                      <w:color w:val="000000" w:themeColor="text1"/>
                      <w:sz w:val="21"/>
                      <w:szCs w:val="21"/>
                      <w:u w:val="none"/>
                      <w14:textFill>
                        <w14:solidFill>
                          <w14:schemeClr w14:val="tx1"/>
                        </w14:solidFill>
                      </w14:textFill>
                    </w:rPr>
                    <w:t>"</w:t>
                  </w:r>
                  <w:r>
                    <w:rPr>
                      <w:rFonts w:hint="eastAsia" w:ascii="Times New Roman" w:hAnsi="Times New Roman" w:cs="Times New Roman"/>
                      <w:color w:val="000000" w:themeColor="text1"/>
                      <w:sz w:val="21"/>
                      <w:szCs w:val="21"/>
                      <w:u w:val="none"/>
                      <w:lang w:eastAsia="zh-CN"/>
                      <w14:textFill>
                        <w14:solidFill>
                          <w14:schemeClr w14:val="tx1"/>
                        </w14:solidFill>
                      </w14:textFill>
                    </w:rPr>
                    <w:t>，</w:t>
                  </w:r>
                </w:p>
                <w:p w14:paraId="599C165C">
                  <w:pPr>
                    <w:pStyle w:val="23"/>
                    <w:widowControl w:val="0"/>
                    <w:spacing w:before="0" w:beforeAutospacing="0" w:after="0" w:afterAutospacing="0" w:line="240" w:lineRule="auto"/>
                    <w:jc w:val="center"/>
                    <w:rPr>
                      <w:rFonts w:hint="eastAsia" w:ascii="Times New Roman" w:hAnsi="Times New Roman" w:eastAsia="宋体"/>
                      <w:color w:val="000000" w:themeColor="text1"/>
                      <w:sz w:val="21"/>
                      <w:szCs w:val="21"/>
                      <w:u w:val="none"/>
                      <w:lang w:eastAsia="zh-CN"/>
                      <w14:textFill>
                        <w14:solidFill>
                          <w14:schemeClr w14:val="tx1"/>
                        </w14:solidFill>
                      </w14:textFill>
                    </w:rPr>
                  </w:pPr>
                  <w:r>
                    <w:rPr>
                      <w:rFonts w:hint="eastAsia" w:ascii="Times New Roman" w:hAnsi="Times New Roman"/>
                      <w:color w:val="000000" w:themeColor="text1"/>
                      <w:sz w:val="21"/>
                      <w:szCs w:val="21"/>
                      <w:u w:val="none"/>
                      <w14:textFill>
                        <w14:solidFill>
                          <w14:schemeClr w14:val="tx1"/>
                        </w14:solidFill>
                      </w14:textFill>
                    </w:rPr>
                    <w:t>26°05</w:t>
                  </w:r>
                  <w:r>
                    <w:rPr>
                      <w:rFonts w:hint="default" w:ascii="Times New Roman" w:hAnsi="Times New Roman" w:cs="Times New Roman"/>
                      <w:color w:val="000000" w:themeColor="text1"/>
                      <w:sz w:val="21"/>
                      <w:szCs w:val="21"/>
                      <w:u w:val="none"/>
                      <w14:textFill>
                        <w14:solidFill>
                          <w14:schemeClr w14:val="tx1"/>
                        </w14:solidFill>
                      </w14:textFill>
                    </w:rPr>
                    <w:t>'</w:t>
                  </w:r>
                  <w:r>
                    <w:rPr>
                      <w:rFonts w:hint="eastAsia" w:ascii="Times New Roman" w:hAnsi="Times New Roman"/>
                      <w:color w:val="000000" w:themeColor="text1"/>
                      <w:sz w:val="21"/>
                      <w:szCs w:val="21"/>
                      <w:u w:val="none"/>
                      <w14:textFill>
                        <w14:solidFill>
                          <w14:schemeClr w14:val="tx1"/>
                        </w14:solidFill>
                      </w14:textFill>
                    </w:rPr>
                    <w:t>57.38</w:t>
                  </w:r>
                  <w:r>
                    <w:rPr>
                      <w:rFonts w:hint="default" w:ascii="Times New Roman" w:hAnsi="Times New Roman" w:cs="Times New Roman"/>
                      <w:color w:val="000000" w:themeColor="text1"/>
                      <w:sz w:val="21"/>
                      <w:szCs w:val="21"/>
                      <w:u w:val="none"/>
                      <w14:textFill>
                        <w14:solidFill>
                          <w14:schemeClr w14:val="tx1"/>
                        </w14:solidFill>
                      </w14:textFill>
                    </w:rPr>
                    <w:t>"</w:t>
                  </w:r>
                </w:p>
              </w:tc>
              <w:tc>
                <w:tcPr>
                  <w:tcW w:w="985" w:type="pct"/>
                  <w:vAlign w:val="center"/>
                </w:tcPr>
                <w:p w14:paraId="18157657">
                  <w:pPr>
                    <w:pStyle w:val="23"/>
                    <w:widowControl w:val="0"/>
                    <w:spacing w:before="0" w:beforeAutospacing="0" w:after="0" w:afterAutospacing="0" w:line="240" w:lineRule="auto"/>
                    <w:jc w:val="center"/>
                    <w:rPr>
                      <w:rFonts w:hint="eastAsia" w:ascii="Times New Roman" w:hAnsi="Times New Roman"/>
                      <w:color w:val="000000" w:themeColor="text1"/>
                      <w:sz w:val="21"/>
                      <w:szCs w:val="21"/>
                      <w:u w:val="none"/>
                      <w14:textFill>
                        <w14:solidFill>
                          <w14:schemeClr w14:val="tx1"/>
                        </w14:solidFill>
                      </w14:textFill>
                    </w:rPr>
                  </w:pPr>
                  <w:r>
                    <w:rPr>
                      <w:rFonts w:hint="eastAsia" w:ascii="Times New Roman" w:hAnsi="Times New Roman"/>
                      <w:color w:val="000000" w:themeColor="text1"/>
                      <w:sz w:val="21"/>
                      <w:szCs w:val="21"/>
                      <w:u w:val="none"/>
                      <w14:textFill>
                        <w14:solidFill>
                          <w14:schemeClr w14:val="tx1"/>
                        </w14:solidFill>
                      </w14:textFill>
                    </w:rPr>
                    <w:t>11#风机西南侧</w:t>
                  </w:r>
                </w:p>
              </w:tc>
              <w:tc>
                <w:tcPr>
                  <w:tcW w:w="2226" w:type="pct"/>
                  <w:vAlign w:val="center"/>
                </w:tcPr>
                <w:p w14:paraId="36FB94DC">
                  <w:pPr>
                    <w:pStyle w:val="23"/>
                    <w:widowControl w:val="0"/>
                    <w:spacing w:before="0" w:beforeAutospacing="0" w:after="0" w:afterAutospacing="0" w:line="240" w:lineRule="auto"/>
                    <w:jc w:val="center"/>
                    <w:rPr>
                      <w:rFonts w:hint="default" w:ascii="Times New Roman" w:hAnsi="Times New Roman" w:eastAsia="宋体"/>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场内道路至TPS11段及TPS11风机平台</w:t>
                  </w:r>
                </w:p>
              </w:tc>
              <w:tc>
                <w:tcPr>
                  <w:tcW w:w="307" w:type="pct"/>
                  <w:vAlign w:val="center"/>
                </w:tcPr>
                <w:p w14:paraId="2FFF6972">
                  <w:pPr>
                    <w:pStyle w:val="23"/>
                    <w:widowControl w:val="0"/>
                    <w:spacing w:before="0" w:beforeAutospacing="0" w:after="0" w:afterAutospacing="0" w:line="240" w:lineRule="auto"/>
                    <w:jc w:val="center"/>
                    <w:rPr>
                      <w:rFonts w:hint="default" w:ascii="Times New Roman" w:hAnsi="Times New Roman" w:eastAsia="宋体"/>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5.36</w:t>
                  </w:r>
                </w:p>
              </w:tc>
            </w:tr>
            <w:tr w14:paraId="442BBD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73" w:type="pct"/>
                  <w:vAlign w:val="center"/>
                </w:tcPr>
                <w:p w14:paraId="24ACFC59">
                  <w:pPr>
                    <w:pStyle w:val="23"/>
                    <w:widowControl w:val="0"/>
                    <w:spacing w:before="0" w:beforeAutospacing="0" w:after="0" w:afterAutospacing="0" w:line="240" w:lineRule="auto"/>
                    <w:jc w:val="center"/>
                    <w:rPr>
                      <w:rFonts w:hint="eastAsia" w:ascii="Times New Roman" w:hAnsi="Times New Roman" w:eastAsia="宋体"/>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14:textFill>
                        <w14:solidFill>
                          <w14:schemeClr w14:val="tx1"/>
                        </w14:solidFill>
                      </w14:textFill>
                    </w:rPr>
                    <w:t>Z8</w:t>
                  </w:r>
                </w:p>
              </w:tc>
              <w:tc>
                <w:tcPr>
                  <w:tcW w:w="1207" w:type="pct"/>
                  <w:vAlign w:val="center"/>
                </w:tcPr>
                <w:p w14:paraId="72DC086D">
                  <w:pPr>
                    <w:pStyle w:val="23"/>
                    <w:widowControl w:val="0"/>
                    <w:spacing w:before="0" w:beforeAutospacing="0" w:after="0" w:afterAutospacing="0" w:line="240" w:lineRule="auto"/>
                    <w:jc w:val="center"/>
                    <w:rPr>
                      <w:rFonts w:hint="eastAsia" w:ascii="Times New Roman" w:hAnsi="Times New Roman" w:cs="Times New Roman"/>
                      <w:color w:val="000000" w:themeColor="text1"/>
                      <w:sz w:val="21"/>
                      <w:szCs w:val="21"/>
                      <w:u w:val="none"/>
                      <w:lang w:eastAsia="zh-CN"/>
                      <w14:textFill>
                        <w14:solidFill>
                          <w14:schemeClr w14:val="tx1"/>
                        </w14:solidFill>
                      </w14:textFill>
                    </w:rPr>
                  </w:pPr>
                  <w:r>
                    <w:rPr>
                      <w:rFonts w:hint="eastAsia" w:ascii="Times New Roman" w:hAnsi="Times New Roman"/>
                      <w:color w:val="000000" w:themeColor="text1"/>
                      <w:sz w:val="21"/>
                      <w:szCs w:val="21"/>
                      <w:u w:val="none"/>
                      <w14:textFill>
                        <w14:solidFill>
                          <w14:schemeClr w14:val="tx1"/>
                        </w14:solidFill>
                      </w14:textFill>
                    </w:rPr>
                    <w:t>109°39</w:t>
                  </w:r>
                  <w:r>
                    <w:rPr>
                      <w:rFonts w:hint="default" w:ascii="Times New Roman" w:hAnsi="Times New Roman" w:cs="Times New Roman"/>
                      <w:color w:val="000000" w:themeColor="text1"/>
                      <w:sz w:val="21"/>
                      <w:szCs w:val="21"/>
                      <w:u w:val="none"/>
                      <w14:textFill>
                        <w14:solidFill>
                          <w14:schemeClr w14:val="tx1"/>
                        </w14:solidFill>
                      </w14:textFill>
                    </w:rPr>
                    <w:t>'</w:t>
                  </w:r>
                  <w:r>
                    <w:rPr>
                      <w:rFonts w:hint="eastAsia" w:ascii="Times New Roman" w:hAnsi="Times New Roman"/>
                      <w:color w:val="000000" w:themeColor="text1"/>
                      <w:sz w:val="21"/>
                      <w:szCs w:val="21"/>
                      <w:u w:val="none"/>
                      <w14:textFill>
                        <w14:solidFill>
                          <w14:schemeClr w14:val="tx1"/>
                        </w14:solidFill>
                      </w14:textFill>
                    </w:rPr>
                    <w:t>25.40</w:t>
                  </w:r>
                  <w:r>
                    <w:rPr>
                      <w:rFonts w:hint="default" w:ascii="Times New Roman" w:hAnsi="Times New Roman" w:cs="Times New Roman"/>
                      <w:color w:val="000000" w:themeColor="text1"/>
                      <w:sz w:val="21"/>
                      <w:szCs w:val="21"/>
                      <w:u w:val="none"/>
                      <w14:textFill>
                        <w14:solidFill>
                          <w14:schemeClr w14:val="tx1"/>
                        </w14:solidFill>
                      </w14:textFill>
                    </w:rPr>
                    <w:t>"</w:t>
                  </w:r>
                  <w:r>
                    <w:rPr>
                      <w:rFonts w:hint="eastAsia" w:ascii="Times New Roman" w:hAnsi="Times New Roman" w:cs="Times New Roman"/>
                      <w:color w:val="000000" w:themeColor="text1"/>
                      <w:sz w:val="21"/>
                      <w:szCs w:val="21"/>
                      <w:u w:val="none"/>
                      <w:lang w:eastAsia="zh-CN"/>
                      <w14:textFill>
                        <w14:solidFill>
                          <w14:schemeClr w14:val="tx1"/>
                        </w14:solidFill>
                      </w14:textFill>
                    </w:rPr>
                    <w:t>，</w:t>
                  </w:r>
                </w:p>
                <w:p w14:paraId="364A3F0B">
                  <w:pPr>
                    <w:pStyle w:val="23"/>
                    <w:widowControl w:val="0"/>
                    <w:spacing w:before="0" w:beforeAutospacing="0" w:after="0" w:afterAutospacing="0" w:line="240" w:lineRule="auto"/>
                    <w:jc w:val="center"/>
                    <w:rPr>
                      <w:rFonts w:hint="eastAsia" w:ascii="Times New Roman" w:hAnsi="Times New Roman" w:eastAsia="宋体"/>
                      <w:color w:val="000000" w:themeColor="text1"/>
                      <w:sz w:val="21"/>
                      <w:szCs w:val="21"/>
                      <w:u w:val="none"/>
                      <w:lang w:eastAsia="zh-CN"/>
                      <w14:textFill>
                        <w14:solidFill>
                          <w14:schemeClr w14:val="tx1"/>
                        </w14:solidFill>
                      </w14:textFill>
                    </w:rPr>
                  </w:pPr>
                  <w:r>
                    <w:rPr>
                      <w:rFonts w:hint="eastAsia" w:ascii="Times New Roman" w:hAnsi="Times New Roman"/>
                      <w:color w:val="000000" w:themeColor="text1"/>
                      <w:sz w:val="21"/>
                      <w:szCs w:val="21"/>
                      <w:u w:val="none"/>
                      <w14:textFill>
                        <w14:solidFill>
                          <w14:schemeClr w14:val="tx1"/>
                        </w14:solidFill>
                      </w14:textFill>
                    </w:rPr>
                    <w:t>26°06</w:t>
                  </w:r>
                  <w:r>
                    <w:rPr>
                      <w:rFonts w:hint="default" w:ascii="Times New Roman" w:hAnsi="Times New Roman" w:cs="Times New Roman"/>
                      <w:color w:val="000000" w:themeColor="text1"/>
                      <w:sz w:val="21"/>
                      <w:szCs w:val="21"/>
                      <w:u w:val="none"/>
                      <w14:textFill>
                        <w14:solidFill>
                          <w14:schemeClr w14:val="tx1"/>
                        </w14:solidFill>
                      </w14:textFill>
                    </w:rPr>
                    <w:t>'</w:t>
                  </w:r>
                  <w:r>
                    <w:rPr>
                      <w:rFonts w:hint="eastAsia" w:ascii="Times New Roman" w:hAnsi="Times New Roman"/>
                      <w:color w:val="000000" w:themeColor="text1"/>
                      <w:sz w:val="21"/>
                      <w:szCs w:val="21"/>
                      <w:u w:val="none"/>
                      <w14:textFill>
                        <w14:solidFill>
                          <w14:schemeClr w14:val="tx1"/>
                        </w14:solidFill>
                      </w14:textFill>
                    </w:rPr>
                    <w:t>45.46</w:t>
                  </w:r>
                  <w:r>
                    <w:rPr>
                      <w:rFonts w:hint="default" w:ascii="Times New Roman" w:hAnsi="Times New Roman" w:cs="Times New Roman"/>
                      <w:color w:val="000000" w:themeColor="text1"/>
                      <w:sz w:val="21"/>
                      <w:szCs w:val="21"/>
                      <w:u w:val="none"/>
                      <w14:textFill>
                        <w14:solidFill>
                          <w14:schemeClr w14:val="tx1"/>
                        </w14:solidFill>
                      </w14:textFill>
                    </w:rPr>
                    <w:t>"</w:t>
                  </w:r>
                </w:p>
              </w:tc>
              <w:tc>
                <w:tcPr>
                  <w:tcW w:w="985" w:type="pct"/>
                  <w:vAlign w:val="center"/>
                </w:tcPr>
                <w:p w14:paraId="21FAEEDD">
                  <w:pPr>
                    <w:pStyle w:val="23"/>
                    <w:widowControl w:val="0"/>
                    <w:spacing w:before="0" w:beforeAutospacing="0" w:after="0" w:afterAutospacing="0" w:line="240" w:lineRule="auto"/>
                    <w:jc w:val="center"/>
                    <w:rPr>
                      <w:rFonts w:hint="eastAsia" w:ascii="Times New Roman" w:hAnsi="Times New Roman"/>
                      <w:color w:val="000000" w:themeColor="text1"/>
                      <w:sz w:val="21"/>
                      <w:szCs w:val="21"/>
                      <w:u w:val="none"/>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1</w:t>
                  </w:r>
                  <w:r>
                    <w:rPr>
                      <w:rFonts w:hint="eastAsia" w:ascii="Times New Roman" w:hAnsi="Times New Roman"/>
                      <w:color w:val="000000" w:themeColor="text1"/>
                      <w:sz w:val="21"/>
                      <w:szCs w:val="21"/>
                      <w:u w:val="none"/>
                      <w14:textFill>
                        <w14:solidFill>
                          <w14:schemeClr w14:val="tx1"/>
                        </w14:solidFill>
                      </w14:textFill>
                    </w:rPr>
                    <w:t>2#风机东侧</w:t>
                  </w:r>
                </w:p>
              </w:tc>
              <w:tc>
                <w:tcPr>
                  <w:tcW w:w="2226" w:type="pct"/>
                  <w:vAlign w:val="center"/>
                </w:tcPr>
                <w:p w14:paraId="12325262">
                  <w:pPr>
                    <w:pStyle w:val="23"/>
                    <w:widowControl w:val="0"/>
                    <w:spacing w:before="0" w:beforeAutospacing="0" w:after="0" w:afterAutospacing="0" w:line="240" w:lineRule="auto"/>
                    <w:jc w:val="center"/>
                    <w:rPr>
                      <w:rFonts w:hint="eastAsia" w:ascii="Times New Roman" w:hAnsi="Times New Roman"/>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改造道路、15#风机及新建道路、16#风机及新建、改建道路</w:t>
                  </w:r>
                </w:p>
              </w:tc>
              <w:tc>
                <w:tcPr>
                  <w:tcW w:w="307" w:type="pct"/>
                  <w:vMerge w:val="restart"/>
                  <w:vAlign w:val="center"/>
                </w:tcPr>
                <w:p w14:paraId="7E8F91E5">
                  <w:pPr>
                    <w:pStyle w:val="23"/>
                    <w:widowControl w:val="0"/>
                    <w:spacing w:before="0" w:beforeAutospacing="0" w:after="0" w:afterAutospacing="0" w:line="240" w:lineRule="auto"/>
                    <w:jc w:val="center"/>
                    <w:rPr>
                      <w:rFonts w:hint="default" w:ascii="Times New Roman" w:hAnsi="Times New Roman"/>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14.03</w:t>
                  </w:r>
                </w:p>
              </w:tc>
            </w:tr>
            <w:tr w14:paraId="68A343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73" w:type="pct"/>
                  <w:vAlign w:val="center"/>
                </w:tcPr>
                <w:p w14:paraId="04E49A4F">
                  <w:pPr>
                    <w:widowControl w:val="0"/>
                    <w:spacing w:before="0" w:beforeAutospacing="0" w:after="0" w:afterAutospacing="0" w:line="240" w:lineRule="auto"/>
                    <w:jc w:val="center"/>
                    <w:rPr>
                      <w:rFonts w:hint="eastAsia" w:ascii="Times New Roman" w:hAnsi="Times New Roman" w:eastAsia="宋体"/>
                      <w:color w:val="000000" w:themeColor="text1"/>
                      <w:sz w:val="21"/>
                      <w:szCs w:val="21"/>
                      <w:u w:val="none"/>
                      <w:lang w:eastAsia="zh-CN"/>
                      <w14:textFill>
                        <w14:solidFill>
                          <w14:schemeClr w14:val="tx1"/>
                        </w14:solidFill>
                      </w14:textFill>
                    </w:rPr>
                  </w:pPr>
                  <w:r>
                    <w:rPr>
                      <w:rFonts w:hint="eastAsia" w:ascii="Times New Roman" w:hAnsi="Times New Roman"/>
                      <w:color w:val="000000" w:themeColor="text1"/>
                      <w:sz w:val="21"/>
                      <w:szCs w:val="21"/>
                      <w:u w:val="none"/>
                      <w14:textFill>
                        <w14:solidFill>
                          <w14:schemeClr w14:val="tx1"/>
                        </w14:solidFill>
                      </w14:textFill>
                    </w:rPr>
                    <w:t>Z</w:t>
                  </w:r>
                  <w:r>
                    <w:rPr>
                      <w:rFonts w:hint="eastAsia"/>
                      <w:color w:val="000000" w:themeColor="text1"/>
                      <w:sz w:val="21"/>
                      <w:szCs w:val="21"/>
                      <w:u w:val="none"/>
                      <w:lang w:val="en-US" w:eastAsia="zh-CN"/>
                      <w14:textFill>
                        <w14:solidFill>
                          <w14:schemeClr w14:val="tx1"/>
                        </w14:solidFill>
                      </w14:textFill>
                    </w:rPr>
                    <w:t>9</w:t>
                  </w:r>
                </w:p>
              </w:tc>
              <w:tc>
                <w:tcPr>
                  <w:tcW w:w="1207" w:type="pct"/>
                  <w:vAlign w:val="center"/>
                </w:tcPr>
                <w:p w14:paraId="13194327">
                  <w:pPr>
                    <w:widowControl w:val="0"/>
                    <w:spacing w:before="0" w:beforeAutospacing="0" w:after="0" w:afterAutospacing="0" w:line="240" w:lineRule="auto"/>
                    <w:jc w:val="center"/>
                    <w:rPr>
                      <w:rFonts w:hint="eastAsia" w:cs="Times New Roman"/>
                      <w:color w:val="000000" w:themeColor="text1"/>
                      <w:sz w:val="21"/>
                      <w:szCs w:val="21"/>
                      <w:u w:val="none"/>
                      <w:lang w:eastAsia="zh-CN"/>
                      <w14:textFill>
                        <w14:solidFill>
                          <w14:schemeClr w14:val="tx1"/>
                        </w14:solidFill>
                      </w14:textFill>
                    </w:rPr>
                  </w:pPr>
                  <w:r>
                    <w:rPr>
                      <w:rFonts w:hint="eastAsia"/>
                      <w:color w:val="000000" w:themeColor="text1"/>
                      <w:sz w:val="21"/>
                      <w:szCs w:val="21"/>
                      <w:u w:val="none"/>
                      <w14:textFill>
                        <w14:solidFill>
                          <w14:schemeClr w14:val="tx1"/>
                        </w14:solidFill>
                      </w14:textFill>
                    </w:rPr>
                    <w:t>109°38</w:t>
                  </w:r>
                  <w:r>
                    <w:rPr>
                      <w:rFonts w:hint="default" w:ascii="Times New Roman" w:hAnsi="Times New Roman" w:cs="Times New Roman"/>
                      <w:color w:val="000000" w:themeColor="text1"/>
                      <w:sz w:val="21"/>
                      <w:szCs w:val="21"/>
                      <w:u w:val="none"/>
                      <w14:textFill>
                        <w14:solidFill>
                          <w14:schemeClr w14:val="tx1"/>
                        </w14:solidFill>
                      </w14:textFill>
                    </w:rPr>
                    <w:t>'</w:t>
                  </w:r>
                  <w:r>
                    <w:rPr>
                      <w:rFonts w:hint="eastAsia"/>
                      <w:color w:val="000000" w:themeColor="text1"/>
                      <w:sz w:val="21"/>
                      <w:szCs w:val="21"/>
                      <w:u w:val="none"/>
                      <w14:textFill>
                        <w14:solidFill>
                          <w14:schemeClr w14:val="tx1"/>
                        </w14:solidFill>
                      </w14:textFill>
                    </w:rPr>
                    <w:t>47.51</w:t>
                  </w:r>
                  <w:r>
                    <w:rPr>
                      <w:rFonts w:hint="default" w:ascii="Times New Roman" w:hAnsi="Times New Roman" w:cs="Times New Roman"/>
                      <w:color w:val="000000" w:themeColor="text1"/>
                      <w:sz w:val="21"/>
                      <w:szCs w:val="21"/>
                      <w:u w:val="none"/>
                      <w14:textFill>
                        <w14:solidFill>
                          <w14:schemeClr w14:val="tx1"/>
                        </w14:solidFill>
                      </w14:textFill>
                    </w:rPr>
                    <w:t>"</w:t>
                  </w:r>
                  <w:r>
                    <w:rPr>
                      <w:rFonts w:hint="eastAsia" w:cs="Times New Roman"/>
                      <w:color w:val="000000" w:themeColor="text1"/>
                      <w:sz w:val="21"/>
                      <w:szCs w:val="21"/>
                      <w:u w:val="none"/>
                      <w:lang w:eastAsia="zh-CN"/>
                      <w14:textFill>
                        <w14:solidFill>
                          <w14:schemeClr w14:val="tx1"/>
                        </w14:solidFill>
                      </w14:textFill>
                    </w:rPr>
                    <w:t>，</w:t>
                  </w:r>
                </w:p>
                <w:p w14:paraId="38446F6D">
                  <w:pPr>
                    <w:widowControl w:val="0"/>
                    <w:spacing w:before="0" w:beforeAutospacing="0" w:after="0" w:afterAutospacing="0" w:line="240" w:lineRule="auto"/>
                    <w:jc w:val="center"/>
                    <w:rPr>
                      <w:rFonts w:hint="eastAsia" w:ascii="Times New Roman" w:hAnsi="Times New Roman" w:eastAsia="宋体"/>
                      <w:color w:val="000000" w:themeColor="text1"/>
                      <w:sz w:val="21"/>
                      <w:szCs w:val="21"/>
                      <w:u w:val="none"/>
                      <w:lang w:eastAsia="zh-CN"/>
                      <w14:textFill>
                        <w14:solidFill>
                          <w14:schemeClr w14:val="tx1"/>
                        </w14:solidFill>
                      </w14:textFill>
                    </w:rPr>
                  </w:pPr>
                  <w:r>
                    <w:rPr>
                      <w:rFonts w:hint="eastAsia"/>
                      <w:color w:val="000000" w:themeColor="text1"/>
                      <w:sz w:val="21"/>
                      <w:szCs w:val="21"/>
                      <w:u w:val="none"/>
                      <w14:textFill>
                        <w14:solidFill>
                          <w14:schemeClr w14:val="tx1"/>
                        </w14:solidFill>
                      </w14:textFill>
                    </w:rPr>
                    <w:t>26°06</w:t>
                  </w:r>
                  <w:r>
                    <w:rPr>
                      <w:rFonts w:hint="default" w:ascii="Times New Roman" w:hAnsi="Times New Roman" w:cs="Times New Roman"/>
                      <w:color w:val="000000" w:themeColor="text1"/>
                      <w:sz w:val="21"/>
                      <w:szCs w:val="21"/>
                      <w:u w:val="none"/>
                      <w14:textFill>
                        <w14:solidFill>
                          <w14:schemeClr w14:val="tx1"/>
                        </w14:solidFill>
                      </w14:textFill>
                    </w:rPr>
                    <w:t>'</w:t>
                  </w:r>
                  <w:r>
                    <w:rPr>
                      <w:rFonts w:hint="eastAsia"/>
                      <w:color w:val="000000" w:themeColor="text1"/>
                      <w:sz w:val="21"/>
                      <w:szCs w:val="21"/>
                      <w:u w:val="none"/>
                      <w14:textFill>
                        <w14:solidFill>
                          <w14:schemeClr w14:val="tx1"/>
                        </w14:solidFill>
                      </w14:textFill>
                    </w:rPr>
                    <w:t>36.59</w:t>
                  </w:r>
                  <w:r>
                    <w:rPr>
                      <w:rFonts w:hint="default" w:ascii="Times New Roman" w:hAnsi="Times New Roman" w:cs="Times New Roman"/>
                      <w:color w:val="000000" w:themeColor="text1"/>
                      <w:sz w:val="21"/>
                      <w:szCs w:val="21"/>
                      <w:u w:val="none"/>
                      <w14:textFill>
                        <w14:solidFill>
                          <w14:schemeClr w14:val="tx1"/>
                        </w14:solidFill>
                      </w14:textFill>
                    </w:rPr>
                    <w:t>"</w:t>
                  </w:r>
                </w:p>
              </w:tc>
              <w:tc>
                <w:tcPr>
                  <w:tcW w:w="985" w:type="pct"/>
                  <w:vAlign w:val="center"/>
                </w:tcPr>
                <w:p w14:paraId="4A705F9D">
                  <w:pPr>
                    <w:widowControl w:val="0"/>
                    <w:spacing w:before="0" w:beforeAutospacing="0" w:after="0" w:afterAutospacing="0" w:line="240" w:lineRule="auto"/>
                    <w:jc w:val="center"/>
                    <w:rPr>
                      <w:rFonts w:hint="eastAsia" w:ascii="Times New Roman" w:hAnsi="Times New Roman"/>
                      <w:color w:val="000000" w:themeColor="text1"/>
                      <w:sz w:val="21"/>
                      <w:szCs w:val="21"/>
                      <w:u w:val="none"/>
                      <w14:textFill>
                        <w14:solidFill>
                          <w14:schemeClr w14:val="tx1"/>
                        </w14:solidFill>
                      </w14:textFill>
                    </w:rPr>
                  </w:pPr>
                  <w:r>
                    <w:rPr>
                      <w:rFonts w:hint="eastAsia"/>
                      <w:color w:val="000000" w:themeColor="text1"/>
                      <w:sz w:val="21"/>
                      <w:szCs w:val="21"/>
                      <w:u w:val="none"/>
                      <w14:textFill>
                        <w14:solidFill>
                          <w14:schemeClr w14:val="tx1"/>
                        </w14:solidFill>
                      </w14:textFill>
                    </w:rPr>
                    <w:t>14#风机东侧</w:t>
                  </w:r>
                </w:p>
              </w:tc>
              <w:tc>
                <w:tcPr>
                  <w:tcW w:w="2226" w:type="pct"/>
                  <w:vAlign w:val="center"/>
                </w:tcPr>
                <w:p w14:paraId="00F64C6E">
                  <w:pPr>
                    <w:widowControl w:val="0"/>
                    <w:spacing w:before="0" w:beforeAutospacing="0" w:after="0" w:afterAutospacing="0" w:line="240" w:lineRule="auto"/>
                    <w:jc w:val="center"/>
                    <w:rPr>
                      <w:rFonts w:hint="default" w:ascii="Times New Roman" w:hAnsi="Times New Roman"/>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场内道路至 TPS12-TPS15段及 TPS12、TPS13、TPS14、TPS15风机平台</w:t>
                  </w:r>
                </w:p>
              </w:tc>
              <w:tc>
                <w:tcPr>
                  <w:tcW w:w="307" w:type="pct"/>
                  <w:vMerge w:val="continue"/>
                  <w:vAlign w:val="center"/>
                </w:tcPr>
                <w:p w14:paraId="6D37B9A4">
                  <w:pPr>
                    <w:pStyle w:val="23"/>
                    <w:widowControl w:val="0"/>
                    <w:spacing w:before="0" w:beforeAutospacing="0" w:after="0" w:afterAutospacing="0" w:line="240" w:lineRule="auto"/>
                    <w:jc w:val="center"/>
                    <w:rPr>
                      <w:rFonts w:hint="default" w:ascii="Times New Roman" w:hAnsi="Times New Roman"/>
                      <w:color w:val="000000" w:themeColor="text1"/>
                      <w:sz w:val="21"/>
                      <w:szCs w:val="21"/>
                      <w:u w:val="none"/>
                      <w:lang w:val="en-US" w:eastAsia="zh-CN"/>
                      <w14:textFill>
                        <w14:solidFill>
                          <w14:schemeClr w14:val="tx1"/>
                        </w14:solidFill>
                      </w14:textFill>
                    </w:rPr>
                  </w:pPr>
                </w:p>
              </w:tc>
            </w:tr>
            <w:tr w14:paraId="1FE175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73" w:type="pct"/>
                  <w:vAlign w:val="center"/>
                </w:tcPr>
                <w:p w14:paraId="59C36B39">
                  <w:pPr>
                    <w:pStyle w:val="23"/>
                    <w:widowControl w:val="0"/>
                    <w:spacing w:before="0" w:beforeAutospacing="0" w:after="0" w:afterAutospacing="0" w:line="240" w:lineRule="auto"/>
                    <w:jc w:val="center"/>
                    <w:rPr>
                      <w:rFonts w:hint="eastAsia" w:ascii="Times New Roman" w:hAnsi="Times New Roman"/>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合计</w:t>
                  </w:r>
                </w:p>
              </w:tc>
              <w:tc>
                <w:tcPr>
                  <w:tcW w:w="1207" w:type="pct"/>
                  <w:vAlign w:val="center"/>
                </w:tcPr>
                <w:p w14:paraId="4FE72771">
                  <w:pPr>
                    <w:pStyle w:val="23"/>
                    <w:widowControl w:val="0"/>
                    <w:spacing w:before="0" w:beforeAutospacing="0" w:after="0" w:afterAutospacing="0" w:line="240" w:lineRule="auto"/>
                    <w:jc w:val="center"/>
                    <w:rPr>
                      <w:rFonts w:hint="eastAsia" w:ascii="Times New Roman" w:hAnsi="Times New Roman"/>
                      <w:color w:val="000000" w:themeColor="text1"/>
                      <w:sz w:val="21"/>
                      <w:szCs w:val="21"/>
                      <w:u w:val="none"/>
                      <w:lang w:val="en-US" w:eastAsia="zh-CN"/>
                      <w14:textFill>
                        <w14:solidFill>
                          <w14:schemeClr w14:val="tx1"/>
                        </w14:solidFill>
                      </w14:textFill>
                    </w:rPr>
                  </w:pPr>
                </w:p>
              </w:tc>
              <w:tc>
                <w:tcPr>
                  <w:tcW w:w="985" w:type="pct"/>
                  <w:vAlign w:val="center"/>
                </w:tcPr>
                <w:p w14:paraId="74CF4F37">
                  <w:pPr>
                    <w:pStyle w:val="23"/>
                    <w:widowControl w:val="0"/>
                    <w:spacing w:before="0" w:beforeAutospacing="0" w:after="0" w:afterAutospacing="0" w:line="240" w:lineRule="auto"/>
                    <w:jc w:val="center"/>
                    <w:rPr>
                      <w:rFonts w:hint="eastAsia" w:ascii="Times New Roman" w:hAnsi="Times New Roman"/>
                      <w:color w:val="000000" w:themeColor="text1"/>
                      <w:sz w:val="21"/>
                      <w:szCs w:val="21"/>
                      <w:u w:val="none"/>
                      <w:lang w:val="en-US" w:eastAsia="zh-CN"/>
                      <w14:textFill>
                        <w14:solidFill>
                          <w14:schemeClr w14:val="tx1"/>
                        </w14:solidFill>
                      </w14:textFill>
                    </w:rPr>
                  </w:pPr>
                </w:p>
              </w:tc>
              <w:tc>
                <w:tcPr>
                  <w:tcW w:w="2226" w:type="pct"/>
                  <w:vAlign w:val="center"/>
                </w:tcPr>
                <w:p w14:paraId="4837F27F">
                  <w:pPr>
                    <w:pStyle w:val="23"/>
                    <w:widowControl w:val="0"/>
                    <w:spacing w:before="0" w:beforeAutospacing="0" w:after="0" w:afterAutospacing="0" w:line="240" w:lineRule="auto"/>
                    <w:jc w:val="center"/>
                    <w:rPr>
                      <w:rFonts w:hint="eastAsia" w:ascii="Times New Roman" w:hAnsi="Times New Roman"/>
                      <w:color w:val="000000" w:themeColor="text1"/>
                      <w:sz w:val="21"/>
                      <w:szCs w:val="21"/>
                      <w:u w:val="none"/>
                      <w:lang w:val="en-US" w:eastAsia="zh-CN"/>
                      <w14:textFill>
                        <w14:solidFill>
                          <w14:schemeClr w14:val="tx1"/>
                        </w14:solidFill>
                      </w14:textFill>
                    </w:rPr>
                  </w:pPr>
                </w:p>
              </w:tc>
              <w:tc>
                <w:tcPr>
                  <w:tcW w:w="307" w:type="pct"/>
                  <w:vAlign w:val="center"/>
                </w:tcPr>
                <w:p w14:paraId="6B357B92">
                  <w:pPr>
                    <w:pStyle w:val="23"/>
                    <w:widowControl w:val="0"/>
                    <w:spacing w:before="0" w:beforeAutospacing="0" w:after="0" w:afterAutospacing="0" w:line="240" w:lineRule="auto"/>
                    <w:jc w:val="center"/>
                    <w:rPr>
                      <w:rFonts w:hint="default" w:ascii="Times New Roman" w:hAnsi="Times New Roman"/>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59.21</w:t>
                  </w:r>
                </w:p>
              </w:tc>
            </w:tr>
          </w:tbl>
          <w:p w14:paraId="79BA9D8A">
            <w:pPr>
              <w:pStyle w:val="8"/>
              <w:spacing w:before="120" w:beforeLines="50" w:line="240" w:lineRule="auto"/>
              <w:ind w:firstLine="2951" w:firstLineChars="1400"/>
              <w:jc w:val="both"/>
              <w:rPr>
                <w:rFonts w:hint="eastAsia"/>
                <w:color w:val="000000" w:themeColor="text1"/>
                <w:u w:val="none"/>
                <w14:textFill>
                  <w14:solidFill>
                    <w14:schemeClr w14:val="tx1"/>
                  </w14:solidFill>
                </w14:textFill>
              </w:rPr>
            </w:pPr>
            <w:r>
              <w:rPr>
                <w:color w:val="000000" w:themeColor="text1"/>
                <w:u w:val="none"/>
                <w14:textFill>
                  <w14:solidFill>
                    <w14:schemeClr w14:val="tx1"/>
                  </w14:solidFill>
                </w14:textFill>
              </w:rPr>
              <w:t>表</w:t>
            </w:r>
            <w:r>
              <w:rPr>
                <w:rFonts w:hint="eastAsia"/>
                <w:color w:val="000000" w:themeColor="text1"/>
                <w:u w:val="none"/>
                <w14:textFill>
                  <w14:solidFill>
                    <w14:schemeClr w14:val="tx1"/>
                  </w14:solidFill>
                </w14:textFill>
              </w:rPr>
              <w:t>2.4-</w:t>
            </w:r>
            <w:r>
              <w:rPr>
                <w:rFonts w:hint="eastAsia"/>
                <w:color w:val="000000" w:themeColor="text1"/>
                <w:u w:val="none"/>
                <w:lang w:val="en-US" w:eastAsia="zh-CN"/>
                <w14:textFill>
                  <w14:solidFill>
                    <w14:schemeClr w14:val="tx1"/>
                  </w14:solidFill>
                </w14:textFill>
              </w:rPr>
              <w:t>5</w:t>
            </w:r>
            <w:r>
              <w:rPr>
                <w:rFonts w:hint="eastAsia"/>
                <w:color w:val="000000" w:themeColor="text1"/>
                <w:u w:val="none"/>
                <w14:textFill>
                  <w14:solidFill>
                    <w14:schemeClr w14:val="tx1"/>
                  </w14:solidFill>
                </w14:textFill>
              </w:rPr>
              <w:t>土石方平衡分析表</w:t>
            </w:r>
          </w:p>
          <w:tbl>
            <w:tblPr>
              <w:tblStyle w:val="27"/>
              <w:tblW w:w="7841" w:type="dxa"/>
              <w:tblInd w:w="-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2679"/>
              <w:gridCol w:w="1401"/>
              <w:gridCol w:w="1334"/>
              <w:gridCol w:w="1629"/>
            </w:tblGrid>
            <w:tr w14:paraId="69849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trPr>
              <w:tc>
                <w:tcPr>
                  <w:tcW w:w="798" w:type="dxa"/>
                  <w:vAlign w:val="center"/>
                </w:tcPr>
                <w:p w14:paraId="2C8437EE">
                  <w:pPr>
                    <w:pStyle w:val="23"/>
                    <w:widowControl w:val="0"/>
                    <w:spacing w:before="0" w:beforeAutospacing="0" w:after="0" w:afterAutospacing="0" w:line="240" w:lineRule="auto"/>
                    <w:jc w:val="both"/>
                    <w:rPr>
                      <w:rFonts w:hint="eastAsia" w:ascii="Times New Roman" w:hAnsi="Times New Roman"/>
                      <w:b/>
                      <w:bCs/>
                      <w:color w:val="000000" w:themeColor="text1"/>
                      <w:sz w:val="21"/>
                      <w:szCs w:val="21"/>
                      <w:u w:val="none"/>
                      <w:lang w:val="en-US" w:eastAsia="zh-CN"/>
                      <w14:textFill>
                        <w14:solidFill>
                          <w14:schemeClr w14:val="tx1"/>
                        </w14:solidFill>
                      </w14:textFill>
                    </w:rPr>
                  </w:pPr>
                  <w:r>
                    <w:rPr>
                      <w:rFonts w:hint="eastAsia" w:ascii="Times New Roman" w:hAnsi="Times New Roman"/>
                      <w:b/>
                      <w:bCs/>
                      <w:color w:val="000000" w:themeColor="text1"/>
                      <w:sz w:val="21"/>
                      <w:szCs w:val="21"/>
                      <w:u w:val="none"/>
                      <w:lang w:val="en-US" w:eastAsia="zh-CN"/>
                      <w14:textFill>
                        <w14:solidFill>
                          <w14:schemeClr w14:val="tx1"/>
                        </w14:solidFill>
                      </w14:textFill>
                    </w:rPr>
                    <w:t>序号</w:t>
                  </w:r>
                </w:p>
              </w:tc>
              <w:tc>
                <w:tcPr>
                  <w:tcW w:w="2679" w:type="dxa"/>
                  <w:vAlign w:val="center"/>
                </w:tcPr>
                <w:p w14:paraId="4906AAE6">
                  <w:pPr>
                    <w:pStyle w:val="23"/>
                    <w:widowControl w:val="0"/>
                    <w:spacing w:before="0" w:beforeAutospacing="0" w:after="0" w:afterAutospacing="0" w:line="240" w:lineRule="auto"/>
                    <w:jc w:val="center"/>
                    <w:rPr>
                      <w:rFonts w:hint="eastAsia" w:ascii="Times New Roman" w:hAnsi="Times New Roman"/>
                      <w:b/>
                      <w:bCs/>
                      <w:color w:val="000000" w:themeColor="text1"/>
                      <w:sz w:val="21"/>
                      <w:szCs w:val="21"/>
                      <w:u w:val="none"/>
                      <w14:textFill>
                        <w14:solidFill>
                          <w14:schemeClr w14:val="tx1"/>
                        </w14:solidFill>
                      </w14:textFill>
                    </w:rPr>
                  </w:pPr>
                  <w:r>
                    <w:rPr>
                      <w:rFonts w:hint="eastAsia" w:ascii="Times New Roman" w:hAnsi="Times New Roman"/>
                      <w:b/>
                      <w:bCs/>
                      <w:color w:val="000000" w:themeColor="text1"/>
                      <w:sz w:val="21"/>
                      <w:szCs w:val="21"/>
                      <w:u w:val="none"/>
                      <w:lang w:val="en-US" w:eastAsia="zh-CN"/>
                      <w14:textFill>
                        <w14:solidFill>
                          <w14:schemeClr w14:val="tx1"/>
                        </w14:solidFill>
                      </w14:textFill>
                    </w:rPr>
                    <w:t>项目分区</w:t>
                  </w:r>
                </w:p>
              </w:tc>
              <w:tc>
                <w:tcPr>
                  <w:tcW w:w="1401" w:type="dxa"/>
                  <w:vAlign w:val="center"/>
                </w:tcPr>
                <w:p w14:paraId="5841BBB0">
                  <w:pPr>
                    <w:pStyle w:val="23"/>
                    <w:widowControl w:val="0"/>
                    <w:spacing w:before="0" w:beforeAutospacing="0" w:after="0" w:afterAutospacing="0" w:line="240" w:lineRule="auto"/>
                    <w:jc w:val="center"/>
                    <w:rPr>
                      <w:rFonts w:hint="eastAsia" w:ascii="Times New Roman" w:hAnsi="Times New Roman" w:eastAsia="宋体"/>
                      <w:b/>
                      <w:bCs/>
                      <w:color w:val="000000" w:themeColor="text1"/>
                      <w:sz w:val="21"/>
                      <w:szCs w:val="21"/>
                      <w:u w:val="none"/>
                      <w:lang w:val="en-US" w:eastAsia="zh-CN"/>
                      <w14:textFill>
                        <w14:solidFill>
                          <w14:schemeClr w14:val="tx1"/>
                        </w14:solidFill>
                      </w14:textFill>
                    </w:rPr>
                  </w:pPr>
                  <w:r>
                    <w:rPr>
                      <w:rFonts w:hint="eastAsia" w:ascii="Times New Roman" w:hAnsi="Times New Roman"/>
                      <w:b/>
                      <w:bCs/>
                      <w:color w:val="000000" w:themeColor="text1"/>
                      <w:sz w:val="21"/>
                      <w:szCs w:val="21"/>
                      <w:u w:val="none"/>
                      <w:lang w:val="en-US" w:eastAsia="zh-CN"/>
                      <w14:textFill>
                        <w14:solidFill>
                          <w14:schemeClr w14:val="tx1"/>
                        </w14:solidFill>
                      </w14:textFill>
                    </w:rPr>
                    <w:t>挖方</w:t>
                  </w:r>
                  <w:r>
                    <w:rPr>
                      <w:rFonts w:hint="eastAsia" w:ascii="Times New Roman" w:hAnsi="Times New Roman"/>
                      <w:b/>
                      <w:bCs/>
                      <w:color w:val="000000" w:themeColor="text1"/>
                      <w:sz w:val="21"/>
                      <w:szCs w:val="21"/>
                      <w:u w:val="none"/>
                      <w14:textFill>
                        <w14:solidFill>
                          <w14:schemeClr w14:val="tx1"/>
                        </w14:solidFill>
                      </w14:textFill>
                    </w:rPr>
                    <w:t>(万m</w:t>
                  </w:r>
                  <w:r>
                    <w:rPr>
                      <w:rFonts w:hint="eastAsia" w:ascii="Times New Roman" w:hAnsi="Times New Roman"/>
                      <w:b/>
                      <w:bCs/>
                      <w:color w:val="000000" w:themeColor="text1"/>
                      <w:sz w:val="21"/>
                      <w:szCs w:val="21"/>
                      <w:u w:val="none"/>
                      <w:vertAlign w:val="superscript"/>
                      <w14:textFill>
                        <w14:solidFill>
                          <w14:schemeClr w14:val="tx1"/>
                        </w14:solidFill>
                      </w14:textFill>
                    </w:rPr>
                    <w:t>3</w:t>
                  </w:r>
                  <w:r>
                    <w:rPr>
                      <w:rFonts w:hint="eastAsia" w:ascii="Times New Roman" w:hAnsi="Times New Roman"/>
                      <w:b/>
                      <w:bCs/>
                      <w:color w:val="000000" w:themeColor="text1"/>
                      <w:sz w:val="21"/>
                      <w:szCs w:val="21"/>
                      <w:u w:val="none"/>
                      <w14:textFill>
                        <w14:solidFill>
                          <w14:schemeClr w14:val="tx1"/>
                        </w14:solidFill>
                      </w14:textFill>
                    </w:rPr>
                    <w:t>)</w:t>
                  </w:r>
                </w:p>
              </w:tc>
              <w:tc>
                <w:tcPr>
                  <w:tcW w:w="1334" w:type="dxa"/>
                  <w:vAlign w:val="center"/>
                </w:tcPr>
                <w:p w14:paraId="60465D46">
                  <w:pPr>
                    <w:pStyle w:val="23"/>
                    <w:widowControl w:val="0"/>
                    <w:spacing w:before="0" w:beforeAutospacing="0" w:after="0" w:afterAutospacing="0" w:line="240" w:lineRule="auto"/>
                    <w:jc w:val="center"/>
                    <w:rPr>
                      <w:rFonts w:hint="eastAsia" w:ascii="Times New Roman" w:hAnsi="Times New Roman" w:eastAsia="宋体"/>
                      <w:b/>
                      <w:bCs/>
                      <w:color w:val="000000" w:themeColor="text1"/>
                      <w:sz w:val="21"/>
                      <w:szCs w:val="21"/>
                      <w:u w:val="none"/>
                      <w:lang w:val="en-US" w:eastAsia="zh-CN"/>
                      <w14:textFill>
                        <w14:solidFill>
                          <w14:schemeClr w14:val="tx1"/>
                        </w14:solidFill>
                      </w14:textFill>
                    </w:rPr>
                  </w:pPr>
                  <w:r>
                    <w:rPr>
                      <w:rFonts w:hint="eastAsia" w:ascii="Times New Roman" w:hAnsi="Times New Roman"/>
                      <w:b/>
                      <w:bCs/>
                      <w:color w:val="000000" w:themeColor="text1"/>
                      <w:sz w:val="21"/>
                      <w:szCs w:val="21"/>
                      <w:u w:val="none"/>
                      <w:lang w:val="en-US" w:eastAsia="zh-CN"/>
                      <w14:textFill>
                        <w14:solidFill>
                          <w14:schemeClr w14:val="tx1"/>
                        </w14:solidFill>
                      </w14:textFill>
                    </w:rPr>
                    <w:t>填方</w:t>
                  </w:r>
                  <w:r>
                    <w:rPr>
                      <w:rFonts w:hint="eastAsia" w:ascii="Times New Roman" w:hAnsi="Times New Roman"/>
                      <w:b/>
                      <w:bCs/>
                      <w:color w:val="000000" w:themeColor="text1"/>
                      <w:sz w:val="21"/>
                      <w:szCs w:val="21"/>
                      <w:u w:val="none"/>
                      <w14:textFill>
                        <w14:solidFill>
                          <w14:schemeClr w14:val="tx1"/>
                        </w14:solidFill>
                      </w14:textFill>
                    </w:rPr>
                    <w:t>(万m</w:t>
                  </w:r>
                  <w:r>
                    <w:rPr>
                      <w:rFonts w:hint="eastAsia" w:ascii="Times New Roman" w:hAnsi="Times New Roman"/>
                      <w:b/>
                      <w:bCs/>
                      <w:color w:val="000000" w:themeColor="text1"/>
                      <w:sz w:val="21"/>
                      <w:szCs w:val="21"/>
                      <w:u w:val="none"/>
                      <w:vertAlign w:val="superscript"/>
                      <w14:textFill>
                        <w14:solidFill>
                          <w14:schemeClr w14:val="tx1"/>
                        </w14:solidFill>
                      </w14:textFill>
                    </w:rPr>
                    <w:t>3</w:t>
                  </w:r>
                  <w:r>
                    <w:rPr>
                      <w:rFonts w:hint="eastAsia" w:ascii="Times New Roman" w:hAnsi="Times New Roman"/>
                      <w:b/>
                      <w:bCs/>
                      <w:color w:val="000000" w:themeColor="text1"/>
                      <w:sz w:val="21"/>
                      <w:szCs w:val="21"/>
                      <w:u w:val="none"/>
                      <w14:textFill>
                        <w14:solidFill>
                          <w14:schemeClr w14:val="tx1"/>
                        </w14:solidFill>
                      </w14:textFill>
                    </w:rPr>
                    <w:t>)</w:t>
                  </w:r>
                </w:p>
              </w:tc>
              <w:tc>
                <w:tcPr>
                  <w:tcW w:w="1629" w:type="dxa"/>
                  <w:vAlign w:val="center"/>
                </w:tcPr>
                <w:p w14:paraId="6CB88FCF">
                  <w:pPr>
                    <w:pStyle w:val="23"/>
                    <w:widowControl w:val="0"/>
                    <w:spacing w:before="0" w:beforeAutospacing="0" w:after="0" w:afterAutospacing="0" w:line="240" w:lineRule="auto"/>
                    <w:jc w:val="center"/>
                    <w:rPr>
                      <w:rFonts w:hint="eastAsia" w:ascii="Times New Roman" w:hAnsi="Times New Roman"/>
                      <w:b/>
                      <w:bCs/>
                      <w:color w:val="000000" w:themeColor="text1"/>
                      <w:sz w:val="21"/>
                      <w:szCs w:val="21"/>
                      <w:u w:val="none"/>
                      <w:lang w:val="en-US" w:eastAsia="zh-CN"/>
                      <w14:textFill>
                        <w14:solidFill>
                          <w14:schemeClr w14:val="tx1"/>
                        </w14:solidFill>
                      </w14:textFill>
                    </w:rPr>
                  </w:pPr>
                  <w:r>
                    <w:rPr>
                      <w:rFonts w:hint="eastAsia" w:ascii="Times New Roman" w:hAnsi="Times New Roman"/>
                      <w:b/>
                      <w:bCs/>
                      <w:color w:val="000000" w:themeColor="text1"/>
                      <w:sz w:val="21"/>
                      <w:szCs w:val="21"/>
                      <w:u w:val="none"/>
                      <w:lang w:val="en-US" w:eastAsia="zh-CN"/>
                      <w14:textFill>
                        <w14:solidFill>
                          <w14:schemeClr w14:val="tx1"/>
                        </w14:solidFill>
                      </w14:textFill>
                    </w:rPr>
                    <w:t>弃渣</w:t>
                  </w:r>
                  <w:r>
                    <w:rPr>
                      <w:rFonts w:hint="eastAsia" w:ascii="Times New Roman" w:hAnsi="Times New Roman"/>
                      <w:b/>
                      <w:bCs/>
                      <w:color w:val="000000" w:themeColor="text1"/>
                      <w:sz w:val="21"/>
                      <w:szCs w:val="21"/>
                      <w:u w:val="none"/>
                      <w14:textFill>
                        <w14:solidFill>
                          <w14:schemeClr w14:val="tx1"/>
                        </w14:solidFill>
                      </w14:textFill>
                    </w:rPr>
                    <w:t>(万m</w:t>
                  </w:r>
                  <w:r>
                    <w:rPr>
                      <w:rFonts w:hint="eastAsia" w:ascii="Times New Roman" w:hAnsi="Times New Roman"/>
                      <w:b/>
                      <w:bCs/>
                      <w:color w:val="000000" w:themeColor="text1"/>
                      <w:sz w:val="21"/>
                      <w:szCs w:val="21"/>
                      <w:u w:val="none"/>
                      <w:vertAlign w:val="superscript"/>
                      <w14:textFill>
                        <w14:solidFill>
                          <w14:schemeClr w14:val="tx1"/>
                        </w14:solidFill>
                      </w14:textFill>
                    </w:rPr>
                    <w:t>3</w:t>
                  </w:r>
                  <w:r>
                    <w:rPr>
                      <w:rFonts w:hint="eastAsia" w:ascii="Times New Roman" w:hAnsi="Times New Roman"/>
                      <w:b/>
                      <w:bCs/>
                      <w:color w:val="000000" w:themeColor="text1"/>
                      <w:sz w:val="21"/>
                      <w:szCs w:val="21"/>
                      <w:u w:val="none"/>
                      <w14:textFill>
                        <w14:solidFill>
                          <w14:schemeClr w14:val="tx1"/>
                        </w14:solidFill>
                      </w14:textFill>
                    </w:rPr>
                    <w:t>)</w:t>
                  </w:r>
                </w:p>
              </w:tc>
            </w:tr>
            <w:tr w14:paraId="3AEBF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8" w:type="dxa"/>
                  <w:vAlign w:val="center"/>
                </w:tcPr>
                <w:p w14:paraId="6423D0AD">
                  <w:pPr>
                    <w:pStyle w:val="23"/>
                    <w:widowControl w:val="0"/>
                    <w:spacing w:before="0" w:beforeAutospacing="0" w:after="0" w:afterAutospacing="0" w:line="240" w:lineRule="auto"/>
                    <w:jc w:val="center"/>
                    <w:rPr>
                      <w:rFonts w:hint="default" w:ascii="Times New Roman" w:hAnsi="Times New Roman"/>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1</w:t>
                  </w:r>
                </w:p>
              </w:tc>
              <w:tc>
                <w:tcPr>
                  <w:tcW w:w="2679" w:type="dxa"/>
                  <w:vAlign w:val="center"/>
                </w:tcPr>
                <w:p w14:paraId="249B63C0">
                  <w:pPr>
                    <w:pStyle w:val="23"/>
                    <w:widowControl w:val="0"/>
                    <w:spacing w:before="0" w:beforeAutospacing="0" w:after="0" w:afterAutospacing="0" w:line="240" w:lineRule="auto"/>
                    <w:jc w:val="center"/>
                    <w:rPr>
                      <w:rFonts w:hint="default" w:ascii="Times New Roman" w:hAnsi="Times New Roman"/>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风机、箱变基础及安装平台</w:t>
                  </w:r>
                </w:p>
              </w:tc>
              <w:tc>
                <w:tcPr>
                  <w:tcW w:w="1401" w:type="dxa"/>
                  <w:vAlign w:val="center"/>
                </w:tcPr>
                <w:p w14:paraId="5D19FECD">
                  <w:pPr>
                    <w:pStyle w:val="23"/>
                    <w:widowControl w:val="0"/>
                    <w:spacing w:before="0" w:beforeAutospacing="0" w:after="0" w:afterAutospacing="0" w:line="240" w:lineRule="auto"/>
                    <w:jc w:val="center"/>
                    <w:rPr>
                      <w:rFonts w:hint="default" w:ascii="Times New Roman" w:hAnsi="Times New Roman"/>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27.51</w:t>
                  </w:r>
                </w:p>
              </w:tc>
              <w:tc>
                <w:tcPr>
                  <w:tcW w:w="1334" w:type="dxa"/>
                  <w:vAlign w:val="center"/>
                </w:tcPr>
                <w:p w14:paraId="287873C2">
                  <w:pPr>
                    <w:pStyle w:val="23"/>
                    <w:widowControl w:val="0"/>
                    <w:spacing w:before="0" w:beforeAutospacing="0" w:after="0" w:afterAutospacing="0" w:line="240" w:lineRule="auto"/>
                    <w:jc w:val="center"/>
                    <w:rPr>
                      <w:rFonts w:hint="default" w:ascii="Times New Roman" w:hAnsi="Times New Roman"/>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18.39</w:t>
                  </w:r>
                </w:p>
              </w:tc>
              <w:tc>
                <w:tcPr>
                  <w:tcW w:w="1629" w:type="dxa"/>
                  <w:vAlign w:val="center"/>
                </w:tcPr>
                <w:p w14:paraId="11F099F8">
                  <w:pPr>
                    <w:pStyle w:val="23"/>
                    <w:widowControl w:val="0"/>
                    <w:spacing w:before="0" w:beforeAutospacing="0" w:after="0" w:afterAutospacing="0" w:line="240" w:lineRule="auto"/>
                    <w:jc w:val="center"/>
                    <w:rPr>
                      <w:rFonts w:hint="default" w:ascii="Times New Roman" w:hAnsi="Times New Roman"/>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10.52</w:t>
                  </w:r>
                </w:p>
              </w:tc>
            </w:tr>
            <w:tr w14:paraId="08B11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8" w:type="dxa"/>
                  <w:vAlign w:val="center"/>
                </w:tcPr>
                <w:p w14:paraId="0B20272B">
                  <w:pPr>
                    <w:pStyle w:val="23"/>
                    <w:widowControl w:val="0"/>
                    <w:spacing w:before="0" w:beforeAutospacing="0" w:after="0" w:afterAutospacing="0" w:line="240" w:lineRule="auto"/>
                    <w:jc w:val="center"/>
                    <w:rPr>
                      <w:rFonts w:hint="default" w:ascii="Times New Roman" w:hAnsi="Times New Roman"/>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2</w:t>
                  </w:r>
                </w:p>
              </w:tc>
              <w:tc>
                <w:tcPr>
                  <w:tcW w:w="2679" w:type="dxa"/>
                  <w:vAlign w:val="center"/>
                </w:tcPr>
                <w:p w14:paraId="5FAA5D79">
                  <w:pPr>
                    <w:pStyle w:val="23"/>
                    <w:widowControl w:val="0"/>
                    <w:spacing w:before="0" w:beforeAutospacing="0" w:after="0" w:afterAutospacing="0" w:line="240" w:lineRule="auto"/>
                    <w:jc w:val="center"/>
                    <w:rPr>
                      <w:rFonts w:hint="default" w:ascii="Times New Roman" w:hAnsi="Times New Roman"/>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升压站区</w:t>
                  </w:r>
                </w:p>
              </w:tc>
              <w:tc>
                <w:tcPr>
                  <w:tcW w:w="1401" w:type="dxa"/>
                  <w:vAlign w:val="center"/>
                </w:tcPr>
                <w:p w14:paraId="746D6574">
                  <w:pPr>
                    <w:pStyle w:val="23"/>
                    <w:widowControl w:val="0"/>
                    <w:spacing w:before="0" w:beforeAutospacing="0" w:after="0" w:afterAutospacing="0" w:line="240" w:lineRule="auto"/>
                    <w:jc w:val="center"/>
                    <w:rPr>
                      <w:rFonts w:hint="default" w:ascii="Times New Roman" w:hAnsi="Times New Roman"/>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1.31</w:t>
                  </w:r>
                </w:p>
              </w:tc>
              <w:tc>
                <w:tcPr>
                  <w:tcW w:w="1334" w:type="dxa"/>
                  <w:vAlign w:val="center"/>
                </w:tcPr>
                <w:p w14:paraId="04C83360">
                  <w:pPr>
                    <w:pStyle w:val="23"/>
                    <w:widowControl w:val="0"/>
                    <w:spacing w:before="0" w:beforeAutospacing="0" w:after="0" w:afterAutospacing="0" w:line="240" w:lineRule="auto"/>
                    <w:jc w:val="center"/>
                    <w:rPr>
                      <w:rFonts w:hint="default" w:ascii="Times New Roman" w:hAnsi="Times New Roman"/>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1.31</w:t>
                  </w:r>
                </w:p>
              </w:tc>
              <w:tc>
                <w:tcPr>
                  <w:tcW w:w="1629" w:type="dxa"/>
                  <w:vAlign w:val="center"/>
                </w:tcPr>
                <w:p w14:paraId="094571FE">
                  <w:pPr>
                    <w:pStyle w:val="23"/>
                    <w:widowControl w:val="0"/>
                    <w:spacing w:before="0" w:beforeAutospacing="0" w:after="0" w:afterAutospacing="0" w:line="240" w:lineRule="auto"/>
                    <w:jc w:val="center"/>
                    <w:rPr>
                      <w:rFonts w:hint="default" w:ascii="Times New Roman" w:hAnsi="Times New Roman"/>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0</w:t>
                  </w:r>
                </w:p>
              </w:tc>
            </w:tr>
            <w:tr w14:paraId="19FC6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8" w:type="dxa"/>
                  <w:vAlign w:val="center"/>
                </w:tcPr>
                <w:p w14:paraId="36959D8F">
                  <w:pPr>
                    <w:pStyle w:val="23"/>
                    <w:widowControl w:val="0"/>
                    <w:spacing w:before="0" w:beforeAutospacing="0" w:after="0" w:afterAutospacing="0" w:line="240" w:lineRule="auto"/>
                    <w:jc w:val="center"/>
                    <w:rPr>
                      <w:rFonts w:hint="default" w:ascii="Times New Roman" w:hAnsi="Times New Roman"/>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4</w:t>
                  </w:r>
                </w:p>
              </w:tc>
              <w:tc>
                <w:tcPr>
                  <w:tcW w:w="2679" w:type="dxa"/>
                  <w:vAlign w:val="center"/>
                </w:tcPr>
                <w:p w14:paraId="15127475">
                  <w:pPr>
                    <w:pStyle w:val="23"/>
                    <w:widowControl w:val="0"/>
                    <w:spacing w:before="0" w:beforeAutospacing="0" w:after="0" w:afterAutospacing="0" w:line="240" w:lineRule="auto"/>
                    <w:jc w:val="center"/>
                    <w:rPr>
                      <w:rFonts w:hint="default" w:ascii="Times New Roman" w:hAnsi="Times New Roman"/>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道路工程区</w:t>
                  </w:r>
                </w:p>
              </w:tc>
              <w:tc>
                <w:tcPr>
                  <w:tcW w:w="1401" w:type="dxa"/>
                  <w:vAlign w:val="center"/>
                </w:tcPr>
                <w:p w14:paraId="59E7DF95">
                  <w:pPr>
                    <w:pStyle w:val="23"/>
                    <w:widowControl w:val="0"/>
                    <w:spacing w:before="0" w:beforeAutospacing="0" w:after="0" w:afterAutospacing="0" w:line="240" w:lineRule="auto"/>
                    <w:jc w:val="center"/>
                    <w:rPr>
                      <w:rFonts w:hint="default" w:ascii="Times New Roman" w:hAnsi="Times New Roman"/>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142.74</w:t>
                  </w:r>
                </w:p>
              </w:tc>
              <w:tc>
                <w:tcPr>
                  <w:tcW w:w="1334" w:type="dxa"/>
                  <w:vAlign w:val="center"/>
                </w:tcPr>
                <w:p w14:paraId="357CF3D2">
                  <w:pPr>
                    <w:pStyle w:val="23"/>
                    <w:widowControl w:val="0"/>
                    <w:spacing w:before="0" w:beforeAutospacing="0" w:after="0" w:afterAutospacing="0" w:line="240" w:lineRule="auto"/>
                    <w:jc w:val="center"/>
                    <w:rPr>
                      <w:rFonts w:hint="default" w:ascii="Times New Roman" w:hAnsi="Times New Roman"/>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87.27</w:t>
                  </w:r>
                </w:p>
              </w:tc>
              <w:tc>
                <w:tcPr>
                  <w:tcW w:w="1629" w:type="dxa"/>
                  <w:vAlign w:val="center"/>
                </w:tcPr>
                <w:p w14:paraId="5F8F2B9F">
                  <w:pPr>
                    <w:pStyle w:val="23"/>
                    <w:widowControl w:val="0"/>
                    <w:spacing w:before="0" w:beforeAutospacing="0" w:after="0" w:afterAutospacing="0" w:line="240" w:lineRule="auto"/>
                    <w:jc w:val="center"/>
                    <w:rPr>
                      <w:rFonts w:hint="default" w:ascii="Times New Roman" w:hAnsi="Times New Roman"/>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48.69</w:t>
                  </w:r>
                </w:p>
              </w:tc>
            </w:tr>
            <w:tr w14:paraId="3CBDB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8" w:type="dxa"/>
                  <w:vAlign w:val="center"/>
                </w:tcPr>
                <w:p w14:paraId="546BAD08">
                  <w:pPr>
                    <w:pStyle w:val="23"/>
                    <w:widowControl w:val="0"/>
                    <w:spacing w:before="0" w:beforeAutospacing="0" w:after="0" w:afterAutospacing="0" w:line="240" w:lineRule="auto"/>
                    <w:jc w:val="center"/>
                    <w:rPr>
                      <w:rFonts w:hint="default" w:ascii="Times New Roman" w:hAnsi="Times New Roman"/>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5</w:t>
                  </w:r>
                </w:p>
              </w:tc>
              <w:tc>
                <w:tcPr>
                  <w:tcW w:w="2679" w:type="dxa"/>
                  <w:vAlign w:val="center"/>
                </w:tcPr>
                <w:p w14:paraId="084F5074">
                  <w:pPr>
                    <w:pStyle w:val="23"/>
                    <w:widowControl w:val="0"/>
                    <w:spacing w:before="0" w:beforeAutospacing="0" w:after="0" w:afterAutospacing="0" w:line="240" w:lineRule="auto"/>
                    <w:jc w:val="center"/>
                    <w:rPr>
                      <w:rFonts w:hint="default" w:ascii="Times New Roman" w:hAnsi="Times New Roman"/>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集电线路区</w:t>
                  </w:r>
                </w:p>
              </w:tc>
              <w:tc>
                <w:tcPr>
                  <w:tcW w:w="1401" w:type="dxa"/>
                  <w:vAlign w:val="center"/>
                </w:tcPr>
                <w:p w14:paraId="2D273652">
                  <w:pPr>
                    <w:pStyle w:val="23"/>
                    <w:widowControl w:val="0"/>
                    <w:spacing w:before="0" w:beforeAutospacing="0" w:after="0" w:afterAutospacing="0" w:line="240" w:lineRule="auto"/>
                    <w:jc w:val="center"/>
                    <w:rPr>
                      <w:rFonts w:hint="default" w:ascii="Times New Roman" w:hAnsi="Times New Roman"/>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1.94</w:t>
                  </w:r>
                </w:p>
              </w:tc>
              <w:tc>
                <w:tcPr>
                  <w:tcW w:w="1334" w:type="dxa"/>
                  <w:vAlign w:val="center"/>
                </w:tcPr>
                <w:p w14:paraId="1529C0A0">
                  <w:pPr>
                    <w:pStyle w:val="23"/>
                    <w:widowControl w:val="0"/>
                    <w:spacing w:before="0" w:beforeAutospacing="0" w:after="0" w:afterAutospacing="0" w:line="240" w:lineRule="auto"/>
                    <w:jc w:val="center"/>
                    <w:rPr>
                      <w:rFonts w:hint="default" w:ascii="Times New Roman" w:hAnsi="Times New Roman"/>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1.94</w:t>
                  </w:r>
                </w:p>
              </w:tc>
              <w:tc>
                <w:tcPr>
                  <w:tcW w:w="1629" w:type="dxa"/>
                  <w:vAlign w:val="center"/>
                </w:tcPr>
                <w:p w14:paraId="3709E5F3">
                  <w:pPr>
                    <w:pStyle w:val="23"/>
                    <w:widowControl w:val="0"/>
                    <w:spacing w:before="0" w:beforeAutospacing="0" w:after="0" w:afterAutospacing="0" w:line="240" w:lineRule="auto"/>
                    <w:jc w:val="center"/>
                    <w:rPr>
                      <w:rFonts w:hint="default" w:ascii="Times New Roman" w:hAnsi="Times New Roman"/>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0</w:t>
                  </w:r>
                </w:p>
              </w:tc>
            </w:tr>
            <w:tr w14:paraId="78901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8" w:type="dxa"/>
                  <w:vAlign w:val="center"/>
                </w:tcPr>
                <w:p w14:paraId="29928427">
                  <w:pPr>
                    <w:pStyle w:val="23"/>
                    <w:widowControl w:val="0"/>
                    <w:spacing w:before="0" w:beforeAutospacing="0" w:after="0" w:afterAutospacing="0" w:line="240" w:lineRule="auto"/>
                    <w:jc w:val="center"/>
                    <w:rPr>
                      <w:rFonts w:hint="default" w:ascii="Times New Roman" w:hAnsi="Times New Roman"/>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6</w:t>
                  </w:r>
                </w:p>
              </w:tc>
              <w:tc>
                <w:tcPr>
                  <w:tcW w:w="2679" w:type="dxa"/>
                  <w:vAlign w:val="center"/>
                </w:tcPr>
                <w:p w14:paraId="732EB3BE">
                  <w:pPr>
                    <w:pStyle w:val="23"/>
                    <w:widowControl w:val="0"/>
                    <w:spacing w:before="0" w:beforeAutospacing="0" w:after="0" w:afterAutospacing="0" w:line="240" w:lineRule="auto"/>
                    <w:jc w:val="center"/>
                    <w:rPr>
                      <w:rFonts w:hint="default" w:ascii="Times New Roman" w:hAnsi="Times New Roman"/>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施工生产区</w:t>
                  </w:r>
                </w:p>
              </w:tc>
              <w:tc>
                <w:tcPr>
                  <w:tcW w:w="1401" w:type="dxa"/>
                  <w:vAlign w:val="center"/>
                </w:tcPr>
                <w:p w14:paraId="75B222BE">
                  <w:pPr>
                    <w:pStyle w:val="23"/>
                    <w:widowControl w:val="0"/>
                    <w:spacing w:before="0" w:beforeAutospacing="0" w:after="0" w:afterAutospacing="0" w:line="240" w:lineRule="auto"/>
                    <w:jc w:val="center"/>
                    <w:rPr>
                      <w:rFonts w:hint="default" w:ascii="Times New Roman" w:hAnsi="Times New Roman"/>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1.06</w:t>
                  </w:r>
                </w:p>
              </w:tc>
              <w:tc>
                <w:tcPr>
                  <w:tcW w:w="1334" w:type="dxa"/>
                  <w:vAlign w:val="center"/>
                </w:tcPr>
                <w:p w14:paraId="066CEA11">
                  <w:pPr>
                    <w:pStyle w:val="23"/>
                    <w:widowControl w:val="0"/>
                    <w:spacing w:before="0" w:beforeAutospacing="0" w:after="0" w:afterAutospacing="0" w:line="240" w:lineRule="auto"/>
                    <w:jc w:val="center"/>
                    <w:rPr>
                      <w:rFonts w:hint="default" w:ascii="Times New Roman" w:hAnsi="Times New Roman"/>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1.06</w:t>
                  </w:r>
                </w:p>
              </w:tc>
              <w:tc>
                <w:tcPr>
                  <w:tcW w:w="1629" w:type="dxa"/>
                  <w:vAlign w:val="center"/>
                </w:tcPr>
                <w:p w14:paraId="3074C662">
                  <w:pPr>
                    <w:pStyle w:val="23"/>
                    <w:widowControl w:val="0"/>
                    <w:spacing w:before="0" w:beforeAutospacing="0" w:after="0" w:afterAutospacing="0" w:line="240" w:lineRule="auto"/>
                    <w:jc w:val="center"/>
                    <w:rPr>
                      <w:rFonts w:hint="default" w:ascii="Times New Roman" w:hAnsi="Times New Roman"/>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0</w:t>
                  </w:r>
                </w:p>
              </w:tc>
            </w:tr>
            <w:tr w14:paraId="2E671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8" w:type="dxa"/>
                  <w:vAlign w:val="center"/>
                </w:tcPr>
                <w:p w14:paraId="6D71A7E8">
                  <w:pPr>
                    <w:pStyle w:val="23"/>
                    <w:widowControl w:val="0"/>
                    <w:spacing w:before="0" w:beforeAutospacing="0" w:after="0" w:afterAutospacing="0" w:line="240" w:lineRule="auto"/>
                    <w:jc w:val="center"/>
                    <w:rPr>
                      <w:rFonts w:hint="default" w:ascii="Times New Roman" w:hAnsi="Times New Roman"/>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7</w:t>
                  </w:r>
                </w:p>
              </w:tc>
              <w:tc>
                <w:tcPr>
                  <w:tcW w:w="2679" w:type="dxa"/>
                  <w:vAlign w:val="center"/>
                </w:tcPr>
                <w:p w14:paraId="3D46B587">
                  <w:pPr>
                    <w:pStyle w:val="23"/>
                    <w:widowControl w:val="0"/>
                    <w:spacing w:before="0" w:beforeAutospacing="0" w:after="0" w:afterAutospacing="0" w:line="240" w:lineRule="auto"/>
                    <w:jc w:val="center"/>
                    <w:rPr>
                      <w:rFonts w:hint="eastAsia" w:ascii="Times New Roman" w:hAnsi="Times New Roman"/>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弃渣场区</w:t>
                  </w:r>
                </w:p>
              </w:tc>
              <w:tc>
                <w:tcPr>
                  <w:tcW w:w="1401" w:type="dxa"/>
                  <w:vAlign w:val="center"/>
                </w:tcPr>
                <w:p w14:paraId="697EB635">
                  <w:pPr>
                    <w:pStyle w:val="23"/>
                    <w:widowControl w:val="0"/>
                    <w:spacing w:before="0" w:beforeAutospacing="0" w:after="0" w:afterAutospacing="0" w:line="240" w:lineRule="auto"/>
                    <w:jc w:val="center"/>
                    <w:rPr>
                      <w:rFonts w:hint="default" w:ascii="Times New Roman" w:hAnsi="Times New Roman"/>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0.84</w:t>
                  </w:r>
                </w:p>
              </w:tc>
              <w:tc>
                <w:tcPr>
                  <w:tcW w:w="1334" w:type="dxa"/>
                  <w:vAlign w:val="center"/>
                </w:tcPr>
                <w:p w14:paraId="065FDF07">
                  <w:pPr>
                    <w:pStyle w:val="23"/>
                    <w:widowControl w:val="0"/>
                    <w:spacing w:before="0" w:beforeAutospacing="0" w:after="0" w:afterAutospacing="0" w:line="240" w:lineRule="auto"/>
                    <w:jc w:val="center"/>
                    <w:rPr>
                      <w:rFonts w:hint="default" w:ascii="Times New Roman" w:hAnsi="Times New Roman"/>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0.84</w:t>
                  </w:r>
                </w:p>
              </w:tc>
              <w:tc>
                <w:tcPr>
                  <w:tcW w:w="1629" w:type="dxa"/>
                  <w:vAlign w:val="center"/>
                </w:tcPr>
                <w:p w14:paraId="11244CB3">
                  <w:pPr>
                    <w:pStyle w:val="23"/>
                    <w:widowControl w:val="0"/>
                    <w:spacing w:before="0" w:beforeAutospacing="0" w:after="0" w:afterAutospacing="0" w:line="240" w:lineRule="auto"/>
                    <w:jc w:val="center"/>
                    <w:rPr>
                      <w:rFonts w:hint="default" w:ascii="Times New Roman" w:hAnsi="Times New Roman"/>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0</w:t>
                  </w:r>
                </w:p>
              </w:tc>
            </w:tr>
            <w:tr w14:paraId="2A13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8" w:type="dxa"/>
                  <w:vAlign w:val="center"/>
                </w:tcPr>
                <w:p w14:paraId="1D48AFDC">
                  <w:pPr>
                    <w:pStyle w:val="23"/>
                    <w:widowControl w:val="0"/>
                    <w:spacing w:before="0" w:beforeAutospacing="0" w:after="0" w:afterAutospacing="0" w:line="240" w:lineRule="auto"/>
                    <w:jc w:val="center"/>
                    <w:rPr>
                      <w:rFonts w:hint="default" w:ascii="Times New Roman" w:hAnsi="Times New Roman"/>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8</w:t>
                  </w:r>
                </w:p>
              </w:tc>
              <w:tc>
                <w:tcPr>
                  <w:tcW w:w="2679" w:type="dxa"/>
                  <w:vAlign w:val="center"/>
                </w:tcPr>
                <w:p w14:paraId="31F531AD">
                  <w:pPr>
                    <w:pStyle w:val="23"/>
                    <w:widowControl w:val="0"/>
                    <w:spacing w:before="0" w:beforeAutospacing="0" w:after="0" w:afterAutospacing="0" w:line="240" w:lineRule="auto"/>
                    <w:jc w:val="center"/>
                    <w:rPr>
                      <w:rFonts w:hint="default" w:ascii="Times New Roman" w:hAnsi="Times New Roman"/>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合计</w:t>
                  </w:r>
                </w:p>
              </w:tc>
              <w:tc>
                <w:tcPr>
                  <w:tcW w:w="1401" w:type="dxa"/>
                  <w:vAlign w:val="center"/>
                </w:tcPr>
                <w:p w14:paraId="6B9DB9AA">
                  <w:pPr>
                    <w:pStyle w:val="23"/>
                    <w:widowControl w:val="0"/>
                    <w:spacing w:before="0" w:beforeAutospacing="0" w:after="0" w:afterAutospacing="0" w:line="240" w:lineRule="auto"/>
                    <w:jc w:val="center"/>
                    <w:rPr>
                      <w:rFonts w:hint="default" w:ascii="Times New Roman" w:hAnsi="Times New Roman"/>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175.39</w:t>
                  </w:r>
                </w:p>
              </w:tc>
              <w:tc>
                <w:tcPr>
                  <w:tcW w:w="1334" w:type="dxa"/>
                  <w:vAlign w:val="center"/>
                </w:tcPr>
                <w:p w14:paraId="19BC9C96">
                  <w:pPr>
                    <w:pStyle w:val="23"/>
                    <w:widowControl w:val="0"/>
                    <w:spacing w:before="0" w:beforeAutospacing="0" w:after="0" w:afterAutospacing="0" w:line="240" w:lineRule="auto"/>
                    <w:jc w:val="center"/>
                    <w:rPr>
                      <w:rFonts w:hint="default" w:ascii="Times New Roman" w:hAnsi="Times New Roman"/>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116.18</w:t>
                  </w:r>
                </w:p>
              </w:tc>
              <w:tc>
                <w:tcPr>
                  <w:tcW w:w="1629" w:type="dxa"/>
                  <w:vAlign w:val="center"/>
                </w:tcPr>
                <w:p w14:paraId="089116E8">
                  <w:pPr>
                    <w:pStyle w:val="23"/>
                    <w:widowControl w:val="0"/>
                    <w:spacing w:before="0" w:beforeAutospacing="0" w:after="0" w:afterAutospacing="0" w:line="240" w:lineRule="auto"/>
                    <w:jc w:val="center"/>
                    <w:rPr>
                      <w:rFonts w:hint="default" w:ascii="Times New Roman" w:hAnsi="Times New Roman"/>
                      <w:color w:val="000000" w:themeColor="text1"/>
                      <w:sz w:val="21"/>
                      <w:szCs w:val="21"/>
                      <w:u w:val="none"/>
                      <w:lang w:val="en-US" w:eastAsia="zh-CN"/>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59.21</w:t>
                  </w:r>
                </w:p>
              </w:tc>
            </w:tr>
          </w:tbl>
          <w:p w14:paraId="59587888">
            <w:pPr>
              <w:pStyle w:val="4"/>
              <w:tabs>
                <w:tab w:val="left" w:pos="425"/>
              </w:tabs>
              <w:rPr>
                <w:color w:val="auto"/>
                <w:u w:val="single"/>
              </w:rPr>
            </w:pPr>
            <w:r>
              <w:rPr>
                <w:rFonts w:hint="eastAsia"/>
                <w:color w:val="auto"/>
                <w:u w:val="none"/>
              </w:rPr>
              <w:t>2.4.6</w:t>
            </w:r>
            <w:r>
              <w:rPr>
                <w:color w:val="auto"/>
                <w:u w:val="none"/>
              </w:rPr>
              <w:t>表土的保护和利用</w:t>
            </w:r>
          </w:p>
          <w:p w14:paraId="4DEE5ADE">
            <w:pPr>
              <w:ind w:firstLine="420"/>
              <w:rPr>
                <w:rFonts w:hint="eastAsia"/>
                <w:color w:val="auto"/>
              </w:rPr>
            </w:pPr>
            <w:r>
              <w:rPr>
                <w:rFonts w:hint="eastAsia"/>
                <w:color w:val="auto"/>
              </w:rPr>
              <w:t>项目区表土资源合计</w:t>
            </w:r>
            <w:r>
              <w:rPr>
                <w:rFonts w:hint="eastAsia"/>
                <w:color w:val="auto"/>
                <w:lang w:val="en-US" w:eastAsia="zh-CN"/>
              </w:rPr>
              <w:t>6.03</w:t>
            </w:r>
            <w:r>
              <w:rPr>
                <w:rFonts w:hint="eastAsia"/>
                <w:color w:val="auto"/>
              </w:rPr>
              <w:t>万m</w:t>
            </w:r>
            <w:r>
              <w:rPr>
                <w:rFonts w:hint="eastAsia"/>
                <w:color w:val="auto"/>
                <w:vertAlign w:val="superscript"/>
              </w:rPr>
              <w:t>3</w:t>
            </w:r>
            <w:r>
              <w:rPr>
                <w:rFonts w:hint="eastAsia"/>
                <w:color w:val="auto"/>
              </w:rPr>
              <w:t>。本项目建设过程中，各施工区域剥离的表土，在各施工区、施工面，结合地形条件，在宽缓的施工区域设置集中堆存点。风机平台区剥离表土均在平台内堆放，待土石方结束后，应及时回填利用，避免影响风机吊装施工。道路工程剥离的表土，均在道路沿线平缓地堆放，同时结合施工时序，压实成型的回填边坡可及时回覆表土，减少堆放时间，减少表土流失。集电线路中，地埋线缆施工剥离表土在电缆沟沿线单侧堆放，架空线路剥离表土在塔基区周边堆放，在土石方回填时，一并将表土回覆利用。升压站、弃渣场等面状工程剥离的表土均在本区内堆放。当部分区域出现表土不足时，可就近从临近施工区调入表土进行利用，加强调运利用，提高表土保护率。</w:t>
            </w:r>
          </w:p>
          <w:p w14:paraId="0A88A269">
            <w:pPr>
              <w:ind w:firstLine="420"/>
              <w:rPr>
                <w:rFonts w:hint="eastAsia"/>
                <w:color w:val="FF0000"/>
                <w:lang w:val="en-US" w:eastAsia="zh-CN"/>
              </w:rPr>
            </w:pPr>
            <w:r>
              <w:rPr>
                <w:rFonts w:hint="eastAsia"/>
                <w:color w:val="auto"/>
                <w:lang w:val="en-US" w:eastAsia="zh-CN"/>
              </w:rPr>
              <w:t>项目区表土可剥离量6.03万 m</w:t>
            </w:r>
            <w:r>
              <w:rPr>
                <w:rFonts w:hint="eastAsia"/>
                <w:color w:val="auto"/>
                <w:vertAlign w:val="superscript"/>
                <w:lang w:val="en-US" w:eastAsia="zh-CN"/>
              </w:rPr>
              <w:t>3</w:t>
            </w:r>
            <w:r>
              <w:rPr>
                <w:rFonts w:hint="eastAsia"/>
                <w:color w:val="auto"/>
                <w:lang w:val="en-US" w:eastAsia="zh-CN"/>
              </w:rPr>
              <w:t>，表土规划剥离量6.03万m</w:t>
            </w:r>
            <w:r>
              <w:rPr>
                <w:rFonts w:hint="eastAsia"/>
                <w:color w:val="auto"/>
                <w:vertAlign w:val="superscript"/>
                <w:lang w:val="en-US" w:eastAsia="zh-CN"/>
              </w:rPr>
              <w:t>3</w:t>
            </w:r>
            <w:r>
              <w:rPr>
                <w:rFonts w:hint="eastAsia"/>
                <w:color w:val="auto"/>
                <w:lang w:val="en-US" w:eastAsia="zh-CN"/>
              </w:rPr>
              <w:t>。各施工区土石方工程施工结束后，应及时平整场地、修整边坡，回填表土，并开展林草植被恢复措施。</w:t>
            </w:r>
          </w:p>
          <w:p w14:paraId="512FDCE7">
            <w:pPr>
              <w:pStyle w:val="4"/>
              <w:tabs>
                <w:tab w:val="left" w:pos="425"/>
              </w:tabs>
              <w:spacing w:before="0" w:beforeLines="-2147483648"/>
              <w:rPr>
                <w:color w:val="auto"/>
              </w:rPr>
            </w:pPr>
            <w:r>
              <w:rPr>
                <w:color w:val="auto"/>
              </w:rPr>
              <w:t>2.4.</w:t>
            </w:r>
            <w:r>
              <w:rPr>
                <w:rFonts w:hint="default"/>
                <w:color w:val="auto"/>
              </w:rPr>
              <w:t>7</w:t>
            </w:r>
            <w:r>
              <w:rPr>
                <w:color w:val="auto"/>
              </w:rPr>
              <w:t xml:space="preserve"> 电力送出方案</w:t>
            </w:r>
          </w:p>
          <w:p w14:paraId="5B17C9D4">
            <w:pPr>
              <w:adjustRightInd w:val="0"/>
              <w:snapToGrid w:val="0"/>
              <w:ind w:firstLine="480" w:firstLineChars="200"/>
              <w:rPr>
                <w:color w:val="auto"/>
              </w:rPr>
            </w:pPr>
            <w:r>
              <w:rPr>
                <w:color w:val="auto"/>
              </w:rPr>
              <w:t>风电场全部风机的电能经升压站升压后送至外部电网，送出工程另行环评，不纳入本项目。</w:t>
            </w:r>
          </w:p>
          <w:p w14:paraId="1DFC21C4">
            <w:pPr>
              <w:pStyle w:val="10"/>
              <w:rPr>
                <w:rFonts w:hint="eastAsia" w:ascii="Times New Roman" w:hAnsi="Times New Roman" w:eastAsia="宋体" w:cs="Times New Roman"/>
                <w:b/>
                <w:bCs/>
                <w:color w:val="auto"/>
                <w:kern w:val="2"/>
                <w:sz w:val="24"/>
                <w:szCs w:val="32"/>
              </w:rPr>
            </w:pPr>
            <w:r>
              <w:rPr>
                <w:rFonts w:hint="default"/>
                <w:b/>
                <w:bCs/>
                <w:color w:val="auto"/>
                <w:kern w:val="2"/>
                <w:sz w:val="24"/>
                <w:szCs w:val="32"/>
                <w:lang w:val="en-US" w:eastAsia="zh-CN"/>
              </w:rPr>
              <w:t>2.4.8</w:t>
            </w:r>
            <w:r>
              <w:rPr>
                <w:rFonts w:hint="eastAsia" w:ascii="Times New Roman" w:hAnsi="Times New Roman" w:eastAsia="宋体" w:cs="Times New Roman"/>
                <w:b/>
                <w:bCs/>
                <w:color w:val="auto"/>
                <w:kern w:val="2"/>
                <w:sz w:val="24"/>
                <w:szCs w:val="32"/>
                <w:lang w:val="en-US" w:eastAsia="zh-CN"/>
              </w:rPr>
              <w:t xml:space="preserve"> </w:t>
            </w:r>
            <w:r>
              <w:rPr>
                <w:rFonts w:hint="eastAsia"/>
                <w:b/>
                <w:bCs/>
                <w:color w:val="auto"/>
                <w:kern w:val="2"/>
                <w:sz w:val="24"/>
                <w:szCs w:val="32"/>
              </w:rPr>
              <w:t>混凝土</w:t>
            </w:r>
          </w:p>
          <w:p w14:paraId="7B8B3470">
            <w:pPr>
              <w:autoSpaceDE w:val="0"/>
              <w:autoSpaceDN w:val="0"/>
              <w:snapToGrid w:val="0"/>
              <w:spacing w:line="360" w:lineRule="auto"/>
              <w:ind w:firstLine="420"/>
              <w:jc w:val="left"/>
              <w:rPr>
                <w:rFonts w:hint="default"/>
                <w:color w:val="auto"/>
                <w:lang w:val="en-US" w:eastAsia="zh-CN"/>
              </w:rPr>
            </w:pPr>
            <w:r>
              <w:rPr>
                <w:rFonts w:hint="eastAsia"/>
                <w:color w:val="auto"/>
                <w:u w:val="none"/>
              </w:rPr>
              <w:t>本工程</w:t>
            </w:r>
            <w:r>
              <w:rPr>
                <w:rFonts w:hint="eastAsia"/>
                <w:color w:val="auto"/>
                <w:u w:val="none"/>
                <w:lang w:eastAsia="zh-CN"/>
              </w:rPr>
              <w:t>混凝土外购商用混凝土，项目不设临时搅拌站</w:t>
            </w:r>
            <w:r>
              <w:rPr>
                <w:rFonts w:hint="eastAsia"/>
                <w:color w:val="auto"/>
                <w:u w:val="none"/>
              </w:rPr>
              <w:t>。</w:t>
            </w:r>
            <w:bookmarkStart w:id="299" w:name="_GoBack"/>
            <w:bookmarkEnd w:id="299"/>
          </w:p>
        </w:tc>
      </w:tr>
      <w:tr w14:paraId="3B99E0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2" w:type="dxa"/>
            <w:vAlign w:val="center"/>
          </w:tcPr>
          <w:p w14:paraId="582F9DE3">
            <w:pPr>
              <w:adjustRightInd w:val="0"/>
              <w:snapToGrid w:val="0"/>
              <w:jc w:val="center"/>
              <w:rPr>
                <w:color w:val="FF0000"/>
                <w:kern w:val="0"/>
              </w:rPr>
            </w:pPr>
            <w:r>
              <w:rPr>
                <w:color w:val="auto"/>
                <w:kern w:val="0"/>
              </w:rPr>
              <w:t>施工方案</w:t>
            </w:r>
          </w:p>
        </w:tc>
        <w:tc>
          <w:tcPr>
            <w:tcW w:w="8070" w:type="dxa"/>
            <w:vAlign w:val="center"/>
          </w:tcPr>
          <w:p w14:paraId="6ACC4F13">
            <w:pPr>
              <w:pStyle w:val="3"/>
              <w:rPr>
                <w:rFonts w:cs="Times New Roman"/>
                <w:color w:val="auto"/>
              </w:rPr>
            </w:pPr>
            <w:r>
              <w:rPr>
                <w:rFonts w:cs="Times New Roman"/>
                <w:color w:val="auto"/>
              </w:rPr>
              <w:t>2.5 施工规划</w:t>
            </w:r>
          </w:p>
          <w:p w14:paraId="1FEF6F54">
            <w:pPr>
              <w:pStyle w:val="4"/>
              <w:rPr>
                <w:color w:val="auto"/>
              </w:rPr>
            </w:pPr>
            <w:r>
              <w:rPr>
                <w:color w:val="auto"/>
              </w:rPr>
              <w:t>2.5.1 场区施工条件及水、电供应条件</w:t>
            </w:r>
          </w:p>
          <w:p w14:paraId="554EA388">
            <w:pPr>
              <w:autoSpaceDE w:val="0"/>
              <w:autoSpaceDN w:val="0"/>
              <w:ind w:firstLine="420"/>
              <w:jc w:val="left"/>
              <w:rPr>
                <w:color w:val="auto"/>
              </w:rPr>
            </w:pPr>
            <w:r>
              <w:rPr>
                <w:color w:val="auto"/>
              </w:rPr>
              <w:t>1）施工用水</w:t>
            </w:r>
          </w:p>
          <w:p w14:paraId="16E3DF7D">
            <w:pPr>
              <w:adjustRightInd w:val="0"/>
              <w:snapToGrid w:val="0"/>
              <w:ind w:firstLine="480"/>
              <w:rPr>
                <w:color w:val="auto"/>
              </w:rPr>
            </w:pPr>
            <w:r>
              <w:rPr>
                <w:rFonts w:hint="eastAsia"/>
                <w:color w:val="auto"/>
              </w:rPr>
              <w:t>施工用水包括生产用水和生活用水两部分，总供水量约</w:t>
            </w:r>
            <w:r>
              <w:rPr>
                <w:rFonts w:hint="eastAsia"/>
                <w:color w:val="auto"/>
                <w:lang w:val="en-US" w:eastAsia="zh-CN"/>
              </w:rPr>
              <w:t>37</w:t>
            </w:r>
            <w:r>
              <w:rPr>
                <w:rFonts w:hint="eastAsia"/>
                <w:color w:val="auto"/>
              </w:rPr>
              <w:t>m</w:t>
            </w:r>
            <w:r>
              <w:rPr>
                <w:rFonts w:hint="eastAsia"/>
                <w:color w:val="auto"/>
                <w:vertAlign w:val="superscript"/>
              </w:rPr>
              <w:t>3</w:t>
            </w:r>
            <w:r>
              <w:rPr>
                <w:rFonts w:hint="eastAsia"/>
                <w:color w:val="auto"/>
              </w:rPr>
              <w:t>/d，其中生产用水1</w:t>
            </w:r>
            <w:r>
              <w:rPr>
                <w:rFonts w:hint="eastAsia"/>
                <w:color w:val="auto"/>
                <w:lang w:val="en-US" w:eastAsia="zh-CN"/>
              </w:rPr>
              <w:t>2</w:t>
            </w:r>
            <w:r>
              <w:rPr>
                <w:rFonts w:hint="eastAsia"/>
                <w:color w:val="auto"/>
              </w:rPr>
              <w:t>m</w:t>
            </w:r>
            <w:r>
              <w:rPr>
                <w:rFonts w:hint="eastAsia"/>
                <w:color w:val="auto"/>
                <w:vertAlign w:val="superscript"/>
              </w:rPr>
              <w:t>3</w:t>
            </w:r>
            <w:r>
              <w:rPr>
                <w:rFonts w:hint="eastAsia"/>
                <w:color w:val="auto"/>
              </w:rPr>
              <w:t>/d，生活用水25m</w:t>
            </w:r>
            <w:r>
              <w:rPr>
                <w:rFonts w:hint="eastAsia"/>
                <w:color w:val="auto"/>
                <w:vertAlign w:val="superscript"/>
              </w:rPr>
              <w:t>3</w:t>
            </w:r>
            <w:r>
              <w:rPr>
                <w:rFonts w:hint="eastAsia"/>
                <w:color w:val="auto"/>
              </w:rPr>
              <w:t>/d。施工用水考虑采用打井取水，同时修建</w:t>
            </w:r>
            <w:r>
              <w:rPr>
                <w:rFonts w:hint="eastAsia"/>
                <w:color w:val="auto"/>
                <w:lang w:val="en-US" w:eastAsia="zh-CN"/>
              </w:rPr>
              <w:t>1</w:t>
            </w:r>
            <w:r>
              <w:rPr>
                <w:rFonts w:hint="eastAsia"/>
                <w:color w:val="auto"/>
              </w:rPr>
              <w:t>个</w:t>
            </w:r>
            <w:r>
              <w:rPr>
                <w:rFonts w:hint="eastAsia"/>
                <w:color w:val="auto"/>
                <w:lang w:val="en-US" w:eastAsia="zh-CN"/>
              </w:rPr>
              <w:t>40</w:t>
            </w:r>
            <w:r>
              <w:rPr>
                <w:rFonts w:hint="eastAsia"/>
                <w:color w:val="auto"/>
              </w:rPr>
              <w:t>m</w:t>
            </w:r>
            <w:r>
              <w:rPr>
                <w:rFonts w:hint="eastAsia"/>
                <w:color w:val="auto"/>
                <w:vertAlign w:val="superscript"/>
              </w:rPr>
              <w:t>3</w:t>
            </w:r>
            <w:r>
              <w:rPr>
                <w:rFonts w:hint="eastAsia"/>
                <w:color w:val="auto"/>
              </w:rPr>
              <w:t>临时蓄水池。水量可满足施工期间用水需求。各风机场地用水车供水。</w:t>
            </w:r>
          </w:p>
          <w:p w14:paraId="0C5F98CB">
            <w:pPr>
              <w:ind w:firstLine="420"/>
              <w:rPr>
                <w:color w:val="auto"/>
              </w:rPr>
            </w:pPr>
            <w:r>
              <w:rPr>
                <w:color w:val="auto"/>
              </w:rPr>
              <w:t>2）施工用电</w:t>
            </w:r>
          </w:p>
          <w:p w14:paraId="6DE8CB19">
            <w:pPr>
              <w:adjustRightInd w:val="0"/>
              <w:snapToGrid w:val="0"/>
              <w:ind w:firstLine="480"/>
              <w:rPr>
                <w:rFonts w:hint="eastAsia"/>
                <w:color w:val="auto"/>
              </w:rPr>
            </w:pPr>
            <w:r>
              <w:rPr>
                <w:rFonts w:hint="eastAsia"/>
                <w:color w:val="auto"/>
              </w:rPr>
              <w:t>本工程施工用电主要包括施工用电及基础施工用电两部分。初步考虑选用一台箱式变压器，输入电压为10kV，输出电压为380V，施工完成后转入风电场的永久用变压器。施工用电电源拟从风电场附近供电线路引接。施工区设置施工用电总配电柜一台。各风机机组场地可由施工承包商自备柴油发电机供电。</w:t>
            </w:r>
          </w:p>
          <w:p w14:paraId="70EA748A">
            <w:pPr>
              <w:numPr>
                <w:ilvl w:val="0"/>
                <w:numId w:val="0"/>
              </w:numPr>
              <w:ind w:firstLine="420" w:firstLineChars="0"/>
              <w:rPr>
                <w:color w:val="auto"/>
              </w:rPr>
            </w:pPr>
            <w:r>
              <w:rPr>
                <w:rFonts w:ascii="Times New Roman" w:hAnsi="Times New Roman" w:eastAsia="宋体" w:cs="Times New Roman"/>
                <w:color w:val="auto"/>
                <w:kern w:val="2"/>
                <w:sz w:val="24"/>
                <w:szCs w:val="24"/>
                <w:lang w:val="en-US" w:eastAsia="zh-CN" w:bidi="ar-SA"/>
              </w:rPr>
              <w:t>3）</w:t>
            </w:r>
            <w:r>
              <w:rPr>
                <w:color w:val="auto"/>
              </w:rPr>
              <w:t>施工建材供应</w:t>
            </w:r>
          </w:p>
          <w:p w14:paraId="7D775A94">
            <w:pPr>
              <w:ind w:firstLine="480"/>
              <w:rPr>
                <w:color w:val="auto"/>
              </w:rPr>
            </w:pPr>
            <w:r>
              <w:rPr>
                <w:color w:val="auto"/>
              </w:rPr>
              <w:t>工程所需的</w:t>
            </w:r>
            <w:r>
              <w:rPr>
                <w:rFonts w:hint="eastAsia"/>
                <w:color w:val="auto"/>
                <w:lang w:val="en-US" w:eastAsia="zh-CN"/>
              </w:rPr>
              <w:t>砂料</w:t>
            </w:r>
            <w:r>
              <w:rPr>
                <w:color w:val="auto"/>
              </w:rPr>
              <w:t>、</w:t>
            </w:r>
            <w:r>
              <w:rPr>
                <w:rFonts w:hint="eastAsia"/>
                <w:color w:val="auto"/>
                <w:lang w:val="en-US" w:eastAsia="zh-CN"/>
              </w:rPr>
              <w:t>粗骨料</w:t>
            </w:r>
            <w:r>
              <w:rPr>
                <w:color w:val="auto"/>
              </w:rPr>
              <w:t>等工程建筑材料可就近在</w:t>
            </w:r>
            <w:r>
              <w:rPr>
                <w:rFonts w:hint="eastAsia"/>
                <w:color w:val="auto"/>
                <w:lang w:val="en-US" w:eastAsia="zh-CN"/>
              </w:rPr>
              <w:t>通道</w:t>
            </w:r>
            <w:r>
              <w:rPr>
                <w:rFonts w:hint="eastAsia"/>
                <w:color w:val="auto"/>
                <w:lang w:eastAsia="zh-CN"/>
              </w:rPr>
              <w:t>县</w:t>
            </w:r>
            <w:r>
              <w:rPr>
                <w:color w:val="auto"/>
              </w:rPr>
              <w:t>采购。</w:t>
            </w:r>
          </w:p>
          <w:p w14:paraId="7303B23B">
            <w:pPr>
              <w:pStyle w:val="4"/>
              <w:tabs>
                <w:tab w:val="left" w:pos="425"/>
              </w:tabs>
              <w:rPr>
                <w:color w:val="auto"/>
                <w:szCs w:val="24"/>
              </w:rPr>
            </w:pPr>
            <w:r>
              <w:rPr>
                <w:color w:val="auto"/>
                <w:szCs w:val="24"/>
              </w:rPr>
              <w:t>2.5.2 施工总体布置</w:t>
            </w:r>
          </w:p>
          <w:p w14:paraId="70B4288D">
            <w:pPr>
              <w:ind w:firstLine="420"/>
              <w:rPr>
                <w:color w:val="auto"/>
              </w:rPr>
            </w:pPr>
            <w:r>
              <w:rPr>
                <w:color w:val="auto"/>
              </w:rPr>
              <w:t>（1）施工管理及生活区</w:t>
            </w:r>
          </w:p>
          <w:p w14:paraId="152864BF">
            <w:pPr>
              <w:ind w:firstLine="420"/>
              <w:rPr>
                <w:rFonts w:hint="eastAsia"/>
                <w:color w:val="FF0000"/>
              </w:rPr>
            </w:pPr>
            <w:r>
              <w:rPr>
                <w:color w:val="auto"/>
              </w:rPr>
              <w:t>根据施工总进度安排，本工程施工期的平均人数为</w:t>
            </w:r>
            <w:r>
              <w:rPr>
                <w:rFonts w:hint="eastAsia"/>
                <w:color w:val="auto"/>
                <w:lang w:val="en-US" w:eastAsia="zh-CN"/>
              </w:rPr>
              <w:t>50</w:t>
            </w:r>
            <w:r>
              <w:rPr>
                <w:color w:val="auto"/>
              </w:rPr>
              <w:t>人，高峰人数为1</w:t>
            </w:r>
            <w:r>
              <w:rPr>
                <w:rFonts w:hint="eastAsia"/>
                <w:color w:val="auto"/>
                <w:lang w:val="en-US" w:eastAsia="zh-CN"/>
              </w:rPr>
              <w:t>00</w:t>
            </w:r>
            <w:r>
              <w:rPr>
                <w:color w:val="auto"/>
              </w:rPr>
              <w:t>人。</w:t>
            </w:r>
            <w:r>
              <w:rPr>
                <w:rFonts w:hint="eastAsia"/>
                <w:color w:val="auto"/>
              </w:rPr>
              <w:t>施工办公及生活区布置在升压站附近，用地面积共计约1000m</w:t>
            </w:r>
            <w:r>
              <w:rPr>
                <w:rFonts w:hint="eastAsia"/>
                <w:color w:val="auto"/>
                <w:vertAlign w:val="superscript"/>
              </w:rPr>
              <w:t>2</w:t>
            </w:r>
            <w:r>
              <w:rPr>
                <w:rFonts w:hint="eastAsia"/>
                <w:color w:val="auto"/>
              </w:rPr>
              <w:t>。</w:t>
            </w:r>
          </w:p>
          <w:p w14:paraId="74C6EB30">
            <w:pPr>
              <w:ind w:firstLine="420"/>
              <w:rPr>
                <w:color w:val="auto"/>
              </w:rPr>
            </w:pPr>
            <w:r>
              <w:rPr>
                <w:color w:val="auto"/>
              </w:rPr>
              <w:t>（2）</w:t>
            </w:r>
            <w:r>
              <w:rPr>
                <w:rFonts w:hint="eastAsia"/>
                <w:color w:val="auto"/>
              </w:rPr>
              <w:t>机械修配及综合加工厂</w:t>
            </w:r>
          </w:p>
          <w:p w14:paraId="2A99833C">
            <w:pPr>
              <w:ind w:firstLine="420"/>
              <w:rPr>
                <w:rFonts w:hint="eastAsia"/>
                <w:color w:val="auto"/>
              </w:rPr>
            </w:pPr>
            <w:r>
              <w:rPr>
                <w:rFonts w:hint="eastAsia"/>
                <w:color w:val="auto"/>
              </w:rPr>
              <w:t>本工程部分辅助加工工作可充分利用当地的资源</w:t>
            </w:r>
            <w:r>
              <w:rPr>
                <w:rFonts w:hint="eastAsia"/>
                <w:color w:val="000000" w:themeColor="text1"/>
                <w14:textFill>
                  <w14:solidFill>
                    <w14:schemeClr w14:val="tx1"/>
                  </w14:solidFill>
                </w14:textFill>
              </w:rPr>
              <w:t>，混凝土预制件采用在当地采购的方式，</w:t>
            </w:r>
            <w:r>
              <w:rPr>
                <w:rFonts w:hint="eastAsia"/>
                <w:color w:val="auto"/>
              </w:rPr>
              <w:t>现场不再另外设置混凝土预制件厂。</w:t>
            </w:r>
          </w:p>
          <w:p w14:paraId="445E161B">
            <w:pPr>
              <w:ind w:firstLine="420"/>
              <w:rPr>
                <w:color w:val="auto"/>
              </w:rPr>
            </w:pPr>
            <w:r>
              <w:rPr>
                <w:rFonts w:hint="eastAsia"/>
                <w:color w:val="auto"/>
              </w:rPr>
              <w:t>施工区设置机械修配厂及综合加工系统。机械修配场主要承担施工机械的小修及简单零件和金属构建的加工任务，大</w:t>
            </w:r>
            <w:r>
              <w:rPr>
                <w:rFonts w:hint="eastAsia"/>
                <w:color w:val="auto"/>
                <w:lang w:eastAsia="zh-CN"/>
              </w:rPr>
              <w:t>、</w:t>
            </w:r>
            <w:r>
              <w:rPr>
                <w:rFonts w:hint="eastAsia"/>
                <w:color w:val="auto"/>
              </w:rPr>
              <w:t>中修理</w:t>
            </w:r>
            <w:r>
              <w:rPr>
                <w:rFonts w:hint="eastAsia"/>
                <w:color w:val="auto"/>
                <w:lang w:val="en-US" w:eastAsia="zh-CN"/>
              </w:rPr>
              <w:t>则</w:t>
            </w:r>
            <w:r>
              <w:rPr>
                <w:rFonts w:hint="eastAsia"/>
                <w:color w:val="auto"/>
              </w:rPr>
              <w:t>委托通道侗族自治县相关企业承担</w:t>
            </w:r>
            <w:r>
              <w:rPr>
                <w:color w:val="auto"/>
              </w:rPr>
              <w:t>。</w:t>
            </w:r>
          </w:p>
          <w:p w14:paraId="2BB65E6D">
            <w:pPr>
              <w:ind w:firstLine="420"/>
              <w:rPr>
                <w:color w:val="auto"/>
              </w:rPr>
            </w:pPr>
            <w:r>
              <w:rPr>
                <w:color w:val="auto"/>
              </w:rPr>
              <w:t>（</w:t>
            </w:r>
            <w:r>
              <w:rPr>
                <w:rFonts w:hint="eastAsia"/>
                <w:color w:val="auto"/>
                <w:lang w:val="en-US" w:eastAsia="zh-CN"/>
              </w:rPr>
              <w:t>3</w:t>
            </w:r>
            <w:r>
              <w:rPr>
                <w:color w:val="auto"/>
              </w:rPr>
              <w:t>）</w:t>
            </w:r>
            <w:r>
              <w:rPr>
                <w:rFonts w:hint="eastAsia"/>
                <w:color w:val="auto"/>
              </w:rPr>
              <w:t>仓库布置</w:t>
            </w:r>
          </w:p>
          <w:p w14:paraId="66891D25">
            <w:pPr>
              <w:ind w:firstLine="420"/>
              <w:rPr>
                <w:rFonts w:hint="eastAsia"/>
                <w:color w:val="auto"/>
                <w:lang w:val="en-US" w:eastAsia="zh-CN"/>
              </w:rPr>
            </w:pPr>
            <w:r>
              <w:rPr>
                <w:rFonts w:hint="eastAsia"/>
                <w:color w:val="auto"/>
                <w:lang w:val="en-US" w:eastAsia="zh-CN"/>
              </w:rPr>
              <w:t>本工程两个施工区分别设置所需的仓库，主要设有水泥库、木材库、钢筋库、综合仓库、机械停放场及设备堆场。水泥库、木材库及钢筋库分别设在混凝土系统及相应的加工工厂内。综合仓库包括临时的生产、生活用品仓库等。</w:t>
            </w:r>
          </w:p>
          <w:p w14:paraId="20026F96">
            <w:pPr>
              <w:ind w:firstLine="420"/>
              <w:rPr>
                <w:color w:val="auto"/>
              </w:rPr>
            </w:pPr>
            <w:r>
              <w:rPr>
                <w:color w:val="auto"/>
              </w:rPr>
              <w:t>（</w:t>
            </w:r>
            <w:r>
              <w:rPr>
                <w:rFonts w:hint="eastAsia"/>
                <w:color w:val="auto"/>
                <w:lang w:val="en-US" w:eastAsia="zh-CN"/>
              </w:rPr>
              <w:t>4</w:t>
            </w:r>
            <w:r>
              <w:rPr>
                <w:color w:val="auto"/>
              </w:rPr>
              <w:t>）</w:t>
            </w:r>
            <w:r>
              <w:rPr>
                <w:rFonts w:hint="eastAsia"/>
                <w:color w:val="auto"/>
              </w:rPr>
              <w:t>施工临时设施用地</w:t>
            </w:r>
          </w:p>
          <w:p w14:paraId="3F21BE14">
            <w:pPr>
              <w:ind w:firstLine="420"/>
              <w:rPr>
                <w:rFonts w:hint="eastAsia"/>
                <w:color w:val="auto"/>
                <w:lang w:val="en-US" w:eastAsia="zh-CN"/>
              </w:rPr>
            </w:pPr>
            <w:r>
              <w:rPr>
                <w:rFonts w:hint="eastAsia"/>
                <w:color w:val="auto"/>
                <w:lang w:val="en-US" w:eastAsia="zh-CN"/>
              </w:rPr>
              <w:t>本工程临时设施占地面积约4000m</w:t>
            </w:r>
            <w:r>
              <w:rPr>
                <w:rFonts w:hint="eastAsia"/>
                <w:color w:val="auto"/>
                <w:vertAlign w:val="superscript"/>
                <w:lang w:val="en-US" w:eastAsia="zh-CN"/>
              </w:rPr>
              <w:t>2</w:t>
            </w:r>
            <w:r>
              <w:rPr>
                <w:rFonts w:hint="eastAsia"/>
                <w:color w:val="auto"/>
                <w:lang w:val="en-US" w:eastAsia="zh-CN"/>
              </w:rPr>
              <w:t>。</w:t>
            </w:r>
          </w:p>
          <w:p w14:paraId="1086EECE">
            <w:pPr>
              <w:pStyle w:val="4"/>
              <w:tabs>
                <w:tab w:val="left" w:pos="425"/>
              </w:tabs>
              <w:rPr>
                <w:color w:val="auto"/>
                <w:szCs w:val="24"/>
                <w:u w:val="none"/>
              </w:rPr>
            </w:pPr>
            <w:r>
              <w:rPr>
                <w:color w:val="auto"/>
                <w:szCs w:val="24"/>
                <w:u w:val="none"/>
              </w:rPr>
              <w:t>2.5.3 施工工艺</w:t>
            </w:r>
          </w:p>
          <w:p w14:paraId="297804C4">
            <w:pPr>
              <w:ind w:firstLine="420"/>
              <w:rPr>
                <w:color w:val="auto"/>
                <w:u w:val="none"/>
              </w:rPr>
            </w:pPr>
            <w:r>
              <w:rPr>
                <w:color w:val="auto"/>
                <w:u w:val="none"/>
              </w:rPr>
              <w:t>（1）道路施工</w:t>
            </w:r>
          </w:p>
          <w:p w14:paraId="4D193F18">
            <w:pPr>
              <w:adjustRightInd w:val="0"/>
              <w:snapToGrid w:val="0"/>
              <w:ind w:firstLine="480"/>
              <w:textAlignment w:val="baseline"/>
              <w:rPr>
                <w:color w:val="auto"/>
                <w:u w:val="none"/>
              </w:rPr>
            </w:pPr>
            <w:r>
              <w:rPr>
                <w:rFonts w:hint="eastAsia"/>
                <w:color w:val="auto"/>
                <w:u w:val="none"/>
              </w:rPr>
              <w:t>道路路基宽</w:t>
            </w:r>
            <w:r>
              <w:rPr>
                <w:rFonts w:hint="eastAsia"/>
                <w:color w:val="auto"/>
                <w:u w:val="none"/>
                <w:lang w:val="en-US" w:eastAsia="zh-CN"/>
              </w:rPr>
              <w:t>4.5</w:t>
            </w:r>
            <w:r>
              <w:rPr>
                <w:rFonts w:hint="eastAsia"/>
                <w:color w:val="auto"/>
                <w:u w:val="none"/>
              </w:rPr>
              <w:t>m，路面宽5.</w:t>
            </w:r>
            <w:r>
              <w:rPr>
                <w:rFonts w:hint="eastAsia"/>
                <w:color w:val="auto"/>
                <w:u w:val="none"/>
                <w:lang w:val="en-US" w:eastAsia="zh-CN"/>
              </w:rPr>
              <w:t>5</w:t>
            </w:r>
            <w:r>
              <w:rPr>
                <w:rFonts w:hint="eastAsia"/>
                <w:color w:val="auto"/>
                <w:u w:val="none"/>
              </w:rPr>
              <w:t>m，采用</w:t>
            </w:r>
            <w:r>
              <w:rPr>
                <w:rFonts w:hint="eastAsia"/>
                <w:color w:val="auto"/>
                <w:u w:val="none"/>
                <w:lang w:val="en-US" w:eastAsia="zh-CN"/>
              </w:rPr>
              <w:t>18mm厚山皮石道路</w:t>
            </w:r>
            <w:r>
              <w:rPr>
                <w:rFonts w:hint="eastAsia"/>
                <w:color w:val="auto"/>
                <w:u w:val="none"/>
              </w:rPr>
              <w:t>。本风电场大件装备采用特种车辆运输，平曲线和最小转弯半径应满足风电机长叶片运输要求</w:t>
            </w:r>
            <w:r>
              <w:rPr>
                <w:rFonts w:hint="eastAsia"/>
                <w:color w:val="auto"/>
                <w:u w:val="none"/>
                <w:lang w:eastAsia="zh-CN"/>
              </w:rPr>
              <w:t>。</w:t>
            </w:r>
            <w:r>
              <w:rPr>
                <w:color w:val="auto"/>
                <w:u w:val="none"/>
              </w:rPr>
              <w:t>道路土方采用挖掘机开挖，石方采用手风钻钻孔爆破，推土机集料，装载机配5t自卸汽车运至道路填方部位或相应的弃渣场，并根据现场开挖后的地质条件，在需要路段砌筑挡墙。土石方填筑采用</w:t>
            </w:r>
            <w:r>
              <w:rPr>
                <w:rFonts w:hint="eastAsia"/>
                <w:color w:val="auto"/>
                <w:u w:val="none"/>
                <w:lang w:val="en-US" w:eastAsia="zh-CN"/>
              </w:rPr>
              <w:t>5</w:t>
            </w:r>
            <w:r>
              <w:rPr>
                <w:color w:val="auto"/>
                <w:u w:val="none"/>
              </w:rPr>
              <w:t>t自卸汽车卸料，推土机推平，按设计要求振动、分层碾压至设计密实度。</w:t>
            </w:r>
          </w:p>
          <w:p w14:paraId="00AA1EDF">
            <w:pPr>
              <w:ind w:firstLine="420"/>
              <w:rPr>
                <w:color w:val="auto"/>
                <w:u w:val="none"/>
              </w:rPr>
            </w:pPr>
            <w:r>
              <w:rPr>
                <w:color w:val="auto"/>
                <w:u w:val="none"/>
              </w:rPr>
              <w:t>（2）风电机组基础施工</w:t>
            </w:r>
          </w:p>
          <w:p w14:paraId="7621233F">
            <w:pPr>
              <w:adjustRightInd w:val="0"/>
              <w:snapToGrid w:val="0"/>
              <w:ind w:firstLine="480"/>
              <w:rPr>
                <w:color w:val="FF0000"/>
                <w:u w:val="none"/>
              </w:rPr>
            </w:pPr>
            <w:r>
              <w:rPr>
                <w:color w:val="auto"/>
                <w:u w:val="none"/>
              </w:rPr>
              <w:t>场地平整之后，进行风机基础基坑的开挖。基础开挖前，按照图纸要求进行测量、放线，准确定位后进行土石方开挖。基础土石方开挖采用推土机或反铲分层剥离，尽量避免基底土方扰动，基坑底部采用人工清底。基坑开挖以钢筋混凝土结构尺寸每边各加宽1.0m，为防止脱落土石滑下影响施工，开挖按1:1放坡，开挖出底面后经人工清理验收完成后，再浇筑厚度100mm的C15混凝土垫层。在其上进行基础混凝土施工，风机基础混凝土强度为C40，施工需架设模板、绑扎钢筋并浇筑混凝土，其尺寸和钢筋的布置严格按照设计图纸要求进行。混凝土必须一次浇筑完成，不允许有施工接缝。</w:t>
            </w:r>
          </w:p>
          <w:p w14:paraId="1E580168">
            <w:pPr>
              <w:adjustRightInd w:val="0"/>
              <w:snapToGrid w:val="0"/>
              <w:ind w:firstLine="480"/>
              <w:rPr>
                <w:color w:val="auto"/>
                <w:u w:val="none"/>
              </w:rPr>
            </w:pPr>
            <w:r>
              <w:rPr>
                <w:color w:val="auto"/>
                <w:u w:val="none"/>
              </w:rPr>
              <w:t>风电机组基础混凝土采用薄层连续浇筑形式，层厚</w:t>
            </w:r>
            <w:r>
              <w:rPr>
                <w:rFonts w:hint="eastAsia"/>
                <w:color w:val="auto"/>
                <w:u w:val="none"/>
                <w:lang w:val="en-US" w:eastAsia="zh-CN"/>
              </w:rPr>
              <w:t>200</w:t>
            </w:r>
            <w:r>
              <w:rPr>
                <w:rFonts w:hint="eastAsia"/>
                <w:color w:val="auto"/>
                <w:spacing w:val="-2"/>
                <w:sz w:val="24"/>
                <w:szCs w:val="24"/>
              </w:rPr>
              <w:t>～</w:t>
            </w:r>
            <w:r>
              <w:rPr>
                <w:rFonts w:hint="eastAsia"/>
                <w:color w:val="auto"/>
                <w:u w:val="none"/>
                <w:lang w:val="en-US" w:eastAsia="zh-CN"/>
              </w:rPr>
              <w:t>25</w:t>
            </w:r>
            <w:r>
              <w:rPr>
                <w:color w:val="auto"/>
                <w:u w:val="none"/>
              </w:rPr>
              <w:t>0mm。混凝土熟料采用搅拌车运至浇筑点，泵送混凝土入仓，人工振捣浇筑。风电机组基础混凝土施工工艺流程如下：浇筑仓面准备(立模、绑钢筋、基础环安装)→质检及仓面验收→混凝土配料→混凝土搅拌→搅拌车运输→泵送混凝土入仓→平仓振捣→洒水养护→拆模→质量检查→修补缺陷。</w:t>
            </w:r>
          </w:p>
          <w:p w14:paraId="68B11C16">
            <w:pPr>
              <w:ind w:firstLine="420"/>
              <w:rPr>
                <w:color w:val="FF0000"/>
                <w:u w:val="none"/>
              </w:rPr>
            </w:pPr>
            <w:r>
              <w:rPr>
                <w:color w:val="auto"/>
                <w:u w:val="none"/>
              </w:rPr>
              <w:t>混凝土施工中应用测量仪器经常测量，以保证基础埋筒的上法兰平整度为±2mm的精度要求。施工结束后混凝土表面必须遮盖养护，防止表面出现裂缝。浇筑混凝土后，进行基坑的回填。回填土要求分层夯实，回填土石料要求密度大于1.8t/m</w:t>
            </w:r>
            <w:r>
              <w:rPr>
                <w:color w:val="auto"/>
                <w:u w:val="none"/>
                <w:vertAlign w:val="superscript"/>
              </w:rPr>
              <w:t>3</w:t>
            </w:r>
            <w:r>
              <w:rPr>
                <w:color w:val="auto"/>
                <w:u w:val="none"/>
              </w:rPr>
              <w:t>，填至风机基础顶面下</w:t>
            </w:r>
            <w:r>
              <w:rPr>
                <w:rFonts w:hint="eastAsia"/>
                <w:color w:val="auto"/>
                <w:u w:val="none"/>
                <w:lang w:val="en-US" w:eastAsia="zh-CN"/>
              </w:rPr>
              <w:t>5</w:t>
            </w:r>
            <w:r>
              <w:rPr>
                <w:color w:val="auto"/>
                <w:u w:val="none"/>
              </w:rPr>
              <w:t>cm，并设置1%的排水坡度。</w:t>
            </w:r>
          </w:p>
          <w:p w14:paraId="2397B3EA">
            <w:pPr>
              <w:ind w:firstLine="420"/>
              <w:rPr>
                <w:color w:val="auto"/>
                <w:u w:val="none"/>
              </w:rPr>
            </w:pPr>
            <w:r>
              <w:rPr>
                <w:color w:val="auto"/>
                <w:u w:val="none"/>
              </w:rPr>
              <w:t>（3）箱式变电站基础施工</w:t>
            </w:r>
          </w:p>
          <w:p w14:paraId="79DD7518">
            <w:pPr>
              <w:adjustRightInd w:val="0"/>
              <w:snapToGrid w:val="0"/>
              <w:ind w:firstLine="480"/>
              <w:rPr>
                <w:color w:val="FF0000"/>
                <w:u w:val="none"/>
              </w:rPr>
            </w:pPr>
            <w:r>
              <w:rPr>
                <w:color w:val="auto"/>
                <w:u w:val="none"/>
              </w:rPr>
              <w:t>箱式变电站的基础采用混凝土基础。首先用小型挖掘机进行基础开挖，并辅以人工修正基坑边坡，基础开挖完工后，应将基坑清理干净，进行验收。基坑验收完毕后，根据地质情况对基础做出处理。浇筑基础混凝土时，先浇筑</w:t>
            </w:r>
            <w:r>
              <w:rPr>
                <w:rFonts w:hint="eastAsia"/>
                <w:color w:val="auto"/>
                <w:u w:val="none"/>
                <w:lang w:val="en-US" w:eastAsia="zh-CN"/>
              </w:rPr>
              <w:t>3</w:t>
            </w:r>
            <w:r>
              <w:rPr>
                <w:color w:val="auto"/>
                <w:u w:val="none"/>
              </w:rPr>
              <w:t>00mm厚度的C15混凝土垫层，待混凝土达到设计强度后，再进行绑扎钢筋、架设模板，浇筑C</w:t>
            </w:r>
            <w:r>
              <w:rPr>
                <w:rFonts w:hint="eastAsia"/>
                <w:color w:val="auto"/>
                <w:u w:val="none"/>
                <w:lang w:val="en-US" w:eastAsia="zh-CN"/>
              </w:rPr>
              <w:t>25</w:t>
            </w:r>
            <w:r>
              <w:rPr>
                <w:color w:val="auto"/>
                <w:u w:val="none"/>
              </w:rPr>
              <w:t>基础混凝土。</w:t>
            </w:r>
          </w:p>
          <w:p w14:paraId="71F754D2">
            <w:pPr>
              <w:ind w:firstLine="420"/>
              <w:rPr>
                <w:color w:val="auto"/>
                <w:u w:val="none"/>
              </w:rPr>
            </w:pPr>
            <w:r>
              <w:rPr>
                <w:color w:val="auto"/>
                <w:u w:val="none"/>
              </w:rPr>
              <w:t>（4）风机机组安装</w:t>
            </w:r>
          </w:p>
          <w:p w14:paraId="5E53C1EE">
            <w:pPr>
              <w:ind w:firstLine="420"/>
              <w:rPr>
                <w:rFonts w:hint="eastAsia"/>
                <w:color w:val="FF0000"/>
                <w:u w:val="none"/>
              </w:rPr>
            </w:pPr>
            <w:r>
              <w:rPr>
                <w:rFonts w:hint="eastAsia"/>
                <w:color w:val="auto"/>
                <w:u w:val="none"/>
              </w:rPr>
              <w:t>本风电场共装</w:t>
            </w:r>
            <w:r>
              <w:rPr>
                <w:rFonts w:hint="eastAsia"/>
                <w:color w:val="auto"/>
                <w:u w:val="none"/>
                <w:lang w:val="en-US" w:eastAsia="zh-CN"/>
              </w:rPr>
              <w:t>有15</w:t>
            </w:r>
            <w:r>
              <w:rPr>
                <w:rFonts w:hint="eastAsia"/>
                <w:color w:val="auto"/>
                <w:u w:val="none"/>
              </w:rPr>
              <w:t>台WTG5.0-200的风电机组，总装机规模</w:t>
            </w:r>
            <w:r>
              <w:rPr>
                <w:rFonts w:hint="eastAsia"/>
                <w:color w:val="auto"/>
                <w:u w:val="none"/>
                <w:lang w:val="en-US" w:eastAsia="zh-CN"/>
              </w:rPr>
              <w:t>75MW</w:t>
            </w:r>
            <w:r>
              <w:rPr>
                <w:rFonts w:hint="eastAsia"/>
                <w:color w:val="auto"/>
                <w:u w:val="none"/>
              </w:rPr>
              <w:t>，风机轮毂中心高度最高115m，叶轮直径200m。最长件为风机叶片</w:t>
            </w:r>
            <w:r>
              <w:rPr>
                <w:rFonts w:hint="eastAsia"/>
                <w:color w:val="auto"/>
                <w:u w:val="none"/>
                <w:lang w:eastAsia="zh-CN"/>
              </w:rPr>
              <w:t>，</w:t>
            </w:r>
            <w:r>
              <w:rPr>
                <w:rFonts w:hint="eastAsia"/>
                <w:color w:val="auto"/>
                <w:u w:val="none"/>
              </w:rPr>
              <w:t>安装起吊的最大高度约20-120.0m。根据已建风电工程风机吊装经验及总进度安排，采用一套起吊设备进行安装。主吊设备采用1</w:t>
            </w:r>
            <w:r>
              <w:rPr>
                <w:rFonts w:hint="eastAsia"/>
                <w:color w:val="auto"/>
                <w:u w:val="none"/>
                <w:lang w:val="en-US" w:eastAsia="zh-CN"/>
              </w:rPr>
              <w:t>0</w:t>
            </w:r>
            <w:r>
              <w:rPr>
                <w:rFonts w:hint="eastAsia"/>
                <w:color w:val="auto"/>
                <w:u w:val="none"/>
              </w:rPr>
              <w:t>00t 履带式起重机，辅吊采用</w:t>
            </w:r>
            <w:r>
              <w:rPr>
                <w:rFonts w:hint="eastAsia"/>
                <w:color w:val="auto"/>
                <w:u w:val="none"/>
                <w:lang w:val="en-US" w:eastAsia="zh-CN"/>
              </w:rPr>
              <w:t>26</w:t>
            </w:r>
            <w:r>
              <w:rPr>
                <w:rFonts w:hint="eastAsia"/>
                <w:color w:val="auto"/>
                <w:u w:val="none"/>
              </w:rPr>
              <w:t>0t汽车式起重机。</w:t>
            </w:r>
          </w:p>
          <w:p w14:paraId="389F5398">
            <w:pPr>
              <w:ind w:firstLine="420"/>
              <w:rPr>
                <w:color w:val="auto"/>
                <w:u w:val="none"/>
              </w:rPr>
            </w:pPr>
            <w:r>
              <w:rPr>
                <w:color w:val="auto"/>
                <w:u w:val="none"/>
              </w:rPr>
              <w:t>1）塔筒安装</w:t>
            </w:r>
          </w:p>
          <w:p w14:paraId="3D6BE221">
            <w:pPr>
              <w:ind w:firstLine="420"/>
              <w:rPr>
                <w:color w:val="auto"/>
                <w:u w:val="none"/>
              </w:rPr>
            </w:pPr>
            <w:r>
              <w:rPr>
                <w:color w:val="auto"/>
                <w:u w:val="none"/>
              </w:rPr>
              <w:t>塔筒安装前，应掌握安装期间工程区气象条件，以确保安装作业安全。安装时，先利用起重机提升下塔筒，慢慢将塔筒竖立，使塔筒的下端准确座落在基础法兰钢管上，按设计要求连接法兰盘，做到牢固可靠。上塔筒的安装方法与下塔筒相同。</w:t>
            </w:r>
          </w:p>
          <w:p w14:paraId="5608746F">
            <w:pPr>
              <w:ind w:firstLine="420"/>
              <w:rPr>
                <w:color w:val="auto"/>
                <w:u w:val="none"/>
              </w:rPr>
            </w:pPr>
            <w:r>
              <w:rPr>
                <w:color w:val="auto"/>
                <w:u w:val="none"/>
              </w:rPr>
              <w:t>2）风力发电机组安装</w:t>
            </w:r>
          </w:p>
          <w:p w14:paraId="4479E16B">
            <w:pPr>
              <w:ind w:firstLine="420"/>
              <w:rPr>
                <w:color w:val="auto"/>
                <w:u w:val="none"/>
              </w:rPr>
            </w:pPr>
            <w:r>
              <w:rPr>
                <w:color w:val="auto"/>
                <w:u w:val="none"/>
              </w:rPr>
              <w:t>风速是影响风力发电机组安装的主要因素之一，当风速超12m/s时，不允许安装风力发电机。在与当地气象部门密切联系的同时，现场设置风力观测站，以便现场施工人员做出可靠判断，确保风力发电机组安装顺利进行。</w:t>
            </w:r>
          </w:p>
          <w:p w14:paraId="251348D7">
            <w:pPr>
              <w:ind w:firstLine="420"/>
              <w:rPr>
                <w:color w:val="auto"/>
                <w:u w:val="none"/>
              </w:rPr>
            </w:pPr>
            <w:r>
              <w:rPr>
                <w:color w:val="auto"/>
                <w:u w:val="none"/>
              </w:rPr>
              <w:t>机舱安装时，施工人员站在塔架平台上，利用吊车提升机舱，机舱提起至安装高度后，再慢慢下落，机舱应完全坐在塔架法兰盘上，按设计要求连结法兰盘。转子叶片和轮毂在地面组装好后，利用起重机整体提升，轮毂法兰和机舱法兰按设计要求联结。上述作业完成并经验收合格后，移去施工设施，进行风力发电机组调试，完毕后投入运行。</w:t>
            </w:r>
          </w:p>
          <w:p w14:paraId="1235BC38">
            <w:pPr>
              <w:ind w:firstLine="420"/>
              <w:rPr>
                <w:color w:val="auto"/>
                <w:u w:val="none"/>
              </w:rPr>
            </w:pPr>
            <w:r>
              <w:rPr>
                <w:color w:val="auto"/>
                <w:u w:val="none"/>
              </w:rPr>
              <w:t>3）安装平台及吊装示意图</w:t>
            </w:r>
          </w:p>
          <w:p w14:paraId="2A286802">
            <w:pPr>
              <w:pStyle w:val="7"/>
              <w:adjustRightInd w:val="0"/>
              <w:snapToGrid w:val="0"/>
              <w:spacing w:before="120" w:beforeLines="50"/>
              <w:ind w:firstLine="0"/>
              <w:rPr>
                <w:rFonts w:ascii="Times New Roman" w:hAnsi="Times New Roman"/>
                <w:color w:val="FF0000"/>
                <w:kern w:val="28"/>
                <w:u w:val="none"/>
              </w:rPr>
            </w:pPr>
            <w:r>
              <w:rPr>
                <w:rFonts w:ascii="Times New Roman" w:hAnsi="Times New Roman" w:eastAsia="仿宋_GB2312"/>
                <w:color w:val="FF0000"/>
                <w:kern w:val="28"/>
                <w:sz w:val="28"/>
                <w:szCs w:val="28"/>
                <w:u w:val="none"/>
              </w:rPr>
              <w:drawing>
                <wp:inline distT="0" distB="0" distL="0" distR="0">
                  <wp:extent cx="2206625" cy="2270760"/>
                  <wp:effectExtent l="0" t="0" r="3175" b="15240"/>
                  <wp:docPr id="28" name="图片 25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51" descr="图片1"/>
                          <pic:cNvPicPr>
                            <a:picLocks noChangeAspect="1" noChangeArrowheads="1"/>
                          </pic:cNvPicPr>
                        </pic:nvPicPr>
                        <pic:blipFill>
                          <a:blip r:embed="rId30"/>
                          <a:srcRect/>
                          <a:stretch>
                            <a:fillRect/>
                          </a:stretch>
                        </pic:blipFill>
                        <pic:spPr>
                          <a:xfrm>
                            <a:off x="0" y="0"/>
                            <a:ext cx="2206625" cy="2270760"/>
                          </a:xfrm>
                          <a:prstGeom prst="rect">
                            <a:avLst/>
                          </a:prstGeom>
                          <a:noFill/>
                          <a:ln>
                            <a:noFill/>
                          </a:ln>
                        </pic:spPr>
                      </pic:pic>
                    </a:graphicData>
                  </a:graphic>
                </wp:inline>
              </w:drawing>
            </w:r>
            <w:r>
              <w:rPr>
                <w:rFonts w:ascii="Times New Roman" w:hAnsi="Times New Roman" w:eastAsia="仿宋_GB2312"/>
                <w:color w:val="FF0000"/>
                <w:kern w:val="28"/>
                <w:sz w:val="28"/>
                <w:szCs w:val="28"/>
                <w:u w:val="none"/>
              </w:rPr>
              <w:t xml:space="preserve">  </w:t>
            </w:r>
            <w:r>
              <w:rPr>
                <w:rFonts w:ascii="Times New Roman" w:hAnsi="Times New Roman"/>
                <w:color w:val="FF0000"/>
                <w:kern w:val="0"/>
                <w:u w:val="none"/>
              </w:rPr>
              <w:drawing>
                <wp:inline distT="0" distB="0" distL="0" distR="0">
                  <wp:extent cx="2237740" cy="2247900"/>
                  <wp:effectExtent l="0" t="0" r="10160" b="0"/>
                  <wp:docPr id="29" name="图片 252" descr="RG8RRJS3AGY7(W1W$Z}$}~A"/>
                  <wp:cNvGraphicFramePr/>
                  <a:graphic xmlns:a="http://schemas.openxmlformats.org/drawingml/2006/main">
                    <a:graphicData uri="http://schemas.openxmlformats.org/drawingml/2006/picture">
                      <pic:pic xmlns:pic="http://schemas.openxmlformats.org/drawingml/2006/picture">
                        <pic:nvPicPr>
                          <pic:cNvPr id="29" name="图片 252" descr="RG8RRJS3AGY7(W1W$Z}$}~A"/>
                          <pic:cNvPicPr>
                            <a:picLocks noChangeArrowheads="1"/>
                          </pic:cNvPicPr>
                        </pic:nvPicPr>
                        <pic:blipFill>
                          <a:blip r:embed="rId31"/>
                          <a:srcRect/>
                          <a:stretch>
                            <a:fillRect/>
                          </a:stretch>
                        </pic:blipFill>
                        <pic:spPr>
                          <a:xfrm>
                            <a:off x="0" y="0"/>
                            <a:ext cx="2237740" cy="2247900"/>
                          </a:xfrm>
                          <a:prstGeom prst="rect">
                            <a:avLst/>
                          </a:prstGeom>
                          <a:noFill/>
                          <a:ln>
                            <a:noFill/>
                          </a:ln>
                        </pic:spPr>
                      </pic:pic>
                    </a:graphicData>
                  </a:graphic>
                </wp:inline>
              </w:drawing>
            </w:r>
          </w:p>
          <w:p w14:paraId="15E8B990">
            <w:pPr>
              <w:pStyle w:val="8"/>
              <w:rPr>
                <w:color w:val="auto"/>
                <w:u w:val="none"/>
              </w:rPr>
            </w:pPr>
            <w:r>
              <w:rPr>
                <w:color w:val="auto"/>
                <w:u w:val="none"/>
              </w:rPr>
              <w:t>图2</w:t>
            </w:r>
            <w:r>
              <w:rPr>
                <w:rFonts w:hint="eastAsia"/>
                <w:color w:val="auto"/>
                <w:u w:val="none"/>
              </w:rPr>
              <w:t>.5</w:t>
            </w:r>
            <w:r>
              <w:rPr>
                <w:rFonts w:hint="eastAsia"/>
                <w:color w:val="auto"/>
                <w:u w:val="none"/>
                <w:lang w:val="en-US" w:eastAsia="zh-CN"/>
              </w:rPr>
              <w:t>-1</w:t>
            </w:r>
            <w:r>
              <w:rPr>
                <w:color w:val="auto"/>
                <w:u w:val="none"/>
              </w:rPr>
              <w:t xml:space="preserve"> 安装平台及吊装示意图</w:t>
            </w:r>
          </w:p>
          <w:p w14:paraId="6527D4DD">
            <w:pPr>
              <w:ind w:firstLine="420"/>
              <w:rPr>
                <w:color w:val="auto"/>
                <w:u w:val="none"/>
              </w:rPr>
            </w:pPr>
            <w:r>
              <w:rPr>
                <w:color w:val="auto"/>
                <w:u w:val="none"/>
              </w:rPr>
              <w:t>（</w:t>
            </w:r>
            <w:r>
              <w:rPr>
                <w:rFonts w:hint="eastAsia"/>
                <w:color w:val="auto"/>
                <w:u w:val="none"/>
                <w:lang w:val="en-US" w:eastAsia="zh-CN"/>
              </w:rPr>
              <w:t>5</w:t>
            </w:r>
            <w:r>
              <w:rPr>
                <w:color w:val="auto"/>
                <w:u w:val="none"/>
              </w:rPr>
              <w:t>）箱式变电站安装</w:t>
            </w:r>
          </w:p>
          <w:p w14:paraId="77C2B079">
            <w:pPr>
              <w:adjustRightInd w:val="0"/>
              <w:snapToGrid w:val="0"/>
              <w:ind w:firstLine="480"/>
              <w:rPr>
                <w:color w:val="auto"/>
                <w:u w:val="none"/>
              </w:rPr>
            </w:pPr>
            <w:r>
              <w:rPr>
                <w:color w:val="auto"/>
                <w:u w:val="none"/>
              </w:rPr>
              <w:t>1）安装前的准备电缆应在箱式变电站就位前敷设好，并且经过检验是无电的。开箱验收检查产品是否有损伤、变形和断裂。按装箱清单检查附件和专用工具是否齐全，在确认无误后方可按安装要求进行安装。</w:t>
            </w:r>
          </w:p>
          <w:p w14:paraId="7D22DEFB">
            <w:pPr>
              <w:autoSpaceDE w:val="0"/>
              <w:autoSpaceDN w:val="0"/>
              <w:adjustRightInd w:val="0"/>
              <w:snapToGrid w:val="0"/>
              <w:ind w:firstLine="480" w:firstLineChars="200"/>
              <w:rPr>
                <w:color w:val="auto"/>
                <w:u w:val="none"/>
              </w:rPr>
            </w:pPr>
            <w:r>
              <w:rPr>
                <w:color w:val="auto"/>
                <w:u w:val="none"/>
              </w:rPr>
              <w:t>2）安装时靠近箱体顶部有用于装卸的吊钩，起吊钢缆拉伸时与垂直线间的角度不能超过30°，如有必要，应用横杆支撑钢缆，以免造成箱变结构或起吊钩的变形。箱变大部分重量集中在装有铁心、绕组和绝缘油的王箱体中的变压器，高低压终端箱内大部分是空的，重量相对较轻，使用吊钩或起重机不当可能造成箱变或其附件的损坏，或引起人员伤害。在安装完毕后，接上试验电缆插头，按国家有关试验规程进行试验。</w:t>
            </w:r>
          </w:p>
          <w:p w14:paraId="2D780714">
            <w:pPr>
              <w:ind w:firstLine="420"/>
              <w:rPr>
                <w:color w:val="auto"/>
                <w:u w:val="none"/>
              </w:rPr>
            </w:pPr>
            <w:r>
              <w:rPr>
                <w:color w:val="auto"/>
                <w:u w:val="none"/>
              </w:rPr>
              <w:t>（</w:t>
            </w:r>
            <w:r>
              <w:rPr>
                <w:rFonts w:hint="eastAsia"/>
                <w:color w:val="auto"/>
                <w:u w:val="none"/>
                <w:lang w:val="en-US" w:eastAsia="zh-CN"/>
              </w:rPr>
              <w:t>6</w:t>
            </w:r>
            <w:r>
              <w:rPr>
                <w:color w:val="auto"/>
                <w:u w:val="none"/>
              </w:rPr>
              <w:t>）升压站设备安装</w:t>
            </w:r>
          </w:p>
          <w:p w14:paraId="75DB18DB">
            <w:pPr>
              <w:ind w:firstLine="420"/>
              <w:rPr>
                <w:color w:val="FF0000"/>
                <w:u w:val="none"/>
              </w:rPr>
            </w:pPr>
            <w:r>
              <w:rPr>
                <w:color w:val="auto"/>
                <w:u w:val="none"/>
              </w:rPr>
              <w:t>电缆线路安装技术要求：电缆管的加工敷设，电缆桥架及电缆架的安装，电缆敷设及电缆终端头的制作等均应符合GB50168《电气装置安装工程电缆线路施工及验收规范》的有关规定和施工图纸要求。</w:t>
            </w:r>
            <w:r>
              <w:rPr>
                <w:rFonts w:hint="eastAsia"/>
                <w:color w:val="auto"/>
                <w:u w:val="none"/>
              </w:rPr>
              <w:t>本项目</w:t>
            </w:r>
            <w:r>
              <w:rPr>
                <w:rFonts w:hint="eastAsia"/>
                <w:color w:val="auto"/>
                <w:u w:val="none"/>
                <w:lang w:val="en-US" w:eastAsia="zh-CN"/>
              </w:rPr>
              <w:t>22</w:t>
            </w:r>
            <w:r>
              <w:rPr>
                <w:rFonts w:hint="eastAsia"/>
                <w:color w:val="auto"/>
                <w:u w:val="none"/>
              </w:rPr>
              <w:t>0kV 升压站内建（构）筑物包含综合楼、危废间、预制舱基础、电气设备基础等建（构）筑物。基础土石方开挖边坡按1</w:t>
            </w:r>
            <w:r>
              <w:rPr>
                <w:rFonts w:hint="eastAsia"/>
                <w:color w:val="auto"/>
                <w:u w:val="none"/>
                <w:lang w:eastAsia="zh-CN"/>
              </w:rPr>
              <w:t>：</w:t>
            </w:r>
            <w:r>
              <w:rPr>
                <w:rFonts w:hint="eastAsia"/>
                <w:color w:val="auto"/>
                <w:u w:val="none"/>
              </w:rPr>
              <w:t>1 控制，采用推土机或反铲剥离集料，一次开挖到位，尽量避免基底土方扰动，基坑底部留30cm保护层，采用人工开挖。开挖的土方运往施工临时堆渣区堆放，用于土方回填。升压站建筑施工时在建筑物下部结构铺设平面低脚手架仓面，在上部结构处铺设立体高脚手架仓面，由人工胶轮车在高低脚手架上将混凝土利用溜筒倒入仓面，人工平仓，振捣器振捣。施工顺序大致为：施工准备→场地平整、碾压→基础开挖→基础施工→梁、板、柱混凝土浇筑→砖墙砌筑→电气管线敷设及室内外装修→电气设备入室。具体施工要求遵照有关工民建施工技术规范执行。电缆管的加工敷设，电缆桥架及电缆架的安装，电缆敷设及电缆终端头的制作等均应符合 GB 50168-2018《电气装置安装工程电缆线路施工及验收标准》的有关规定和施工图纸要求。</w:t>
            </w:r>
          </w:p>
          <w:p w14:paraId="1C35F82B">
            <w:pPr>
              <w:pStyle w:val="4"/>
              <w:tabs>
                <w:tab w:val="left" w:pos="425"/>
              </w:tabs>
              <w:rPr>
                <w:color w:val="auto"/>
                <w:szCs w:val="24"/>
                <w:u w:val="none"/>
              </w:rPr>
            </w:pPr>
            <w:r>
              <w:rPr>
                <w:color w:val="auto"/>
                <w:szCs w:val="24"/>
                <w:u w:val="none"/>
              </w:rPr>
              <w:t>2.5.4 主要材料用量和机械设备</w:t>
            </w:r>
          </w:p>
          <w:p w14:paraId="724D2D09">
            <w:pPr>
              <w:autoSpaceDE w:val="0"/>
              <w:autoSpaceDN w:val="0"/>
              <w:snapToGrid w:val="0"/>
              <w:spacing w:line="360" w:lineRule="auto"/>
              <w:ind w:firstLine="420"/>
              <w:jc w:val="left"/>
              <w:rPr>
                <w:rFonts w:hint="eastAsia"/>
                <w:color w:val="auto"/>
                <w:u w:val="none"/>
              </w:rPr>
            </w:pPr>
            <w:r>
              <w:rPr>
                <w:color w:val="auto"/>
                <w:u w:val="none"/>
              </w:rPr>
              <w:t>本工程主要材料用量为混凝土及钢筋，其用量情况见下表</w:t>
            </w:r>
            <w:r>
              <w:rPr>
                <w:rFonts w:hint="eastAsia"/>
                <w:color w:val="auto"/>
                <w:u w:val="none"/>
              </w:rPr>
              <w:t>。本工程</w:t>
            </w:r>
            <w:r>
              <w:rPr>
                <w:rFonts w:hint="eastAsia"/>
                <w:color w:val="auto"/>
                <w:u w:val="none"/>
                <w:lang w:eastAsia="zh-CN"/>
              </w:rPr>
              <w:t>混凝土外购商用混凝土，项目不设临时搅拌站</w:t>
            </w:r>
            <w:r>
              <w:rPr>
                <w:rFonts w:hint="eastAsia"/>
                <w:color w:val="auto"/>
                <w:u w:val="none"/>
              </w:rPr>
              <w:t>。</w:t>
            </w:r>
          </w:p>
          <w:p w14:paraId="2BA8F307">
            <w:pPr>
              <w:pStyle w:val="89"/>
              <w:spacing w:line="240" w:lineRule="auto"/>
              <w:ind w:firstLine="2741" w:firstLineChars="1300"/>
              <w:jc w:val="both"/>
              <w:rPr>
                <w:color w:val="auto"/>
                <w:kern w:val="2"/>
                <w:u w:val="none"/>
              </w:rPr>
            </w:pPr>
            <w:r>
              <w:rPr>
                <w:color w:val="auto"/>
                <w:kern w:val="2"/>
                <w:u w:val="none"/>
              </w:rPr>
              <w:t>表2</w:t>
            </w:r>
            <w:r>
              <w:rPr>
                <w:rFonts w:hint="eastAsia"/>
                <w:color w:val="auto"/>
                <w:kern w:val="2"/>
                <w:u w:val="none"/>
              </w:rPr>
              <w:t>.5</w:t>
            </w:r>
            <w:r>
              <w:rPr>
                <w:color w:val="auto"/>
                <w:kern w:val="2"/>
                <w:u w:val="none"/>
              </w:rPr>
              <w:t>-</w:t>
            </w:r>
            <w:r>
              <w:rPr>
                <w:rFonts w:hint="eastAsia"/>
                <w:color w:val="auto"/>
                <w:kern w:val="2"/>
                <w:u w:val="none"/>
              </w:rPr>
              <w:t>1</w:t>
            </w:r>
            <w:r>
              <w:rPr>
                <w:color w:val="auto"/>
                <w:kern w:val="2"/>
                <w:u w:val="none"/>
              </w:rPr>
              <w:t xml:space="preserve"> 主要材料用量表</w:t>
            </w:r>
          </w:p>
          <w:tbl>
            <w:tblPr>
              <w:tblStyle w:val="26"/>
              <w:tblW w:w="78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4"/>
              <w:gridCol w:w="2684"/>
              <w:gridCol w:w="2068"/>
              <w:gridCol w:w="1845"/>
            </w:tblGrid>
            <w:tr w14:paraId="04051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4" w:type="dxa"/>
                  <w:vAlign w:val="center"/>
                </w:tcPr>
                <w:p w14:paraId="13DEE6C4">
                  <w:pPr>
                    <w:pStyle w:val="63"/>
                    <w:spacing w:before="24" w:after="24"/>
                    <w:rPr>
                      <w:rFonts w:ascii="Times New Roman" w:hAnsi="Times New Roman"/>
                      <w:b/>
                      <w:bCs/>
                      <w:color w:val="auto"/>
                      <w:sz w:val="21"/>
                      <w:u w:val="none"/>
                    </w:rPr>
                  </w:pPr>
                  <w:r>
                    <w:rPr>
                      <w:rFonts w:ascii="Times New Roman" w:hAnsi="Times New Roman"/>
                      <w:b/>
                      <w:bCs/>
                      <w:color w:val="auto"/>
                      <w:sz w:val="21"/>
                      <w:u w:val="none"/>
                    </w:rPr>
                    <w:t>序 号</w:t>
                  </w:r>
                </w:p>
              </w:tc>
              <w:tc>
                <w:tcPr>
                  <w:tcW w:w="2684" w:type="dxa"/>
                  <w:vAlign w:val="center"/>
                </w:tcPr>
                <w:p w14:paraId="503CC801">
                  <w:pPr>
                    <w:pStyle w:val="63"/>
                    <w:spacing w:before="24" w:after="24"/>
                    <w:rPr>
                      <w:rFonts w:ascii="Times New Roman" w:hAnsi="Times New Roman"/>
                      <w:b/>
                      <w:bCs/>
                      <w:color w:val="auto"/>
                      <w:sz w:val="21"/>
                      <w:u w:val="none"/>
                    </w:rPr>
                  </w:pPr>
                  <w:r>
                    <w:rPr>
                      <w:rFonts w:ascii="Times New Roman" w:hAnsi="Times New Roman"/>
                      <w:b/>
                      <w:bCs/>
                      <w:color w:val="auto"/>
                      <w:sz w:val="21"/>
                      <w:u w:val="none"/>
                    </w:rPr>
                    <w:t>项    目</w:t>
                  </w:r>
                </w:p>
              </w:tc>
              <w:tc>
                <w:tcPr>
                  <w:tcW w:w="2068" w:type="dxa"/>
                  <w:vAlign w:val="center"/>
                </w:tcPr>
                <w:p w14:paraId="62AFDC83">
                  <w:pPr>
                    <w:pStyle w:val="63"/>
                    <w:spacing w:before="24" w:after="24"/>
                    <w:rPr>
                      <w:rFonts w:ascii="Times New Roman" w:hAnsi="Times New Roman"/>
                      <w:b/>
                      <w:bCs/>
                      <w:color w:val="auto"/>
                      <w:sz w:val="21"/>
                      <w:u w:val="none"/>
                    </w:rPr>
                  </w:pPr>
                  <w:r>
                    <w:rPr>
                      <w:rFonts w:ascii="Times New Roman" w:hAnsi="Times New Roman"/>
                      <w:b/>
                      <w:bCs/>
                      <w:color w:val="auto"/>
                      <w:sz w:val="21"/>
                      <w:u w:val="none"/>
                    </w:rPr>
                    <w:t>单   位</w:t>
                  </w:r>
                </w:p>
              </w:tc>
              <w:tc>
                <w:tcPr>
                  <w:tcW w:w="1845" w:type="dxa"/>
                  <w:vAlign w:val="center"/>
                </w:tcPr>
                <w:p w14:paraId="71EB9301">
                  <w:pPr>
                    <w:pStyle w:val="63"/>
                    <w:spacing w:before="24" w:after="24"/>
                    <w:rPr>
                      <w:rFonts w:ascii="Times New Roman" w:hAnsi="Times New Roman"/>
                      <w:b/>
                      <w:bCs/>
                      <w:color w:val="auto"/>
                      <w:sz w:val="21"/>
                      <w:u w:val="none"/>
                    </w:rPr>
                  </w:pPr>
                  <w:r>
                    <w:rPr>
                      <w:rFonts w:ascii="Times New Roman" w:hAnsi="Times New Roman"/>
                      <w:b/>
                      <w:bCs/>
                      <w:color w:val="auto"/>
                      <w:sz w:val="21"/>
                      <w:u w:val="none"/>
                    </w:rPr>
                    <w:t>数  量</w:t>
                  </w:r>
                </w:p>
              </w:tc>
            </w:tr>
            <w:tr w14:paraId="0D88A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4" w:type="dxa"/>
                  <w:vAlign w:val="center"/>
                </w:tcPr>
                <w:p w14:paraId="46F11737">
                  <w:pPr>
                    <w:pStyle w:val="94"/>
                    <w:spacing w:line="240" w:lineRule="auto"/>
                    <w:rPr>
                      <w:rFonts w:ascii="Times New Roman" w:hAnsi="Times New Roman"/>
                      <w:color w:val="auto"/>
                      <w:sz w:val="21"/>
                      <w:u w:val="none"/>
                    </w:rPr>
                  </w:pPr>
                  <w:r>
                    <w:rPr>
                      <w:rFonts w:ascii="Times New Roman" w:hAnsi="Times New Roman"/>
                      <w:color w:val="auto"/>
                      <w:highlight w:val="none"/>
                      <w:u w:val="none"/>
                    </w:rPr>
                    <w:t>1</w:t>
                  </w:r>
                </w:p>
              </w:tc>
              <w:tc>
                <w:tcPr>
                  <w:tcW w:w="2684" w:type="dxa"/>
                  <w:vAlign w:val="center"/>
                </w:tcPr>
                <w:p w14:paraId="0FFF770A">
                  <w:pPr>
                    <w:pStyle w:val="94"/>
                    <w:spacing w:line="240" w:lineRule="auto"/>
                    <w:rPr>
                      <w:rFonts w:ascii="Times New Roman" w:hAnsi="Times New Roman"/>
                      <w:color w:val="auto"/>
                      <w:sz w:val="21"/>
                      <w:u w:val="none"/>
                    </w:rPr>
                  </w:pPr>
                  <w:r>
                    <w:rPr>
                      <w:rFonts w:ascii="Times New Roman" w:hAnsi="Times New Roman"/>
                      <w:color w:val="auto"/>
                      <w:highlight w:val="none"/>
                      <w:u w:val="none"/>
                    </w:rPr>
                    <w:t>风电机组</w:t>
                  </w:r>
                </w:p>
              </w:tc>
              <w:tc>
                <w:tcPr>
                  <w:tcW w:w="2068" w:type="dxa"/>
                  <w:vAlign w:val="center"/>
                </w:tcPr>
                <w:p w14:paraId="7F7AAE88">
                  <w:pPr>
                    <w:pStyle w:val="94"/>
                    <w:spacing w:line="240" w:lineRule="auto"/>
                    <w:rPr>
                      <w:rFonts w:ascii="Times New Roman" w:hAnsi="Times New Roman"/>
                      <w:color w:val="auto"/>
                      <w:sz w:val="21"/>
                      <w:u w:val="none"/>
                    </w:rPr>
                  </w:pPr>
                  <w:r>
                    <w:rPr>
                      <w:rFonts w:ascii="Times New Roman" w:hAnsi="Times New Roman"/>
                      <w:color w:val="auto"/>
                      <w:highlight w:val="none"/>
                      <w:u w:val="none"/>
                    </w:rPr>
                    <w:t>台</w:t>
                  </w:r>
                </w:p>
              </w:tc>
              <w:tc>
                <w:tcPr>
                  <w:tcW w:w="1845" w:type="dxa"/>
                  <w:vAlign w:val="center"/>
                </w:tcPr>
                <w:p w14:paraId="67B60406">
                  <w:pPr>
                    <w:pStyle w:val="94"/>
                    <w:spacing w:line="240" w:lineRule="auto"/>
                    <w:rPr>
                      <w:rFonts w:hint="default" w:ascii="Times New Roman" w:hAnsi="Times New Roman" w:eastAsia="宋体"/>
                      <w:color w:val="auto"/>
                      <w:sz w:val="21"/>
                      <w:u w:val="none"/>
                      <w:lang w:val="en-US" w:eastAsia="zh-CN"/>
                    </w:rPr>
                  </w:pPr>
                  <w:r>
                    <w:rPr>
                      <w:rFonts w:hint="eastAsia" w:cs="Times New Roman"/>
                      <w:color w:val="auto"/>
                      <w:highlight w:val="none"/>
                      <w:u w:val="none"/>
                      <w:lang w:val="en-US" w:eastAsia="zh-CN"/>
                    </w:rPr>
                    <w:t>15</w:t>
                  </w:r>
                </w:p>
              </w:tc>
            </w:tr>
            <w:tr w14:paraId="760CA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4" w:type="dxa"/>
                  <w:vAlign w:val="center"/>
                </w:tcPr>
                <w:p w14:paraId="66DD6D23">
                  <w:pPr>
                    <w:pStyle w:val="94"/>
                    <w:spacing w:line="240" w:lineRule="auto"/>
                    <w:rPr>
                      <w:rFonts w:ascii="Times New Roman" w:hAnsi="Times New Roman"/>
                      <w:color w:val="auto"/>
                      <w:sz w:val="21"/>
                      <w:u w:val="none"/>
                    </w:rPr>
                  </w:pPr>
                  <w:r>
                    <w:rPr>
                      <w:rFonts w:ascii="Times New Roman" w:hAnsi="Times New Roman"/>
                      <w:color w:val="auto"/>
                      <w:highlight w:val="none"/>
                      <w:u w:val="none"/>
                    </w:rPr>
                    <w:t>2</w:t>
                  </w:r>
                </w:p>
              </w:tc>
              <w:tc>
                <w:tcPr>
                  <w:tcW w:w="2684" w:type="dxa"/>
                  <w:vAlign w:val="center"/>
                </w:tcPr>
                <w:p w14:paraId="2471F28C">
                  <w:pPr>
                    <w:pStyle w:val="94"/>
                    <w:spacing w:line="240" w:lineRule="auto"/>
                    <w:rPr>
                      <w:rFonts w:ascii="Times New Roman" w:hAnsi="Times New Roman"/>
                      <w:color w:val="auto"/>
                      <w:sz w:val="21"/>
                      <w:u w:val="none"/>
                    </w:rPr>
                  </w:pPr>
                  <w:r>
                    <w:rPr>
                      <w:rFonts w:ascii="Times New Roman" w:hAnsi="Times New Roman"/>
                      <w:color w:val="auto"/>
                      <w:highlight w:val="none"/>
                      <w:u w:val="none"/>
                    </w:rPr>
                    <w:t>箱式变电站</w:t>
                  </w:r>
                </w:p>
              </w:tc>
              <w:tc>
                <w:tcPr>
                  <w:tcW w:w="2068" w:type="dxa"/>
                  <w:vAlign w:val="center"/>
                </w:tcPr>
                <w:p w14:paraId="14D9F6AB">
                  <w:pPr>
                    <w:pStyle w:val="94"/>
                    <w:spacing w:line="240" w:lineRule="auto"/>
                    <w:rPr>
                      <w:rFonts w:ascii="Times New Roman" w:hAnsi="Times New Roman"/>
                      <w:color w:val="auto"/>
                      <w:sz w:val="21"/>
                      <w:u w:val="none"/>
                    </w:rPr>
                  </w:pPr>
                  <w:r>
                    <w:rPr>
                      <w:rFonts w:ascii="Times New Roman" w:hAnsi="Times New Roman"/>
                      <w:color w:val="auto"/>
                      <w:highlight w:val="none"/>
                      <w:u w:val="none"/>
                    </w:rPr>
                    <w:t>台</w:t>
                  </w:r>
                </w:p>
              </w:tc>
              <w:tc>
                <w:tcPr>
                  <w:tcW w:w="1845" w:type="dxa"/>
                  <w:vAlign w:val="center"/>
                </w:tcPr>
                <w:p w14:paraId="49DD71DB">
                  <w:pPr>
                    <w:pStyle w:val="94"/>
                    <w:spacing w:line="240" w:lineRule="auto"/>
                    <w:rPr>
                      <w:rFonts w:hint="default" w:ascii="Times New Roman" w:hAnsi="Times New Roman" w:eastAsia="宋体"/>
                      <w:color w:val="auto"/>
                      <w:sz w:val="21"/>
                      <w:u w:val="none"/>
                      <w:lang w:val="en-US" w:eastAsia="zh-CN"/>
                    </w:rPr>
                  </w:pPr>
                  <w:r>
                    <w:rPr>
                      <w:rFonts w:hint="eastAsia" w:cs="Times New Roman"/>
                      <w:color w:val="auto"/>
                      <w:highlight w:val="none"/>
                      <w:u w:val="none"/>
                      <w:lang w:val="en-US" w:eastAsia="zh-CN"/>
                    </w:rPr>
                    <w:t>15</w:t>
                  </w:r>
                </w:p>
              </w:tc>
            </w:tr>
            <w:tr w14:paraId="5E351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4" w:type="dxa"/>
                  <w:vAlign w:val="center"/>
                </w:tcPr>
                <w:p w14:paraId="3C38F0DA">
                  <w:pPr>
                    <w:pStyle w:val="94"/>
                    <w:spacing w:line="240" w:lineRule="auto"/>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highlight w:val="none"/>
                      <w:u w:val="none"/>
                      <w14:textFill>
                        <w14:solidFill>
                          <w14:schemeClr w14:val="tx1"/>
                        </w14:solidFill>
                      </w14:textFill>
                    </w:rPr>
                    <w:t>3</w:t>
                  </w:r>
                </w:p>
              </w:tc>
              <w:tc>
                <w:tcPr>
                  <w:tcW w:w="2684" w:type="dxa"/>
                  <w:vAlign w:val="center"/>
                </w:tcPr>
                <w:p w14:paraId="6F2F52BF">
                  <w:pPr>
                    <w:pStyle w:val="94"/>
                    <w:spacing w:line="240" w:lineRule="auto"/>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highlight w:val="none"/>
                      <w:u w:val="none"/>
                      <w14:textFill>
                        <w14:solidFill>
                          <w14:schemeClr w14:val="tx1"/>
                        </w14:solidFill>
                      </w14:textFill>
                    </w:rPr>
                    <w:t>建筑面积</w:t>
                  </w:r>
                </w:p>
              </w:tc>
              <w:tc>
                <w:tcPr>
                  <w:tcW w:w="2068" w:type="dxa"/>
                  <w:vAlign w:val="center"/>
                </w:tcPr>
                <w:p w14:paraId="211B9457">
                  <w:pPr>
                    <w:pStyle w:val="94"/>
                    <w:spacing w:line="240" w:lineRule="auto"/>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highlight w:val="none"/>
                      <w:u w:val="none"/>
                      <w14:textFill>
                        <w14:solidFill>
                          <w14:schemeClr w14:val="tx1"/>
                        </w14:solidFill>
                      </w14:textFill>
                    </w:rPr>
                    <w:t>m</w:t>
                  </w:r>
                  <w:r>
                    <w:rPr>
                      <w:rFonts w:ascii="Times New Roman" w:hAnsi="Times New Roman"/>
                      <w:color w:val="000000" w:themeColor="text1"/>
                      <w:highlight w:val="none"/>
                      <w:u w:val="none"/>
                      <w:vertAlign w:val="superscript"/>
                      <w14:textFill>
                        <w14:solidFill>
                          <w14:schemeClr w14:val="tx1"/>
                        </w14:solidFill>
                      </w14:textFill>
                    </w:rPr>
                    <w:t>2</w:t>
                  </w:r>
                </w:p>
              </w:tc>
              <w:tc>
                <w:tcPr>
                  <w:tcW w:w="1845" w:type="dxa"/>
                  <w:vAlign w:val="center"/>
                </w:tcPr>
                <w:p w14:paraId="01292327">
                  <w:pPr>
                    <w:pStyle w:val="94"/>
                    <w:spacing w:line="240" w:lineRule="auto"/>
                    <w:rPr>
                      <w:rFonts w:hint="default" w:ascii="Times New Roman" w:hAnsi="Times New Roman"/>
                      <w:color w:val="000000" w:themeColor="text1"/>
                      <w:sz w:val="21"/>
                      <w:u w:val="none"/>
                      <w:lang w:val="en-US" w:eastAsia="zh-CN"/>
                      <w14:textFill>
                        <w14:solidFill>
                          <w14:schemeClr w14:val="tx1"/>
                        </w14:solidFill>
                      </w14:textFill>
                    </w:rPr>
                  </w:pPr>
                  <w:r>
                    <w:rPr>
                      <w:rFonts w:hint="eastAsia" w:cs="Times New Roman"/>
                      <w:color w:val="000000" w:themeColor="text1"/>
                      <w:highlight w:val="none"/>
                      <w:u w:val="none"/>
                      <w:lang w:val="en-US" w:eastAsia="zh-CN"/>
                      <w14:textFill>
                        <w14:solidFill>
                          <w14:schemeClr w14:val="tx1"/>
                        </w14:solidFill>
                      </w14:textFill>
                    </w:rPr>
                    <w:t>1892</w:t>
                  </w:r>
                </w:p>
              </w:tc>
            </w:tr>
            <w:tr w14:paraId="1C5D9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4" w:type="dxa"/>
                  <w:vAlign w:val="center"/>
                </w:tcPr>
                <w:p w14:paraId="49C09115">
                  <w:pPr>
                    <w:pStyle w:val="94"/>
                    <w:spacing w:line="240" w:lineRule="auto"/>
                    <w:rPr>
                      <w:rFonts w:ascii="Times New Roman" w:hAnsi="Times New Roman"/>
                      <w:color w:val="auto"/>
                      <w:sz w:val="21"/>
                      <w:u w:val="none"/>
                    </w:rPr>
                  </w:pPr>
                  <w:r>
                    <w:rPr>
                      <w:rFonts w:ascii="Times New Roman" w:hAnsi="Times New Roman"/>
                      <w:color w:val="auto"/>
                      <w:highlight w:val="none"/>
                      <w:u w:val="none"/>
                    </w:rPr>
                    <w:t>4</w:t>
                  </w:r>
                </w:p>
              </w:tc>
              <w:tc>
                <w:tcPr>
                  <w:tcW w:w="2684" w:type="dxa"/>
                  <w:vAlign w:val="center"/>
                </w:tcPr>
                <w:p w14:paraId="5E9CC7DA">
                  <w:pPr>
                    <w:pStyle w:val="94"/>
                    <w:spacing w:line="240" w:lineRule="auto"/>
                    <w:rPr>
                      <w:rFonts w:ascii="Times New Roman" w:hAnsi="Times New Roman"/>
                      <w:color w:val="auto"/>
                      <w:sz w:val="21"/>
                      <w:u w:val="none"/>
                    </w:rPr>
                  </w:pPr>
                  <w:r>
                    <w:rPr>
                      <w:rFonts w:ascii="Times New Roman" w:hAnsi="Times New Roman"/>
                      <w:color w:val="auto"/>
                      <w:highlight w:val="none"/>
                      <w:u w:val="none"/>
                    </w:rPr>
                    <w:t>土石方开挖</w:t>
                  </w:r>
                </w:p>
              </w:tc>
              <w:tc>
                <w:tcPr>
                  <w:tcW w:w="2068" w:type="dxa"/>
                  <w:vAlign w:val="center"/>
                </w:tcPr>
                <w:p w14:paraId="2FD760A4">
                  <w:pPr>
                    <w:pStyle w:val="94"/>
                    <w:spacing w:line="240" w:lineRule="auto"/>
                    <w:rPr>
                      <w:rFonts w:ascii="Times New Roman" w:hAnsi="Times New Roman"/>
                      <w:color w:val="auto"/>
                      <w:sz w:val="21"/>
                      <w:u w:val="none"/>
                    </w:rPr>
                  </w:pPr>
                  <w:r>
                    <w:rPr>
                      <w:rFonts w:ascii="Times New Roman" w:hAnsi="Times New Roman"/>
                      <w:color w:val="auto"/>
                      <w:highlight w:val="none"/>
                      <w:u w:val="none"/>
                    </w:rPr>
                    <w:t>万m</w:t>
                  </w:r>
                  <w:r>
                    <w:rPr>
                      <w:rFonts w:ascii="Times New Roman" w:hAnsi="Times New Roman"/>
                      <w:color w:val="auto"/>
                      <w:highlight w:val="none"/>
                      <w:u w:val="none"/>
                      <w:vertAlign w:val="superscript"/>
                    </w:rPr>
                    <w:t>3</w:t>
                  </w:r>
                </w:p>
              </w:tc>
              <w:tc>
                <w:tcPr>
                  <w:tcW w:w="1845" w:type="dxa"/>
                  <w:vAlign w:val="center"/>
                </w:tcPr>
                <w:p w14:paraId="48954D0F">
                  <w:pPr>
                    <w:pStyle w:val="94"/>
                    <w:spacing w:line="240" w:lineRule="auto"/>
                    <w:rPr>
                      <w:rFonts w:hint="default" w:ascii="Times New Roman" w:hAnsi="Times New Roman"/>
                      <w:color w:val="5B9BD5" w:themeColor="accent1"/>
                      <w:sz w:val="21"/>
                      <w:u w:val="none"/>
                      <w:lang w:val="en-US" w:eastAsia="zh-CN"/>
                      <w14:textFill>
                        <w14:solidFill>
                          <w14:schemeClr w14:val="accent1"/>
                        </w14:solidFill>
                      </w14:textFill>
                    </w:rPr>
                  </w:pPr>
                  <w:r>
                    <w:rPr>
                      <w:rFonts w:hint="eastAsia"/>
                      <w:color w:val="auto"/>
                      <w:sz w:val="21"/>
                      <w:szCs w:val="21"/>
                      <w:u w:val="none"/>
                      <w:lang w:val="en-US" w:eastAsia="zh-CN"/>
                    </w:rPr>
                    <w:t>1687.9</w:t>
                  </w:r>
                </w:p>
              </w:tc>
            </w:tr>
            <w:tr w14:paraId="3284B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4" w:type="dxa"/>
                  <w:vAlign w:val="center"/>
                </w:tcPr>
                <w:p w14:paraId="3FD97F01">
                  <w:pPr>
                    <w:pStyle w:val="94"/>
                    <w:spacing w:line="240" w:lineRule="auto"/>
                    <w:rPr>
                      <w:rFonts w:ascii="Times New Roman" w:hAnsi="Times New Roman"/>
                      <w:color w:val="auto"/>
                      <w:sz w:val="21"/>
                      <w:u w:val="none"/>
                    </w:rPr>
                  </w:pPr>
                  <w:r>
                    <w:rPr>
                      <w:rFonts w:ascii="Times New Roman" w:hAnsi="Times New Roman"/>
                      <w:color w:val="auto"/>
                      <w:highlight w:val="none"/>
                      <w:u w:val="none"/>
                    </w:rPr>
                    <w:t>5</w:t>
                  </w:r>
                </w:p>
              </w:tc>
              <w:tc>
                <w:tcPr>
                  <w:tcW w:w="2684" w:type="dxa"/>
                  <w:vAlign w:val="center"/>
                </w:tcPr>
                <w:p w14:paraId="7FF51572">
                  <w:pPr>
                    <w:pStyle w:val="94"/>
                    <w:spacing w:line="240" w:lineRule="auto"/>
                    <w:rPr>
                      <w:rFonts w:ascii="Times New Roman" w:hAnsi="Times New Roman"/>
                      <w:color w:val="auto"/>
                      <w:sz w:val="21"/>
                      <w:u w:val="none"/>
                    </w:rPr>
                  </w:pPr>
                  <w:r>
                    <w:rPr>
                      <w:rFonts w:ascii="Times New Roman" w:hAnsi="Times New Roman"/>
                      <w:color w:val="auto"/>
                      <w:highlight w:val="none"/>
                      <w:u w:val="none"/>
                    </w:rPr>
                    <w:t>土石方回填</w:t>
                  </w:r>
                </w:p>
              </w:tc>
              <w:tc>
                <w:tcPr>
                  <w:tcW w:w="2068" w:type="dxa"/>
                  <w:vAlign w:val="center"/>
                </w:tcPr>
                <w:p w14:paraId="726CAF0F">
                  <w:pPr>
                    <w:pStyle w:val="94"/>
                    <w:spacing w:line="240" w:lineRule="auto"/>
                    <w:rPr>
                      <w:rFonts w:ascii="Times New Roman" w:hAnsi="Times New Roman"/>
                      <w:color w:val="auto"/>
                      <w:sz w:val="21"/>
                      <w:u w:val="none"/>
                    </w:rPr>
                  </w:pPr>
                  <w:r>
                    <w:rPr>
                      <w:rFonts w:ascii="Times New Roman" w:hAnsi="Times New Roman"/>
                      <w:color w:val="auto"/>
                      <w:highlight w:val="none"/>
                      <w:u w:val="none"/>
                    </w:rPr>
                    <w:t>万m</w:t>
                  </w:r>
                  <w:r>
                    <w:rPr>
                      <w:rFonts w:ascii="Times New Roman" w:hAnsi="Times New Roman"/>
                      <w:color w:val="auto"/>
                      <w:highlight w:val="none"/>
                      <w:u w:val="none"/>
                      <w:vertAlign w:val="superscript"/>
                    </w:rPr>
                    <w:t>3</w:t>
                  </w:r>
                </w:p>
              </w:tc>
              <w:tc>
                <w:tcPr>
                  <w:tcW w:w="1845" w:type="dxa"/>
                  <w:vAlign w:val="center"/>
                </w:tcPr>
                <w:p w14:paraId="0825BF90">
                  <w:pPr>
                    <w:pStyle w:val="94"/>
                    <w:spacing w:line="240" w:lineRule="auto"/>
                    <w:rPr>
                      <w:rFonts w:hint="default" w:ascii="Times New Roman" w:hAnsi="Times New Roman" w:eastAsia="宋体"/>
                      <w:color w:val="000000" w:themeColor="text1"/>
                      <w:sz w:val="21"/>
                      <w:u w:val="none"/>
                      <w:lang w:val="en-US" w:eastAsia="zh-CN"/>
                      <w14:textFill>
                        <w14:solidFill>
                          <w14:schemeClr w14:val="tx1"/>
                        </w14:solidFill>
                      </w14:textFill>
                    </w:rPr>
                  </w:pPr>
                  <w:r>
                    <w:rPr>
                      <w:rFonts w:hint="eastAsia" w:cs="Times New Roman"/>
                      <w:color w:val="000000" w:themeColor="text1"/>
                      <w:highlight w:val="none"/>
                      <w:u w:val="none"/>
                      <w:lang w:val="en-US" w:eastAsia="zh-CN"/>
                      <w14:textFill>
                        <w14:solidFill>
                          <w14:schemeClr w14:val="tx1"/>
                        </w14:solidFill>
                      </w14:textFill>
                    </w:rPr>
                    <w:t>999.1</w:t>
                  </w:r>
                </w:p>
              </w:tc>
            </w:tr>
            <w:tr w14:paraId="51BCB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4" w:type="dxa"/>
                  <w:vAlign w:val="center"/>
                </w:tcPr>
                <w:p w14:paraId="30486A7F">
                  <w:pPr>
                    <w:pStyle w:val="94"/>
                    <w:spacing w:line="240" w:lineRule="auto"/>
                    <w:rPr>
                      <w:rFonts w:ascii="Times New Roman" w:hAnsi="Times New Roman"/>
                      <w:color w:val="auto"/>
                      <w:sz w:val="21"/>
                      <w:u w:val="none"/>
                    </w:rPr>
                  </w:pPr>
                  <w:r>
                    <w:rPr>
                      <w:rFonts w:ascii="Times New Roman" w:hAnsi="Times New Roman"/>
                      <w:color w:val="auto"/>
                      <w:highlight w:val="none"/>
                      <w:u w:val="none"/>
                    </w:rPr>
                    <w:t>6</w:t>
                  </w:r>
                </w:p>
              </w:tc>
              <w:tc>
                <w:tcPr>
                  <w:tcW w:w="2684" w:type="dxa"/>
                  <w:vAlign w:val="center"/>
                </w:tcPr>
                <w:p w14:paraId="52AE9F5C">
                  <w:pPr>
                    <w:pStyle w:val="94"/>
                    <w:spacing w:line="240" w:lineRule="auto"/>
                    <w:rPr>
                      <w:rFonts w:ascii="Times New Roman" w:hAnsi="Times New Roman"/>
                      <w:color w:val="auto"/>
                      <w:sz w:val="21"/>
                      <w:u w:val="none"/>
                    </w:rPr>
                  </w:pPr>
                  <w:r>
                    <w:rPr>
                      <w:rFonts w:ascii="Times New Roman" w:hAnsi="Times New Roman"/>
                      <w:color w:val="auto"/>
                      <w:highlight w:val="none"/>
                      <w:u w:val="none"/>
                    </w:rPr>
                    <w:t>混凝土</w:t>
                  </w:r>
                </w:p>
              </w:tc>
              <w:tc>
                <w:tcPr>
                  <w:tcW w:w="2068" w:type="dxa"/>
                  <w:vAlign w:val="center"/>
                </w:tcPr>
                <w:p w14:paraId="16D57925">
                  <w:pPr>
                    <w:pStyle w:val="94"/>
                    <w:spacing w:line="240" w:lineRule="auto"/>
                    <w:rPr>
                      <w:rFonts w:ascii="Times New Roman" w:hAnsi="Times New Roman"/>
                      <w:color w:val="auto"/>
                      <w:sz w:val="21"/>
                      <w:u w:val="none"/>
                    </w:rPr>
                  </w:pPr>
                  <w:r>
                    <w:rPr>
                      <w:rFonts w:ascii="Times New Roman" w:hAnsi="Times New Roman"/>
                      <w:color w:val="auto"/>
                      <w:highlight w:val="none"/>
                      <w:u w:val="none"/>
                    </w:rPr>
                    <w:t>万m</w:t>
                  </w:r>
                  <w:r>
                    <w:rPr>
                      <w:rFonts w:ascii="Times New Roman" w:hAnsi="Times New Roman"/>
                      <w:color w:val="auto"/>
                      <w:highlight w:val="none"/>
                      <w:u w:val="none"/>
                      <w:vertAlign w:val="superscript"/>
                    </w:rPr>
                    <w:t>3</w:t>
                  </w:r>
                </w:p>
              </w:tc>
              <w:tc>
                <w:tcPr>
                  <w:tcW w:w="1845" w:type="dxa"/>
                  <w:vAlign w:val="center"/>
                </w:tcPr>
                <w:p w14:paraId="0BA013A1">
                  <w:pPr>
                    <w:pStyle w:val="94"/>
                    <w:spacing w:line="240" w:lineRule="auto"/>
                    <w:rPr>
                      <w:rFonts w:hint="default" w:ascii="Times New Roman" w:hAnsi="Times New Roman" w:eastAsia="宋体"/>
                      <w:color w:val="000000" w:themeColor="text1"/>
                      <w:sz w:val="21"/>
                      <w:u w:val="none"/>
                      <w:lang w:val="en-US" w:eastAsia="zh-CN"/>
                      <w14:textFill>
                        <w14:solidFill>
                          <w14:schemeClr w14:val="tx1"/>
                        </w14:solidFill>
                      </w14:textFill>
                    </w:rPr>
                  </w:pPr>
                  <w:r>
                    <w:rPr>
                      <w:rFonts w:hint="eastAsia" w:cs="Times New Roman"/>
                      <w:color w:val="000000" w:themeColor="text1"/>
                      <w:highlight w:val="none"/>
                      <w:u w:val="none"/>
                      <w:lang w:val="en-US" w:eastAsia="zh-CN"/>
                      <w14:textFill>
                        <w14:solidFill>
                          <w14:schemeClr w14:val="tx1"/>
                        </w14:solidFill>
                      </w14:textFill>
                    </w:rPr>
                    <w:t>0.87</w:t>
                  </w:r>
                </w:p>
              </w:tc>
            </w:tr>
          </w:tbl>
          <w:p w14:paraId="23F625CE">
            <w:pPr>
              <w:spacing w:before="120" w:beforeLines="50"/>
              <w:ind w:firstLine="420"/>
              <w:rPr>
                <w:color w:val="auto"/>
                <w:u w:val="none"/>
              </w:rPr>
            </w:pPr>
            <w:r>
              <w:rPr>
                <w:color w:val="auto"/>
                <w:u w:val="none"/>
              </w:rPr>
              <w:t>主要施工机械设备见下表。</w:t>
            </w:r>
          </w:p>
          <w:p w14:paraId="1029CB30">
            <w:pPr>
              <w:pStyle w:val="89"/>
              <w:rPr>
                <w:color w:val="000000" w:themeColor="text1"/>
                <w:kern w:val="2"/>
                <w:u w:val="none"/>
                <w14:textFill>
                  <w14:solidFill>
                    <w14:schemeClr w14:val="tx1"/>
                  </w14:solidFill>
                </w14:textFill>
              </w:rPr>
            </w:pPr>
            <w:r>
              <w:rPr>
                <w:color w:val="000000" w:themeColor="text1"/>
                <w:kern w:val="2"/>
                <w:u w:val="none"/>
                <w14:textFill>
                  <w14:solidFill>
                    <w14:schemeClr w14:val="tx1"/>
                  </w14:solidFill>
                </w14:textFill>
              </w:rPr>
              <w:t>表2</w:t>
            </w:r>
            <w:r>
              <w:rPr>
                <w:rFonts w:hint="eastAsia"/>
                <w:color w:val="000000" w:themeColor="text1"/>
                <w:kern w:val="2"/>
                <w:u w:val="none"/>
                <w14:textFill>
                  <w14:solidFill>
                    <w14:schemeClr w14:val="tx1"/>
                  </w14:solidFill>
                </w14:textFill>
              </w:rPr>
              <w:t>.5</w:t>
            </w:r>
            <w:r>
              <w:rPr>
                <w:color w:val="000000" w:themeColor="text1"/>
                <w:kern w:val="2"/>
                <w:u w:val="none"/>
                <w14:textFill>
                  <w14:solidFill>
                    <w14:schemeClr w14:val="tx1"/>
                  </w14:solidFill>
                </w14:textFill>
              </w:rPr>
              <w:t>-</w:t>
            </w:r>
            <w:r>
              <w:rPr>
                <w:rFonts w:hint="eastAsia"/>
                <w:color w:val="000000" w:themeColor="text1"/>
                <w:kern w:val="2"/>
                <w:u w:val="none"/>
                <w14:textFill>
                  <w14:solidFill>
                    <w14:schemeClr w14:val="tx1"/>
                  </w14:solidFill>
                </w14:textFill>
              </w:rPr>
              <w:t>2</w:t>
            </w:r>
            <w:r>
              <w:rPr>
                <w:color w:val="000000" w:themeColor="text1"/>
                <w:kern w:val="2"/>
                <w:u w:val="none"/>
                <w14:textFill>
                  <w14:solidFill>
                    <w14:schemeClr w14:val="tx1"/>
                  </w14:solidFill>
                </w14:textFill>
              </w:rPr>
              <w:t xml:space="preserve">  主要施工机械设备表</w:t>
            </w:r>
          </w:p>
          <w:tbl>
            <w:tblPr>
              <w:tblStyle w:val="26"/>
              <w:tblW w:w="7834" w:type="dxa"/>
              <w:tblInd w:w="-64" w:type="dxa"/>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Layout w:type="autofit"/>
              <w:tblCellMar>
                <w:top w:w="0" w:type="dxa"/>
                <w:left w:w="0" w:type="dxa"/>
                <w:bottom w:w="0" w:type="dxa"/>
                <w:right w:w="0" w:type="dxa"/>
              </w:tblCellMar>
            </w:tblPr>
            <w:tblGrid>
              <w:gridCol w:w="1090"/>
              <w:gridCol w:w="2742"/>
              <w:gridCol w:w="1529"/>
              <w:gridCol w:w="1228"/>
              <w:gridCol w:w="1245"/>
            </w:tblGrid>
            <w:tr w14:paraId="2AC04A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97" w:hRule="atLeast"/>
              </w:trPr>
              <w:tc>
                <w:tcPr>
                  <w:tcW w:w="1090" w:type="dxa"/>
                  <w:tcBorders>
                    <w:tl2br w:val="nil"/>
                    <w:tr2bl w:val="nil"/>
                  </w:tcBorders>
                  <w:vAlign w:val="top"/>
                </w:tcPr>
                <w:p w14:paraId="1546DD3B">
                  <w:pPr>
                    <w:pStyle w:val="63"/>
                    <w:spacing w:before="24" w:after="24"/>
                    <w:rPr>
                      <w:rFonts w:ascii="Times New Roman" w:hAnsi="Times New Roman"/>
                      <w:b/>
                      <w:bCs/>
                      <w:color w:val="000000" w:themeColor="text1"/>
                      <w:sz w:val="21"/>
                      <w:u w:val="none"/>
                      <w14:textFill>
                        <w14:solidFill>
                          <w14:schemeClr w14:val="tx1"/>
                        </w14:solidFill>
                      </w14:textFill>
                    </w:rPr>
                  </w:pPr>
                  <w:r>
                    <w:rPr>
                      <w:rFonts w:ascii="Times New Roman" w:hAnsi="Times New Roman"/>
                      <w:b/>
                      <w:bCs/>
                      <w:color w:val="000000" w:themeColor="text1"/>
                      <w:sz w:val="21"/>
                      <w:u w:val="none"/>
                      <w14:textFill>
                        <w14:solidFill>
                          <w14:schemeClr w14:val="tx1"/>
                        </w14:solidFill>
                      </w14:textFill>
                    </w:rPr>
                    <w:t>序 号</w:t>
                  </w:r>
                </w:p>
              </w:tc>
              <w:tc>
                <w:tcPr>
                  <w:tcW w:w="2742" w:type="dxa"/>
                  <w:tcBorders>
                    <w:tl2br w:val="nil"/>
                    <w:tr2bl w:val="nil"/>
                  </w:tcBorders>
                  <w:vAlign w:val="top"/>
                </w:tcPr>
                <w:p w14:paraId="280D1F4E">
                  <w:pPr>
                    <w:pStyle w:val="63"/>
                    <w:spacing w:before="24" w:after="24"/>
                    <w:rPr>
                      <w:rFonts w:ascii="Times New Roman" w:hAnsi="Times New Roman"/>
                      <w:b/>
                      <w:bCs/>
                      <w:color w:val="000000" w:themeColor="text1"/>
                      <w:sz w:val="21"/>
                      <w:u w:val="none"/>
                      <w14:textFill>
                        <w14:solidFill>
                          <w14:schemeClr w14:val="tx1"/>
                        </w14:solidFill>
                      </w14:textFill>
                    </w:rPr>
                  </w:pPr>
                  <w:r>
                    <w:rPr>
                      <w:rFonts w:ascii="Times New Roman" w:hAnsi="Times New Roman"/>
                      <w:b/>
                      <w:bCs/>
                      <w:color w:val="000000" w:themeColor="text1"/>
                      <w:sz w:val="21"/>
                      <w:u w:val="none"/>
                      <w14:textFill>
                        <w14:solidFill>
                          <w14:schemeClr w14:val="tx1"/>
                        </w14:solidFill>
                      </w14:textFill>
                    </w:rPr>
                    <w:t>机械设备名称</w:t>
                  </w:r>
                </w:p>
              </w:tc>
              <w:tc>
                <w:tcPr>
                  <w:tcW w:w="1529" w:type="dxa"/>
                  <w:tcBorders>
                    <w:tl2br w:val="nil"/>
                    <w:tr2bl w:val="nil"/>
                  </w:tcBorders>
                  <w:vAlign w:val="top"/>
                </w:tcPr>
                <w:p w14:paraId="4C3899E2">
                  <w:pPr>
                    <w:pStyle w:val="63"/>
                    <w:spacing w:before="24" w:after="24"/>
                    <w:rPr>
                      <w:rFonts w:ascii="Times New Roman" w:hAnsi="Times New Roman"/>
                      <w:b/>
                      <w:bCs/>
                      <w:color w:val="000000" w:themeColor="text1"/>
                      <w:sz w:val="21"/>
                      <w:u w:val="none"/>
                      <w14:textFill>
                        <w14:solidFill>
                          <w14:schemeClr w14:val="tx1"/>
                        </w14:solidFill>
                      </w14:textFill>
                    </w:rPr>
                  </w:pPr>
                  <w:r>
                    <w:rPr>
                      <w:rFonts w:ascii="Times New Roman" w:hAnsi="Times New Roman"/>
                      <w:b/>
                      <w:bCs/>
                      <w:color w:val="000000" w:themeColor="text1"/>
                      <w:sz w:val="21"/>
                      <w:u w:val="none"/>
                      <w14:textFill>
                        <w14:solidFill>
                          <w14:schemeClr w14:val="tx1"/>
                        </w14:solidFill>
                      </w14:textFill>
                    </w:rPr>
                    <w:t>规 格</w:t>
                  </w:r>
                </w:p>
              </w:tc>
              <w:tc>
                <w:tcPr>
                  <w:tcW w:w="1228" w:type="dxa"/>
                  <w:tcBorders>
                    <w:tl2br w:val="nil"/>
                    <w:tr2bl w:val="nil"/>
                  </w:tcBorders>
                  <w:vAlign w:val="top"/>
                </w:tcPr>
                <w:p w14:paraId="4E960BEA">
                  <w:pPr>
                    <w:pStyle w:val="63"/>
                    <w:spacing w:before="24" w:after="24"/>
                    <w:rPr>
                      <w:rFonts w:ascii="Times New Roman" w:hAnsi="Times New Roman"/>
                      <w:b/>
                      <w:bCs/>
                      <w:color w:val="000000" w:themeColor="text1"/>
                      <w:sz w:val="21"/>
                      <w:u w:val="none"/>
                      <w14:textFill>
                        <w14:solidFill>
                          <w14:schemeClr w14:val="tx1"/>
                        </w14:solidFill>
                      </w14:textFill>
                    </w:rPr>
                  </w:pPr>
                  <w:r>
                    <w:rPr>
                      <w:rFonts w:ascii="Times New Roman" w:hAnsi="Times New Roman"/>
                      <w:b/>
                      <w:bCs/>
                      <w:color w:val="000000" w:themeColor="text1"/>
                      <w:sz w:val="21"/>
                      <w:u w:val="none"/>
                      <w14:textFill>
                        <w14:solidFill>
                          <w14:schemeClr w14:val="tx1"/>
                        </w14:solidFill>
                      </w14:textFill>
                    </w:rPr>
                    <w:t>单 位</w:t>
                  </w:r>
                </w:p>
              </w:tc>
              <w:tc>
                <w:tcPr>
                  <w:tcW w:w="1245" w:type="dxa"/>
                  <w:tcBorders>
                    <w:tl2br w:val="nil"/>
                    <w:tr2bl w:val="nil"/>
                  </w:tcBorders>
                  <w:vAlign w:val="top"/>
                </w:tcPr>
                <w:p w14:paraId="6E6DB2E8">
                  <w:pPr>
                    <w:pStyle w:val="63"/>
                    <w:spacing w:before="24" w:after="24"/>
                    <w:rPr>
                      <w:rFonts w:ascii="Times New Roman" w:hAnsi="Times New Roman"/>
                      <w:b/>
                      <w:bCs/>
                      <w:color w:val="000000" w:themeColor="text1"/>
                      <w:sz w:val="21"/>
                      <w:u w:val="none"/>
                      <w14:textFill>
                        <w14:solidFill>
                          <w14:schemeClr w14:val="tx1"/>
                        </w14:solidFill>
                      </w14:textFill>
                    </w:rPr>
                  </w:pPr>
                  <w:r>
                    <w:rPr>
                      <w:rFonts w:ascii="Times New Roman" w:hAnsi="Times New Roman"/>
                      <w:b/>
                      <w:bCs/>
                      <w:color w:val="000000" w:themeColor="text1"/>
                      <w:sz w:val="21"/>
                      <w:u w:val="none"/>
                      <w14:textFill>
                        <w14:solidFill>
                          <w14:schemeClr w14:val="tx1"/>
                        </w14:solidFill>
                      </w14:textFill>
                    </w:rPr>
                    <w:t>数 量</w:t>
                  </w:r>
                </w:p>
              </w:tc>
            </w:tr>
            <w:tr w14:paraId="021E94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97" w:hRule="atLeast"/>
              </w:trPr>
              <w:tc>
                <w:tcPr>
                  <w:tcW w:w="1090" w:type="dxa"/>
                  <w:tcBorders>
                    <w:tl2br w:val="nil"/>
                    <w:tr2bl w:val="nil"/>
                  </w:tcBorders>
                  <w:vAlign w:val="top"/>
                </w:tcPr>
                <w:p w14:paraId="6076CF66">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1</w:t>
                  </w:r>
                </w:p>
              </w:tc>
              <w:tc>
                <w:tcPr>
                  <w:tcW w:w="2742" w:type="dxa"/>
                  <w:tcBorders>
                    <w:tl2br w:val="nil"/>
                    <w:tr2bl w:val="nil"/>
                  </w:tcBorders>
                  <w:vAlign w:val="center"/>
                </w:tcPr>
                <w:p w14:paraId="30BD8FC8">
                  <w:pPr>
                    <w:pStyle w:val="94"/>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t>履带式起重机</w:t>
                  </w:r>
                </w:p>
              </w:tc>
              <w:tc>
                <w:tcPr>
                  <w:tcW w:w="1529" w:type="dxa"/>
                  <w:tcBorders>
                    <w:tl2br w:val="nil"/>
                    <w:tr2bl w:val="nil"/>
                  </w:tcBorders>
                  <w:vAlign w:val="center"/>
                </w:tcPr>
                <w:p w14:paraId="6760A920">
                  <w:pPr>
                    <w:pStyle w:val="94"/>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hint="eastAsia" w:cs="Times New Roman"/>
                      <w:color w:val="000000" w:themeColor="text1"/>
                      <w:kern w:val="0"/>
                      <w:sz w:val="21"/>
                      <w:szCs w:val="21"/>
                      <w:u w:val="none"/>
                      <w:lang w:val="en-US" w:eastAsia="zh-CN" w:bidi="ar-SA"/>
                      <w14:textFill>
                        <w14:solidFill>
                          <w14:schemeClr w14:val="tx1"/>
                        </w14:solidFill>
                      </w14:textFill>
                    </w:rPr>
                    <w:t>12</w:t>
                  </w:r>
                  <w:r>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t>00t</w:t>
                  </w:r>
                </w:p>
              </w:tc>
              <w:tc>
                <w:tcPr>
                  <w:tcW w:w="1228" w:type="dxa"/>
                  <w:tcBorders>
                    <w:tl2br w:val="nil"/>
                    <w:tr2bl w:val="nil"/>
                  </w:tcBorders>
                  <w:vAlign w:val="center"/>
                </w:tcPr>
                <w:p w14:paraId="3110721E">
                  <w:pPr>
                    <w:pStyle w:val="94"/>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t>台</w:t>
                  </w:r>
                </w:p>
              </w:tc>
              <w:tc>
                <w:tcPr>
                  <w:tcW w:w="1245" w:type="dxa"/>
                  <w:tcBorders>
                    <w:tl2br w:val="nil"/>
                    <w:tr2bl w:val="nil"/>
                  </w:tcBorders>
                  <w:vAlign w:val="center"/>
                </w:tcPr>
                <w:p w14:paraId="0FCB62A3">
                  <w:pPr>
                    <w:pStyle w:val="94"/>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t>1</w:t>
                  </w:r>
                </w:p>
              </w:tc>
            </w:tr>
            <w:tr w14:paraId="5CEADD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97" w:hRule="atLeast"/>
              </w:trPr>
              <w:tc>
                <w:tcPr>
                  <w:tcW w:w="1090" w:type="dxa"/>
                  <w:tcBorders>
                    <w:tl2br w:val="nil"/>
                    <w:tr2bl w:val="nil"/>
                  </w:tcBorders>
                  <w:vAlign w:val="top"/>
                </w:tcPr>
                <w:p w14:paraId="46B090B3">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2</w:t>
                  </w:r>
                </w:p>
              </w:tc>
              <w:tc>
                <w:tcPr>
                  <w:tcW w:w="2742" w:type="dxa"/>
                  <w:tcBorders>
                    <w:tl2br w:val="nil"/>
                    <w:tr2bl w:val="nil"/>
                  </w:tcBorders>
                  <w:vAlign w:val="center"/>
                </w:tcPr>
                <w:p w14:paraId="0C36BBC2">
                  <w:pPr>
                    <w:pStyle w:val="94"/>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t>汽车式起重机</w:t>
                  </w:r>
                </w:p>
              </w:tc>
              <w:tc>
                <w:tcPr>
                  <w:tcW w:w="1529" w:type="dxa"/>
                  <w:tcBorders>
                    <w:tl2br w:val="nil"/>
                    <w:tr2bl w:val="nil"/>
                  </w:tcBorders>
                  <w:vAlign w:val="center"/>
                </w:tcPr>
                <w:p w14:paraId="7FE142C9">
                  <w:pPr>
                    <w:pStyle w:val="94"/>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hint="eastAsia" w:cs="Times New Roman"/>
                      <w:color w:val="000000" w:themeColor="text1"/>
                      <w:kern w:val="0"/>
                      <w:sz w:val="21"/>
                      <w:szCs w:val="21"/>
                      <w:u w:val="none"/>
                      <w:lang w:val="en-US" w:eastAsia="zh-CN" w:bidi="ar-SA"/>
                      <w14:textFill>
                        <w14:solidFill>
                          <w14:schemeClr w14:val="tx1"/>
                        </w14:solidFill>
                      </w14:textFill>
                    </w:rPr>
                    <w:t>/</w:t>
                  </w:r>
                </w:p>
              </w:tc>
              <w:tc>
                <w:tcPr>
                  <w:tcW w:w="1228" w:type="dxa"/>
                  <w:tcBorders>
                    <w:tl2br w:val="nil"/>
                    <w:tr2bl w:val="nil"/>
                  </w:tcBorders>
                  <w:vAlign w:val="center"/>
                </w:tcPr>
                <w:p w14:paraId="566BB44E">
                  <w:pPr>
                    <w:pStyle w:val="94"/>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t>台</w:t>
                  </w:r>
                </w:p>
              </w:tc>
              <w:tc>
                <w:tcPr>
                  <w:tcW w:w="1245" w:type="dxa"/>
                  <w:tcBorders>
                    <w:tl2br w:val="nil"/>
                    <w:tr2bl w:val="nil"/>
                  </w:tcBorders>
                  <w:vAlign w:val="center"/>
                </w:tcPr>
                <w:p w14:paraId="53E35217">
                  <w:pPr>
                    <w:pStyle w:val="94"/>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hint="eastAsia" w:cs="Times New Roman"/>
                      <w:color w:val="000000" w:themeColor="text1"/>
                      <w:kern w:val="0"/>
                      <w:sz w:val="21"/>
                      <w:szCs w:val="21"/>
                      <w:u w:val="none"/>
                      <w:lang w:val="en-US" w:eastAsia="zh-CN" w:bidi="ar-SA"/>
                      <w14:textFill>
                        <w14:solidFill>
                          <w14:schemeClr w14:val="tx1"/>
                        </w14:solidFill>
                      </w14:textFill>
                    </w:rPr>
                    <w:t>4</w:t>
                  </w:r>
                </w:p>
              </w:tc>
            </w:tr>
            <w:tr w14:paraId="2C5FB5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97" w:hRule="atLeast"/>
              </w:trPr>
              <w:tc>
                <w:tcPr>
                  <w:tcW w:w="1090" w:type="dxa"/>
                  <w:tcBorders>
                    <w:tl2br w:val="nil"/>
                    <w:tr2bl w:val="nil"/>
                  </w:tcBorders>
                  <w:vAlign w:val="top"/>
                </w:tcPr>
                <w:p w14:paraId="6C48CA0E">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3</w:t>
                  </w:r>
                </w:p>
              </w:tc>
              <w:tc>
                <w:tcPr>
                  <w:tcW w:w="2742" w:type="dxa"/>
                  <w:tcBorders>
                    <w:tl2br w:val="nil"/>
                    <w:tr2bl w:val="nil"/>
                  </w:tcBorders>
                  <w:vAlign w:val="center"/>
                </w:tcPr>
                <w:p w14:paraId="27AEB7EF">
                  <w:pPr>
                    <w:pStyle w:val="94"/>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t>挖掘机</w:t>
                  </w:r>
                </w:p>
              </w:tc>
              <w:tc>
                <w:tcPr>
                  <w:tcW w:w="1529" w:type="dxa"/>
                  <w:tcBorders>
                    <w:tl2br w:val="nil"/>
                    <w:tr2bl w:val="nil"/>
                  </w:tcBorders>
                  <w:vAlign w:val="center"/>
                </w:tcPr>
                <w:p w14:paraId="001694D2">
                  <w:pPr>
                    <w:pStyle w:val="94"/>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t>2m</w:t>
                  </w:r>
                  <w:r>
                    <w:rPr>
                      <w:rFonts w:ascii="Times New Roman" w:hAnsi="Times New Roman" w:eastAsia="宋体" w:cs="Times New Roman"/>
                      <w:color w:val="000000" w:themeColor="text1"/>
                      <w:kern w:val="0"/>
                      <w:sz w:val="21"/>
                      <w:szCs w:val="21"/>
                      <w:u w:val="none"/>
                      <w:vertAlign w:val="superscript"/>
                      <w:lang w:val="en-US" w:eastAsia="zh-CN" w:bidi="ar-SA"/>
                      <w14:textFill>
                        <w14:solidFill>
                          <w14:schemeClr w14:val="tx1"/>
                        </w14:solidFill>
                      </w14:textFill>
                    </w:rPr>
                    <w:t>3</w:t>
                  </w:r>
                </w:p>
              </w:tc>
              <w:tc>
                <w:tcPr>
                  <w:tcW w:w="1228" w:type="dxa"/>
                  <w:tcBorders>
                    <w:tl2br w:val="nil"/>
                    <w:tr2bl w:val="nil"/>
                  </w:tcBorders>
                  <w:vAlign w:val="center"/>
                </w:tcPr>
                <w:p w14:paraId="5E27A97A">
                  <w:pPr>
                    <w:pStyle w:val="94"/>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t>台</w:t>
                  </w:r>
                </w:p>
              </w:tc>
              <w:tc>
                <w:tcPr>
                  <w:tcW w:w="1245" w:type="dxa"/>
                  <w:tcBorders>
                    <w:tl2br w:val="nil"/>
                    <w:tr2bl w:val="nil"/>
                  </w:tcBorders>
                  <w:vAlign w:val="center"/>
                </w:tcPr>
                <w:p w14:paraId="62BD4F06">
                  <w:pPr>
                    <w:pStyle w:val="94"/>
                    <w:rPr>
                      <w:rFonts w:hint="eastAsia"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t>12</w:t>
                  </w:r>
                </w:p>
              </w:tc>
            </w:tr>
            <w:tr w14:paraId="1F6E5A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97" w:hRule="atLeast"/>
              </w:trPr>
              <w:tc>
                <w:tcPr>
                  <w:tcW w:w="1090" w:type="dxa"/>
                  <w:tcBorders>
                    <w:tl2br w:val="nil"/>
                    <w:tr2bl w:val="nil"/>
                  </w:tcBorders>
                  <w:vAlign w:val="top"/>
                </w:tcPr>
                <w:p w14:paraId="4954BBCD">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4</w:t>
                  </w:r>
                </w:p>
              </w:tc>
              <w:tc>
                <w:tcPr>
                  <w:tcW w:w="2742" w:type="dxa"/>
                  <w:tcBorders>
                    <w:tl2br w:val="nil"/>
                    <w:tr2bl w:val="nil"/>
                  </w:tcBorders>
                  <w:vAlign w:val="center"/>
                </w:tcPr>
                <w:p w14:paraId="53D790C0">
                  <w:pPr>
                    <w:pStyle w:val="94"/>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t>装载机</w:t>
                  </w:r>
                </w:p>
              </w:tc>
              <w:tc>
                <w:tcPr>
                  <w:tcW w:w="1529" w:type="dxa"/>
                  <w:tcBorders>
                    <w:tl2br w:val="nil"/>
                    <w:tr2bl w:val="nil"/>
                  </w:tcBorders>
                  <w:vAlign w:val="center"/>
                </w:tcPr>
                <w:p w14:paraId="3E2D6CE7">
                  <w:pPr>
                    <w:pStyle w:val="94"/>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t>2m</w:t>
                  </w:r>
                  <w:r>
                    <w:rPr>
                      <w:rFonts w:ascii="Times New Roman" w:hAnsi="Times New Roman" w:eastAsia="宋体" w:cs="Times New Roman"/>
                      <w:color w:val="000000" w:themeColor="text1"/>
                      <w:kern w:val="0"/>
                      <w:sz w:val="21"/>
                      <w:szCs w:val="21"/>
                      <w:u w:val="none"/>
                      <w:vertAlign w:val="superscript"/>
                      <w:lang w:val="en-US" w:eastAsia="zh-CN" w:bidi="ar-SA"/>
                      <w14:textFill>
                        <w14:solidFill>
                          <w14:schemeClr w14:val="tx1"/>
                        </w14:solidFill>
                      </w14:textFill>
                    </w:rPr>
                    <w:t>3</w:t>
                  </w:r>
                </w:p>
              </w:tc>
              <w:tc>
                <w:tcPr>
                  <w:tcW w:w="1228" w:type="dxa"/>
                  <w:tcBorders>
                    <w:tl2br w:val="nil"/>
                    <w:tr2bl w:val="nil"/>
                  </w:tcBorders>
                  <w:vAlign w:val="center"/>
                </w:tcPr>
                <w:p w14:paraId="3DBFA79F">
                  <w:pPr>
                    <w:pStyle w:val="94"/>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t>台</w:t>
                  </w:r>
                </w:p>
              </w:tc>
              <w:tc>
                <w:tcPr>
                  <w:tcW w:w="1245" w:type="dxa"/>
                  <w:tcBorders>
                    <w:tl2br w:val="nil"/>
                    <w:tr2bl w:val="nil"/>
                  </w:tcBorders>
                  <w:vAlign w:val="center"/>
                </w:tcPr>
                <w:p w14:paraId="3F9F2646">
                  <w:pPr>
                    <w:pStyle w:val="94"/>
                    <w:rPr>
                      <w:rFonts w:hint="eastAsia"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t>4</w:t>
                  </w:r>
                </w:p>
              </w:tc>
            </w:tr>
            <w:tr w14:paraId="7945CF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97" w:hRule="atLeast"/>
              </w:trPr>
              <w:tc>
                <w:tcPr>
                  <w:tcW w:w="1090" w:type="dxa"/>
                  <w:tcBorders>
                    <w:tl2br w:val="nil"/>
                    <w:tr2bl w:val="nil"/>
                  </w:tcBorders>
                  <w:vAlign w:val="top"/>
                </w:tcPr>
                <w:p w14:paraId="5842A1EA">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5</w:t>
                  </w:r>
                </w:p>
              </w:tc>
              <w:tc>
                <w:tcPr>
                  <w:tcW w:w="2742" w:type="dxa"/>
                  <w:tcBorders>
                    <w:tl2br w:val="nil"/>
                    <w:tr2bl w:val="nil"/>
                  </w:tcBorders>
                  <w:vAlign w:val="center"/>
                </w:tcPr>
                <w:p w14:paraId="0D1B9263">
                  <w:pPr>
                    <w:pStyle w:val="94"/>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t>混凝土运输搅拌车</w:t>
                  </w:r>
                </w:p>
              </w:tc>
              <w:tc>
                <w:tcPr>
                  <w:tcW w:w="1529" w:type="dxa"/>
                  <w:tcBorders>
                    <w:tl2br w:val="nil"/>
                    <w:tr2bl w:val="nil"/>
                  </w:tcBorders>
                  <w:vAlign w:val="center"/>
                </w:tcPr>
                <w:p w14:paraId="0DD7AAF5">
                  <w:pPr>
                    <w:pStyle w:val="94"/>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t>8m</w:t>
                  </w:r>
                  <w:r>
                    <w:rPr>
                      <w:rFonts w:ascii="Times New Roman" w:hAnsi="Times New Roman" w:eastAsia="宋体" w:cs="Times New Roman"/>
                      <w:color w:val="000000" w:themeColor="text1"/>
                      <w:kern w:val="0"/>
                      <w:sz w:val="21"/>
                      <w:szCs w:val="21"/>
                      <w:u w:val="none"/>
                      <w:vertAlign w:val="superscript"/>
                      <w:lang w:val="en-US" w:eastAsia="zh-CN" w:bidi="ar-SA"/>
                      <w14:textFill>
                        <w14:solidFill>
                          <w14:schemeClr w14:val="tx1"/>
                        </w14:solidFill>
                      </w14:textFill>
                    </w:rPr>
                    <w:t>3</w:t>
                  </w:r>
                </w:p>
              </w:tc>
              <w:tc>
                <w:tcPr>
                  <w:tcW w:w="1228" w:type="dxa"/>
                  <w:tcBorders>
                    <w:tl2br w:val="nil"/>
                    <w:tr2bl w:val="nil"/>
                  </w:tcBorders>
                  <w:vAlign w:val="center"/>
                </w:tcPr>
                <w:p w14:paraId="6B4E6CBF">
                  <w:pPr>
                    <w:pStyle w:val="94"/>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t>辆</w:t>
                  </w:r>
                </w:p>
              </w:tc>
              <w:tc>
                <w:tcPr>
                  <w:tcW w:w="1245" w:type="dxa"/>
                  <w:tcBorders>
                    <w:tl2br w:val="nil"/>
                    <w:tr2bl w:val="nil"/>
                  </w:tcBorders>
                  <w:vAlign w:val="center"/>
                </w:tcPr>
                <w:p w14:paraId="5BDFB538">
                  <w:pPr>
                    <w:pStyle w:val="94"/>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t>20</w:t>
                  </w:r>
                </w:p>
              </w:tc>
            </w:tr>
            <w:tr w14:paraId="35BB66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97" w:hRule="atLeast"/>
              </w:trPr>
              <w:tc>
                <w:tcPr>
                  <w:tcW w:w="1090" w:type="dxa"/>
                  <w:tcBorders>
                    <w:tl2br w:val="nil"/>
                    <w:tr2bl w:val="nil"/>
                  </w:tcBorders>
                  <w:vAlign w:val="top"/>
                </w:tcPr>
                <w:p w14:paraId="2CE88E9F">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6</w:t>
                  </w:r>
                </w:p>
              </w:tc>
              <w:tc>
                <w:tcPr>
                  <w:tcW w:w="2742" w:type="dxa"/>
                  <w:tcBorders>
                    <w:tl2br w:val="nil"/>
                    <w:tr2bl w:val="nil"/>
                  </w:tcBorders>
                  <w:vAlign w:val="center"/>
                </w:tcPr>
                <w:p w14:paraId="218A834F">
                  <w:pPr>
                    <w:pStyle w:val="94"/>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t>混凝土泵</w:t>
                  </w:r>
                </w:p>
              </w:tc>
              <w:tc>
                <w:tcPr>
                  <w:tcW w:w="1529" w:type="dxa"/>
                  <w:tcBorders>
                    <w:tl2br w:val="nil"/>
                    <w:tr2bl w:val="nil"/>
                  </w:tcBorders>
                  <w:vAlign w:val="center"/>
                </w:tcPr>
                <w:p w14:paraId="6DD99DFE">
                  <w:pPr>
                    <w:pStyle w:val="94"/>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p>
              </w:tc>
              <w:tc>
                <w:tcPr>
                  <w:tcW w:w="1228" w:type="dxa"/>
                  <w:tcBorders>
                    <w:tl2br w:val="nil"/>
                    <w:tr2bl w:val="nil"/>
                  </w:tcBorders>
                  <w:vAlign w:val="center"/>
                </w:tcPr>
                <w:p w14:paraId="1A06942A">
                  <w:pPr>
                    <w:pStyle w:val="94"/>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t>套</w:t>
                  </w:r>
                </w:p>
              </w:tc>
              <w:tc>
                <w:tcPr>
                  <w:tcW w:w="1245" w:type="dxa"/>
                  <w:tcBorders>
                    <w:tl2br w:val="nil"/>
                    <w:tr2bl w:val="nil"/>
                  </w:tcBorders>
                  <w:vAlign w:val="center"/>
                </w:tcPr>
                <w:p w14:paraId="3E24B563">
                  <w:pPr>
                    <w:pStyle w:val="94"/>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t>4</w:t>
                  </w:r>
                </w:p>
              </w:tc>
            </w:tr>
            <w:tr w14:paraId="74F69A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PrEx>
              <w:trPr>
                <w:trHeight w:val="397" w:hRule="atLeast"/>
              </w:trPr>
              <w:tc>
                <w:tcPr>
                  <w:tcW w:w="1090" w:type="dxa"/>
                  <w:tcBorders>
                    <w:tl2br w:val="nil"/>
                    <w:tr2bl w:val="nil"/>
                  </w:tcBorders>
                  <w:vAlign w:val="top"/>
                </w:tcPr>
                <w:p w14:paraId="7CA2D96A">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7</w:t>
                  </w:r>
                </w:p>
              </w:tc>
              <w:tc>
                <w:tcPr>
                  <w:tcW w:w="2742" w:type="dxa"/>
                  <w:tcBorders>
                    <w:tl2br w:val="nil"/>
                    <w:tr2bl w:val="nil"/>
                  </w:tcBorders>
                  <w:vAlign w:val="center"/>
                </w:tcPr>
                <w:p w14:paraId="0FF2A4D9">
                  <w:pPr>
                    <w:pStyle w:val="94"/>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t>插入式振捣器</w:t>
                  </w:r>
                </w:p>
              </w:tc>
              <w:tc>
                <w:tcPr>
                  <w:tcW w:w="1529" w:type="dxa"/>
                  <w:tcBorders>
                    <w:tl2br w:val="nil"/>
                    <w:tr2bl w:val="nil"/>
                  </w:tcBorders>
                  <w:vAlign w:val="center"/>
                </w:tcPr>
                <w:p w14:paraId="5761D118">
                  <w:pPr>
                    <w:pStyle w:val="94"/>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t>CZ-25/35</w:t>
                  </w:r>
                </w:p>
              </w:tc>
              <w:tc>
                <w:tcPr>
                  <w:tcW w:w="1228" w:type="dxa"/>
                  <w:tcBorders>
                    <w:tl2br w:val="nil"/>
                    <w:tr2bl w:val="nil"/>
                  </w:tcBorders>
                  <w:vAlign w:val="center"/>
                </w:tcPr>
                <w:p w14:paraId="72853269">
                  <w:pPr>
                    <w:pStyle w:val="94"/>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t>个</w:t>
                  </w:r>
                </w:p>
              </w:tc>
              <w:tc>
                <w:tcPr>
                  <w:tcW w:w="1245" w:type="dxa"/>
                  <w:tcBorders>
                    <w:tl2br w:val="nil"/>
                    <w:tr2bl w:val="nil"/>
                  </w:tcBorders>
                  <w:vAlign w:val="center"/>
                </w:tcPr>
                <w:p w14:paraId="70D54FCA">
                  <w:pPr>
                    <w:pStyle w:val="94"/>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t>12</w:t>
                  </w:r>
                </w:p>
              </w:tc>
            </w:tr>
            <w:tr w14:paraId="7783D7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97" w:hRule="atLeast"/>
              </w:trPr>
              <w:tc>
                <w:tcPr>
                  <w:tcW w:w="1090" w:type="dxa"/>
                  <w:tcBorders>
                    <w:tl2br w:val="nil"/>
                    <w:tr2bl w:val="nil"/>
                  </w:tcBorders>
                  <w:vAlign w:val="top"/>
                </w:tcPr>
                <w:p w14:paraId="4D3C4FF3">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8</w:t>
                  </w:r>
                </w:p>
              </w:tc>
              <w:tc>
                <w:tcPr>
                  <w:tcW w:w="2742" w:type="dxa"/>
                  <w:tcBorders>
                    <w:tl2br w:val="nil"/>
                    <w:tr2bl w:val="nil"/>
                  </w:tcBorders>
                  <w:vAlign w:val="center"/>
                </w:tcPr>
                <w:p w14:paraId="39836F4A">
                  <w:pPr>
                    <w:pStyle w:val="94"/>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t>自卸汽车</w:t>
                  </w:r>
                </w:p>
              </w:tc>
              <w:tc>
                <w:tcPr>
                  <w:tcW w:w="1529" w:type="dxa"/>
                  <w:tcBorders>
                    <w:tl2br w:val="nil"/>
                    <w:tr2bl w:val="nil"/>
                  </w:tcBorders>
                  <w:vAlign w:val="center"/>
                </w:tcPr>
                <w:p w14:paraId="34062288">
                  <w:pPr>
                    <w:pStyle w:val="94"/>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t>20t</w:t>
                  </w:r>
                </w:p>
              </w:tc>
              <w:tc>
                <w:tcPr>
                  <w:tcW w:w="1228" w:type="dxa"/>
                  <w:tcBorders>
                    <w:tl2br w:val="nil"/>
                    <w:tr2bl w:val="nil"/>
                  </w:tcBorders>
                  <w:vAlign w:val="center"/>
                </w:tcPr>
                <w:p w14:paraId="5E224183">
                  <w:pPr>
                    <w:pStyle w:val="94"/>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t>辆</w:t>
                  </w:r>
                </w:p>
              </w:tc>
              <w:tc>
                <w:tcPr>
                  <w:tcW w:w="1245" w:type="dxa"/>
                  <w:tcBorders>
                    <w:tl2br w:val="nil"/>
                    <w:tr2bl w:val="nil"/>
                  </w:tcBorders>
                  <w:vAlign w:val="center"/>
                </w:tcPr>
                <w:p w14:paraId="32B2FCDD">
                  <w:pPr>
                    <w:pStyle w:val="94"/>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t>14</w:t>
                  </w:r>
                </w:p>
              </w:tc>
            </w:tr>
            <w:tr w14:paraId="5C172C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PrEx>
              <w:trPr>
                <w:trHeight w:val="397" w:hRule="atLeast"/>
              </w:trPr>
              <w:tc>
                <w:tcPr>
                  <w:tcW w:w="1090" w:type="dxa"/>
                  <w:tcBorders>
                    <w:tl2br w:val="nil"/>
                    <w:tr2bl w:val="nil"/>
                  </w:tcBorders>
                  <w:vAlign w:val="top"/>
                </w:tcPr>
                <w:p w14:paraId="4865B59A">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9</w:t>
                  </w:r>
                </w:p>
              </w:tc>
              <w:tc>
                <w:tcPr>
                  <w:tcW w:w="2742" w:type="dxa"/>
                  <w:tcBorders>
                    <w:tl2br w:val="nil"/>
                    <w:tr2bl w:val="nil"/>
                  </w:tcBorders>
                  <w:vAlign w:val="center"/>
                </w:tcPr>
                <w:p w14:paraId="301E104D">
                  <w:pPr>
                    <w:pStyle w:val="94"/>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t>载重汽车</w:t>
                  </w:r>
                </w:p>
              </w:tc>
              <w:tc>
                <w:tcPr>
                  <w:tcW w:w="1529" w:type="dxa"/>
                  <w:tcBorders>
                    <w:tl2br w:val="nil"/>
                    <w:tr2bl w:val="nil"/>
                  </w:tcBorders>
                  <w:vAlign w:val="center"/>
                </w:tcPr>
                <w:p w14:paraId="2C6D9BBF">
                  <w:pPr>
                    <w:pStyle w:val="94"/>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t>15t</w:t>
                  </w:r>
                </w:p>
              </w:tc>
              <w:tc>
                <w:tcPr>
                  <w:tcW w:w="1228" w:type="dxa"/>
                  <w:tcBorders>
                    <w:tl2br w:val="nil"/>
                    <w:tr2bl w:val="nil"/>
                  </w:tcBorders>
                  <w:vAlign w:val="center"/>
                </w:tcPr>
                <w:p w14:paraId="38CF5AA2">
                  <w:pPr>
                    <w:pStyle w:val="94"/>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t>辆</w:t>
                  </w:r>
                </w:p>
              </w:tc>
              <w:tc>
                <w:tcPr>
                  <w:tcW w:w="1245" w:type="dxa"/>
                  <w:tcBorders>
                    <w:tl2br w:val="nil"/>
                    <w:tr2bl w:val="nil"/>
                  </w:tcBorders>
                  <w:vAlign w:val="center"/>
                </w:tcPr>
                <w:p w14:paraId="78CADB0C">
                  <w:pPr>
                    <w:pStyle w:val="94"/>
                    <w:rPr>
                      <w:rFonts w:hint="eastAsia"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t>4</w:t>
                  </w:r>
                </w:p>
              </w:tc>
            </w:tr>
            <w:tr w14:paraId="051895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97" w:hRule="atLeast"/>
              </w:trPr>
              <w:tc>
                <w:tcPr>
                  <w:tcW w:w="1090" w:type="dxa"/>
                  <w:tcBorders>
                    <w:tl2br w:val="nil"/>
                    <w:tr2bl w:val="nil"/>
                  </w:tcBorders>
                  <w:vAlign w:val="top"/>
                </w:tcPr>
                <w:p w14:paraId="1A6282E5">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10</w:t>
                  </w:r>
                </w:p>
              </w:tc>
              <w:tc>
                <w:tcPr>
                  <w:tcW w:w="2742" w:type="dxa"/>
                  <w:tcBorders>
                    <w:tl2br w:val="nil"/>
                    <w:tr2bl w:val="nil"/>
                  </w:tcBorders>
                  <w:vAlign w:val="center"/>
                </w:tcPr>
                <w:p w14:paraId="450B8BC4">
                  <w:pPr>
                    <w:pStyle w:val="94"/>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t>内燃压路机</w:t>
                  </w:r>
                </w:p>
              </w:tc>
              <w:tc>
                <w:tcPr>
                  <w:tcW w:w="1529" w:type="dxa"/>
                  <w:tcBorders>
                    <w:tl2br w:val="nil"/>
                    <w:tr2bl w:val="nil"/>
                  </w:tcBorders>
                  <w:vAlign w:val="center"/>
                </w:tcPr>
                <w:p w14:paraId="34E0A47A">
                  <w:pPr>
                    <w:pStyle w:val="94"/>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t>15t</w:t>
                  </w:r>
                </w:p>
              </w:tc>
              <w:tc>
                <w:tcPr>
                  <w:tcW w:w="1228" w:type="dxa"/>
                  <w:tcBorders>
                    <w:tl2br w:val="nil"/>
                    <w:tr2bl w:val="nil"/>
                  </w:tcBorders>
                  <w:vAlign w:val="center"/>
                </w:tcPr>
                <w:p w14:paraId="3C3140E9">
                  <w:pPr>
                    <w:pStyle w:val="94"/>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t>辆</w:t>
                  </w:r>
                </w:p>
              </w:tc>
              <w:tc>
                <w:tcPr>
                  <w:tcW w:w="1245" w:type="dxa"/>
                  <w:tcBorders>
                    <w:tl2br w:val="nil"/>
                    <w:tr2bl w:val="nil"/>
                  </w:tcBorders>
                  <w:vAlign w:val="center"/>
                </w:tcPr>
                <w:p w14:paraId="65E7A8CC">
                  <w:pPr>
                    <w:pStyle w:val="94"/>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t>1</w:t>
                  </w:r>
                </w:p>
              </w:tc>
            </w:tr>
            <w:tr w14:paraId="464A76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97" w:hRule="atLeast"/>
              </w:trPr>
              <w:tc>
                <w:tcPr>
                  <w:tcW w:w="1090" w:type="dxa"/>
                  <w:tcBorders>
                    <w:tl2br w:val="nil"/>
                    <w:tr2bl w:val="nil"/>
                  </w:tcBorders>
                  <w:vAlign w:val="top"/>
                </w:tcPr>
                <w:p w14:paraId="1B6DA7CA">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11</w:t>
                  </w:r>
                </w:p>
              </w:tc>
              <w:tc>
                <w:tcPr>
                  <w:tcW w:w="2742" w:type="dxa"/>
                  <w:tcBorders>
                    <w:tl2br w:val="nil"/>
                    <w:tr2bl w:val="nil"/>
                  </w:tcBorders>
                  <w:vAlign w:val="center"/>
                </w:tcPr>
                <w:p w14:paraId="4120FF73">
                  <w:pPr>
                    <w:pStyle w:val="94"/>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t>水车</w:t>
                  </w:r>
                </w:p>
              </w:tc>
              <w:tc>
                <w:tcPr>
                  <w:tcW w:w="1529" w:type="dxa"/>
                  <w:tcBorders>
                    <w:tl2br w:val="nil"/>
                    <w:tr2bl w:val="nil"/>
                  </w:tcBorders>
                  <w:vAlign w:val="center"/>
                </w:tcPr>
                <w:p w14:paraId="47BD3514">
                  <w:pPr>
                    <w:pStyle w:val="94"/>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t>8m3</w:t>
                  </w:r>
                </w:p>
              </w:tc>
              <w:tc>
                <w:tcPr>
                  <w:tcW w:w="1228" w:type="dxa"/>
                  <w:tcBorders>
                    <w:tl2br w:val="nil"/>
                    <w:tr2bl w:val="nil"/>
                  </w:tcBorders>
                  <w:vAlign w:val="center"/>
                </w:tcPr>
                <w:p w14:paraId="3C93849B">
                  <w:pPr>
                    <w:pStyle w:val="94"/>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t>辆</w:t>
                  </w:r>
                </w:p>
              </w:tc>
              <w:tc>
                <w:tcPr>
                  <w:tcW w:w="1245" w:type="dxa"/>
                  <w:tcBorders>
                    <w:tl2br w:val="nil"/>
                    <w:tr2bl w:val="nil"/>
                  </w:tcBorders>
                  <w:vAlign w:val="center"/>
                </w:tcPr>
                <w:p w14:paraId="08E5923E">
                  <w:pPr>
                    <w:pStyle w:val="94"/>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t>1</w:t>
                  </w:r>
                </w:p>
              </w:tc>
            </w:tr>
            <w:tr w14:paraId="5B0FA7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97" w:hRule="atLeast"/>
              </w:trPr>
              <w:tc>
                <w:tcPr>
                  <w:tcW w:w="1090" w:type="dxa"/>
                  <w:tcBorders>
                    <w:tl2br w:val="nil"/>
                    <w:tr2bl w:val="nil"/>
                  </w:tcBorders>
                  <w:vAlign w:val="top"/>
                </w:tcPr>
                <w:p w14:paraId="290BA629">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12</w:t>
                  </w:r>
                </w:p>
              </w:tc>
              <w:tc>
                <w:tcPr>
                  <w:tcW w:w="2742" w:type="dxa"/>
                  <w:tcBorders>
                    <w:tl2br w:val="nil"/>
                    <w:tr2bl w:val="nil"/>
                  </w:tcBorders>
                  <w:vAlign w:val="center"/>
                </w:tcPr>
                <w:p w14:paraId="6B41A4CD">
                  <w:pPr>
                    <w:pStyle w:val="94"/>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t>洒水车</w:t>
                  </w:r>
                </w:p>
              </w:tc>
              <w:tc>
                <w:tcPr>
                  <w:tcW w:w="1529" w:type="dxa"/>
                  <w:tcBorders>
                    <w:tl2br w:val="nil"/>
                    <w:tr2bl w:val="nil"/>
                  </w:tcBorders>
                  <w:vAlign w:val="center"/>
                </w:tcPr>
                <w:p w14:paraId="0566080E">
                  <w:pPr>
                    <w:pStyle w:val="94"/>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p>
              </w:tc>
              <w:tc>
                <w:tcPr>
                  <w:tcW w:w="1228" w:type="dxa"/>
                  <w:tcBorders>
                    <w:tl2br w:val="nil"/>
                    <w:tr2bl w:val="nil"/>
                  </w:tcBorders>
                  <w:vAlign w:val="center"/>
                </w:tcPr>
                <w:p w14:paraId="5C842AE1">
                  <w:pPr>
                    <w:pStyle w:val="94"/>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t>辆</w:t>
                  </w:r>
                </w:p>
              </w:tc>
              <w:tc>
                <w:tcPr>
                  <w:tcW w:w="1245" w:type="dxa"/>
                  <w:tcBorders>
                    <w:tl2br w:val="nil"/>
                    <w:tr2bl w:val="nil"/>
                  </w:tcBorders>
                  <w:vAlign w:val="center"/>
                </w:tcPr>
                <w:p w14:paraId="27513392">
                  <w:pPr>
                    <w:pStyle w:val="94"/>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t>1</w:t>
                  </w:r>
                </w:p>
              </w:tc>
            </w:tr>
            <w:tr w14:paraId="4DBD17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97" w:hRule="atLeast"/>
              </w:trPr>
              <w:tc>
                <w:tcPr>
                  <w:tcW w:w="1090" w:type="dxa"/>
                  <w:tcBorders>
                    <w:tl2br w:val="nil"/>
                    <w:tr2bl w:val="nil"/>
                  </w:tcBorders>
                  <w:vAlign w:val="top"/>
                </w:tcPr>
                <w:p w14:paraId="4F6FB24F">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13</w:t>
                  </w:r>
                </w:p>
              </w:tc>
              <w:tc>
                <w:tcPr>
                  <w:tcW w:w="2742" w:type="dxa"/>
                  <w:tcBorders>
                    <w:tl2br w:val="nil"/>
                    <w:tr2bl w:val="nil"/>
                  </w:tcBorders>
                  <w:vAlign w:val="center"/>
                </w:tcPr>
                <w:p w14:paraId="3089887C">
                  <w:pPr>
                    <w:pStyle w:val="94"/>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t>特种运输车</w:t>
                  </w:r>
                </w:p>
              </w:tc>
              <w:tc>
                <w:tcPr>
                  <w:tcW w:w="1529" w:type="dxa"/>
                  <w:tcBorders>
                    <w:tl2br w:val="nil"/>
                    <w:tr2bl w:val="nil"/>
                  </w:tcBorders>
                  <w:vAlign w:val="center"/>
                </w:tcPr>
                <w:p w14:paraId="43F72D81">
                  <w:pPr>
                    <w:pStyle w:val="94"/>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t>SSG840</w:t>
                  </w:r>
                </w:p>
              </w:tc>
              <w:tc>
                <w:tcPr>
                  <w:tcW w:w="1228" w:type="dxa"/>
                  <w:tcBorders>
                    <w:tl2br w:val="nil"/>
                    <w:tr2bl w:val="nil"/>
                  </w:tcBorders>
                  <w:vAlign w:val="center"/>
                </w:tcPr>
                <w:p w14:paraId="1BA10B42">
                  <w:pPr>
                    <w:pStyle w:val="94"/>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t>套</w:t>
                  </w:r>
                </w:p>
              </w:tc>
              <w:tc>
                <w:tcPr>
                  <w:tcW w:w="1245" w:type="dxa"/>
                  <w:tcBorders>
                    <w:tl2br w:val="nil"/>
                    <w:tr2bl w:val="nil"/>
                  </w:tcBorders>
                  <w:vAlign w:val="center"/>
                </w:tcPr>
                <w:p w14:paraId="050CFB28">
                  <w:pPr>
                    <w:pStyle w:val="94"/>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t>1</w:t>
                  </w:r>
                </w:p>
              </w:tc>
            </w:tr>
            <w:tr w14:paraId="7BB023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97" w:hRule="atLeast"/>
              </w:trPr>
              <w:tc>
                <w:tcPr>
                  <w:tcW w:w="1090" w:type="dxa"/>
                  <w:tcBorders>
                    <w:tl2br w:val="nil"/>
                    <w:tr2bl w:val="nil"/>
                  </w:tcBorders>
                  <w:vAlign w:val="top"/>
                </w:tcPr>
                <w:p w14:paraId="5FF492D8">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15</w:t>
                  </w:r>
                </w:p>
              </w:tc>
              <w:tc>
                <w:tcPr>
                  <w:tcW w:w="2742" w:type="dxa"/>
                  <w:tcBorders>
                    <w:tl2br w:val="nil"/>
                    <w:tr2bl w:val="nil"/>
                  </w:tcBorders>
                  <w:vAlign w:val="center"/>
                </w:tcPr>
                <w:p w14:paraId="7F82C34A">
                  <w:pPr>
                    <w:pStyle w:val="94"/>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t>柴油发电机</w:t>
                  </w:r>
                </w:p>
              </w:tc>
              <w:tc>
                <w:tcPr>
                  <w:tcW w:w="1529" w:type="dxa"/>
                  <w:tcBorders>
                    <w:tl2br w:val="nil"/>
                    <w:tr2bl w:val="nil"/>
                  </w:tcBorders>
                  <w:vAlign w:val="center"/>
                </w:tcPr>
                <w:p w14:paraId="6FF39796">
                  <w:pPr>
                    <w:pStyle w:val="94"/>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t>50 kW</w:t>
                  </w:r>
                </w:p>
              </w:tc>
              <w:tc>
                <w:tcPr>
                  <w:tcW w:w="1228" w:type="dxa"/>
                  <w:tcBorders>
                    <w:tl2br w:val="nil"/>
                    <w:tr2bl w:val="nil"/>
                  </w:tcBorders>
                  <w:vAlign w:val="center"/>
                </w:tcPr>
                <w:p w14:paraId="4B49F327">
                  <w:pPr>
                    <w:pStyle w:val="94"/>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t>台</w:t>
                  </w:r>
                </w:p>
              </w:tc>
              <w:tc>
                <w:tcPr>
                  <w:tcW w:w="1245" w:type="dxa"/>
                  <w:tcBorders>
                    <w:tl2br w:val="nil"/>
                    <w:tr2bl w:val="nil"/>
                  </w:tcBorders>
                  <w:vAlign w:val="center"/>
                </w:tcPr>
                <w:p w14:paraId="799BCC1E">
                  <w:pPr>
                    <w:pStyle w:val="94"/>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t>2</w:t>
                  </w:r>
                </w:p>
              </w:tc>
            </w:tr>
            <w:tr w14:paraId="6646D5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97" w:hRule="atLeast"/>
              </w:trPr>
              <w:tc>
                <w:tcPr>
                  <w:tcW w:w="1090" w:type="dxa"/>
                  <w:tcBorders>
                    <w:tl2br w:val="nil"/>
                    <w:tr2bl w:val="nil"/>
                  </w:tcBorders>
                  <w:vAlign w:val="top"/>
                </w:tcPr>
                <w:p w14:paraId="423FAF63">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16</w:t>
                  </w:r>
                </w:p>
              </w:tc>
              <w:tc>
                <w:tcPr>
                  <w:tcW w:w="2742" w:type="dxa"/>
                  <w:tcBorders>
                    <w:tl2br w:val="nil"/>
                    <w:tr2bl w:val="nil"/>
                  </w:tcBorders>
                  <w:vAlign w:val="center"/>
                </w:tcPr>
                <w:p w14:paraId="6E5028C5">
                  <w:pPr>
                    <w:pStyle w:val="94"/>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t>钢筋调直机</w:t>
                  </w:r>
                </w:p>
              </w:tc>
              <w:tc>
                <w:tcPr>
                  <w:tcW w:w="1529" w:type="dxa"/>
                  <w:tcBorders>
                    <w:tl2br w:val="nil"/>
                    <w:tr2bl w:val="nil"/>
                  </w:tcBorders>
                  <w:vAlign w:val="center"/>
                </w:tcPr>
                <w:p w14:paraId="43FCF0AD">
                  <w:pPr>
                    <w:pStyle w:val="94"/>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t>Φ14内</w:t>
                  </w:r>
                </w:p>
              </w:tc>
              <w:tc>
                <w:tcPr>
                  <w:tcW w:w="1228" w:type="dxa"/>
                  <w:tcBorders>
                    <w:tl2br w:val="nil"/>
                    <w:tr2bl w:val="nil"/>
                  </w:tcBorders>
                  <w:vAlign w:val="center"/>
                </w:tcPr>
                <w:p w14:paraId="1D7C3CF6">
                  <w:pPr>
                    <w:pStyle w:val="94"/>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t>台</w:t>
                  </w:r>
                </w:p>
              </w:tc>
              <w:tc>
                <w:tcPr>
                  <w:tcW w:w="1245" w:type="dxa"/>
                  <w:tcBorders>
                    <w:tl2br w:val="nil"/>
                    <w:tr2bl w:val="nil"/>
                  </w:tcBorders>
                  <w:vAlign w:val="center"/>
                </w:tcPr>
                <w:p w14:paraId="2FC39E77">
                  <w:pPr>
                    <w:pStyle w:val="94"/>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t>1</w:t>
                  </w:r>
                </w:p>
              </w:tc>
            </w:tr>
            <w:tr w14:paraId="68005A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97" w:hRule="atLeast"/>
              </w:trPr>
              <w:tc>
                <w:tcPr>
                  <w:tcW w:w="1090" w:type="dxa"/>
                  <w:tcBorders>
                    <w:tl2br w:val="nil"/>
                    <w:tr2bl w:val="nil"/>
                  </w:tcBorders>
                  <w:vAlign w:val="top"/>
                </w:tcPr>
                <w:p w14:paraId="3FB15361">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17</w:t>
                  </w:r>
                </w:p>
              </w:tc>
              <w:tc>
                <w:tcPr>
                  <w:tcW w:w="2742" w:type="dxa"/>
                  <w:tcBorders>
                    <w:tl2br w:val="nil"/>
                    <w:tr2bl w:val="nil"/>
                  </w:tcBorders>
                  <w:vAlign w:val="center"/>
                </w:tcPr>
                <w:p w14:paraId="10CEBA39">
                  <w:pPr>
                    <w:pStyle w:val="94"/>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t>钢筋切断机</w:t>
                  </w:r>
                </w:p>
              </w:tc>
              <w:tc>
                <w:tcPr>
                  <w:tcW w:w="1529" w:type="dxa"/>
                  <w:tcBorders>
                    <w:tl2br w:val="nil"/>
                    <w:tr2bl w:val="nil"/>
                  </w:tcBorders>
                  <w:vAlign w:val="center"/>
                </w:tcPr>
                <w:p w14:paraId="1F466125">
                  <w:pPr>
                    <w:pStyle w:val="94"/>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t>Φ40内</w:t>
                  </w:r>
                </w:p>
              </w:tc>
              <w:tc>
                <w:tcPr>
                  <w:tcW w:w="1228" w:type="dxa"/>
                  <w:tcBorders>
                    <w:tl2br w:val="nil"/>
                    <w:tr2bl w:val="nil"/>
                  </w:tcBorders>
                  <w:vAlign w:val="center"/>
                </w:tcPr>
                <w:p w14:paraId="14D2110C">
                  <w:pPr>
                    <w:pStyle w:val="94"/>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t>台</w:t>
                  </w:r>
                </w:p>
              </w:tc>
              <w:tc>
                <w:tcPr>
                  <w:tcW w:w="1245" w:type="dxa"/>
                  <w:tcBorders>
                    <w:tl2br w:val="nil"/>
                    <w:tr2bl w:val="nil"/>
                  </w:tcBorders>
                  <w:vAlign w:val="center"/>
                </w:tcPr>
                <w:p w14:paraId="59989671">
                  <w:pPr>
                    <w:pStyle w:val="94"/>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t>1</w:t>
                  </w:r>
                </w:p>
              </w:tc>
            </w:tr>
            <w:tr w14:paraId="5E5837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97" w:hRule="atLeast"/>
              </w:trPr>
              <w:tc>
                <w:tcPr>
                  <w:tcW w:w="1090" w:type="dxa"/>
                  <w:tcBorders>
                    <w:tl2br w:val="nil"/>
                    <w:tr2bl w:val="nil"/>
                  </w:tcBorders>
                  <w:vAlign w:val="top"/>
                </w:tcPr>
                <w:p w14:paraId="299618A0">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18</w:t>
                  </w:r>
                </w:p>
              </w:tc>
              <w:tc>
                <w:tcPr>
                  <w:tcW w:w="2742" w:type="dxa"/>
                  <w:tcBorders>
                    <w:tl2br w:val="nil"/>
                    <w:tr2bl w:val="nil"/>
                  </w:tcBorders>
                  <w:vAlign w:val="center"/>
                </w:tcPr>
                <w:p w14:paraId="6C21CBBE">
                  <w:pPr>
                    <w:pStyle w:val="94"/>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t>钢筋弯曲机</w:t>
                  </w:r>
                </w:p>
              </w:tc>
              <w:tc>
                <w:tcPr>
                  <w:tcW w:w="1529" w:type="dxa"/>
                  <w:tcBorders>
                    <w:tl2br w:val="nil"/>
                    <w:tr2bl w:val="nil"/>
                  </w:tcBorders>
                  <w:vAlign w:val="center"/>
                </w:tcPr>
                <w:p w14:paraId="02F8A900">
                  <w:pPr>
                    <w:pStyle w:val="94"/>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t>Φ40内</w:t>
                  </w:r>
                </w:p>
              </w:tc>
              <w:tc>
                <w:tcPr>
                  <w:tcW w:w="1228" w:type="dxa"/>
                  <w:tcBorders>
                    <w:tl2br w:val="nil"/>
                    <w:tr2bl w:val="nil"/>
                  </w:tcBorders>
                  <w:vAlign w:val="center"/>
                </w:tcPr>
                <w:p w14:paraId="5918388D">
                  <w:pPr>
                    <w:pStyle w:val="94"/>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t>台</w:t>
                  </w:r>
                </w:p>
              </w:tc>
              <w:tc>
                <w:tcPr>
                  <w:tcW w:w="1245" w:type="dxa"/>
                  <w:tcBorders>
                    <w:tl2br w:val="nil"/>
                    <w:tr2bl w:val="nil"/>
                  </w:tcBorders>
                  <w:vAlign w:val="center"/>
                </w:tcPr>
                <w:p w14:paraId="409A8271">
                  <w:pPr>
                    <w:pStyle w:val="94"/>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t>1</w:t>
                  </w:r>
                </w:p>
              </w:tc>
            </w:tr>
            <w:tr w14:paraId="1FDA94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97" w:hRule="atLeast"/>
              </w:trPr>
              <w:tc>
                <w:tcPr>
                  <w:tcW w:w="1090" w:type="dxa"/>
                  <w:tcBorders>
                    <w:tl2br w:val="nil"/>
                    <w:tr2bl w:val="nil"/>
                  </w:tcBorders>
                  <w:vAlign w:val="top"/>
                </w:tcPr>
                <w:p w14:paraId="0F2AC1A5">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19</w:t>
                  </w:r>
                </w:p>
              </w:tc>
              <w:tc>
                <w:tcPr>
                  <w:tcW w:w="2742" w:type="dxa"/>
                  <w:tcBorders>
                    <w:tl2br w:val="nil"/>
                    <w:tr2bl w:val="nil"/>
                  </w:tcBorders>
                  <w:vAlign w:val="center"/>
                </w:tcPr>
                <w:p w14:paraId="0562ECE1">
                  <w:pPr>
                    <w:pStyle w:val="94"/>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t>手腿式手风钻</w:t>
                  </w:r>
                </w:p>
              </w:tc>
              <w:tc>
                <w:tcPr>
                  <w:tcW w:w="1529" w:type="dxa"/>
                  <w:tcBorders>
                    <w:tl2br w:val="nil"/>
                    <w:tr2bl w:val="nil"/>
                  </w:tcBorders>
                  <w:vAlign w:val="center"/>
                </w:tcPr>
                <w:p w14:paraId="7BAFF5C8">
                  <w:pPr>
                    <w:pStyle w:val="94"/>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t>YT23</w:t>
                  </w:r>
                </w:p>
              </w:tc>
              <w:tc>
                <w:tcPr>
                  <w:tcW w:w="1228" w:type="dxa"/>
                  <w:tcBorders>
                    <w:tl2br w:val="nil"/>
                    <w:tr2bl w:val="nil"/>
                  </w:tcBorders>
                  <w:vAlign w:val="center"/>
                </w:tcPr>
                <w:p w14:paraId="6526A972">
                  <w:pPr>
                    <w:pStyle w:val="94"/>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t>个</w:t>
                  </w:r>
                </w:p>
              </w:tc>
              <w:tc>
                <w:tcPr>
                  <w:tcW w:w="1245" w:type="dxa"/>
                  <w:tcBorders>
                    <w:tl2br w:val="nil"/>
                    <w:tr2bl w:val="nil"/>
                  </w:tcBorders>
                  <w:vAlign w:val="center"/>
                </w:tcPr>
                <w:p w14:paraId="00671B61">
                  <w:pPr>
                    <w:pStyle w:val="94"/>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t>12</w:t>
                  </w:r>
                </w:p>
              </w:tc>
            </w:tr>
            <w:tr w14:paraId="179074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97" w:hRule="atLeast"/>
              </w:trPr>
              <w:tc>
                <w:tcPr>
                  <w:tcW w:w="1090" w:type="dxa"/>
                  <w:tcBorders>
                    <w:tl2br w:val="nil"/>
                    <w:tr2bl w:val="nil"/>
                  </w:tcBorders>
                  <w:vAlign w:val="top"/>
                </w:tcPr>
                <w:p w14:paraId="78CBE1C6">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20</w:t>
                  </w:r>
                </w:p>
              </w:tc>
              <w:tc>
                <w:tcPr>
                  <w:tcW w:w="2742" w:type="dxa"/>
                  <w:tcBorders>
                    <w:tl2br w:val="nil"/>
                    <w:tr2bl w:val="nil"/>
                  </w:tcBorders>
                  <w:vAlign w:val="center"/>
                </w:tcPr>
                <w:p w14:paraId="6141DBA6">
                  <w:pPr>
                    <w:pStyle w:val="94"/>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t>移动式空压机</w:t>
                  </w:r>
                </w:p>
              </w:tc>
              <w:tc>
                <w:tcPr>
                  <w:tcW w:w="1529" w:type="dxa"/>
                  <w:tcBorders>
                    <w:tl2br w:val="nil"/>
                    <w:tr2bl w:val="nil"/>
                  </w:tcBorders>
                  <w:vAlign w:val="center"/>
                </w:tcPr>
                <w:p w14:paraId="5A5ECF8E">
                  <w:pPr>
                    <w:pStyle w:val="94"/>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t>YW-9/7</w:t>
                  </w:r>
                </w:p>
              </w:tc>
              <w:tc>
                <w:tcPr>
                  <w:tcW w:w="1228" w:type="dxa"/>
                  <w:tcBorders>
                    <w:tl2br w:val="nil"/>
                    <w:tr2bl w:val="nil"/>
                  </w:tcBorders>
                  <w:vAlign w:val="center"/>
                </w:tcPr>
                <w:p w14:paraId="05C63920">
                  <w:pPr>
                    <w:pStyle w:val="94"/>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t>台</w:t>
                  </w:r>
                </w:p>
              </w:tc>
              <w:tc>
                <w:tcPr>
                  <w:tcW w:w="1245" w:type="dxa"/>
                  <w:tcBorders>
                    <w:tl2br w:val="nil"/>
                    <w:tr2bl w:val="nil"/>
                  </w:tcBorders>
                  <w:vAlign w:val="center"/>
                </w:tcPr>
                <w:p w14:paraId="54603CE9">
                  <w:pPr>
                    <w:pStyle w:val="94"/>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t>1</w:t>
                  </w:r>
                </w:p>
              </w:tc>
            </w:tr>
          </w:tbl>
          <w:p w14:paraId="24FAF990">
            <w:pPr>
              <w:rPr>
                <w:color w:val="FF0000"/>
                <w:highlight w:val="red"/>
              </w:rPr>
            </w:pPr>
          </w:p>
        </w:tc>
      </w:tr>
      <w:tr w14:paraId="118C45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23" w:hRule="atLeast"/>
          <w:jc w:val="center"/>
        </w:trPr>
        <w:tc>
          <w:tcPr>
            <w:tcW w:w="452" w:type="dxa"/>
            <w:vAlign w:val="center"/>
          </w:tcPr>
          <w:p w14:paraId="51BF201B">
            <w:pPr>
              <w:adjustRightInd w:val="0"/>
              <w:snapToGrid w:val="0"/>
              <w:jc w:val="center"/>
              <w:rPr>
                <w:color w:val="auto"/>
                <w:kern w:val="0"/>
                <w:szCs w:val="21"/>
              </w:rPr>
            </w:pPr>
            <w:r>
              <w:rPr>
                <w:color w:val="auto"/>
                <w:kern w:val="0"/>
                <w:szCs w:val="21"/>
              </w:rPr>
              <w:t>其他</w:t>
            </w:r>
          </w:p>
        </w:tc>
        <w:tc>
          <w:tcPr>
            <w:tcW w:w="8070" w:type="dxa"/>
            <w:vAlign w:val="center"/>
          </w:tcPr>
          <w:p w14:paraId="52CCDE86">
            <w:pPr>
              <w:adjustRightInd w:val="0"/>
              <w:snapToGrid w:val="0"/>
              <w:rPr>
                <w:color w:val="auto"/>
              </w:rPr>
            </w:pPr>
            <w:r>
              <w:rPr>
                <w:color w:val="auto"/>
              </w:rPr>
              <w:t>无</w:t>
            </w:r>
          </w:p>
        </w:tc>
      </w:tr>
    </w:tbl>
    <w:p w14:paraId="49F0FC5A">
      <w:pPr>
        <w:pStyle w:val="2"/>
        <w:rPr>
          <w:snapToGrid w:val="0"/>
          <w:color w:val="000000" w:themeColor="text1"/>
          <w14:textFill>
            <w14:solidFill>
              <w14:schemeClr w14:val="tx1"/>
            </w14:solidFill>
          </w14:textFill>
        </w:rPr>
      </w:pPr>
      <w:r>
        <w:rPr>
          <w:color w:val="FF0000"/>
        </w:rPr>
        <w:br w:type="page"/>
      </w:r>
      <w:bookmarkStart w:id="26" w:name="_Toc20790"/>
      <w:r>
        <w:rPr>
          <w:snapToGrid w:val="0"/>
          <w:color w:val="000000" w:themeColor="text1"/>
          <w14:textFill>
            <w14:solidFill>
              <w14:schemeClr w14:val="tx1"/>
            </w14:solidFill>
          </w14:textFill>
        </w:rPr>
        <w:t>三、生态环境现状、保护目标及评价标准</w:t>
      </w:r>
      <w:bookmarkEnd w:id="26"/>
    </w:p>
    <w:tbl>
      <w:tblPr>
        <w:tblStyle w:val="26"/>
        <w:tblW w:w="851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15"/>
        <w:gridCol w:w="8107"/>
      </w:tblGrid>
      <w:tr w14:paraId="0C1000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5" w:type="dxa"/>
            <w:vAlign w:val="center"/>
          </w:tcPr>
          <w:p w14:paraId="363AE039">
            <w:pPr>
              <w:adjustRightInd w:val="0"/>
              <w:snapToGrid w:val="0"/>
              <w:jc w:val="center"/>
              <w:rPr>
                <w:color w:val="FF0000"/>
                <w:kern w:val="0"/>
                <w:highlight w:val="none"/>
              </w:rPr>
            </w:pPr>
            <w:r>
              <w:rPr>
                <w:color w:val="000000" w:themeColor="text1"/>
                <w:kern w:val="0"/>
                <w:highlight w:val="none"/>
                <w14:textFill>
                  <w14:solidFill>
                    <w14:schemeClr w14:val="tx1"/>
                  </w14:solidFill>
                </w14:textFill>
              </w:rPr>
              <w:t>生态环境现状</w:t>
            </w:r>
          </w:p>
        </w:tc>
        <w:tc>
          <w:tcPr>
            <w:tcW w:w="7804" w:type="dxa"/>
            <w:vAlign w:val="center"/>
          </w:tcPr>
          <w:p w14:paraId="66F9F3BC">
            <w:pPr>
              <w:pStyle w:val="3"/>
              <w:rPr>
                <w:color w:val="000000" w:themeColor="text1"/>
                <w:highlight w:val="none"/>
                <w:u w:val="none"/>
                <w14:textFill>
                  <w14:solidFill>
                    <w14:schemeClr w14:val="tx1"/>
                  </w14:solidFill>
                </w14:textFill>
              </w:rPr>
            </w:pPr>
            <w:bookmarkStart w:id="27" w:name="_Toc20096"/>
            <w:bookmarkStart w:id="28" w:name="_Toc243"/>
            <w:r>
              <w:rPr>
                <w:color w:val="000000" w:themeColor="text1"/>
                <w:highlight w:val="none"/>
                <w:u w:val="none"/>
                <w14:textFill>
                  <w14:solidFill>
                    <w14:schemeClr w14:val="tx1"/>
                  </w14:solidFill>
                </w14:textFill>
              </w:rPr>
              <w:t>3.1 地表水环境质量现状</w:t>
            </w:r>
            <w:bookmarkEnd w:id="27"/>
            <w:bookmarkEnd w:id="28"/>
          </w:p>
          <w:p w14:paraId="476E4C13">
            <w:pPr>
              <w:ind w:firstLine="480" w:firstLineChars="200"/>
              <w:rPr>
                <w:color w:val="000000" w:themeColor="text1"/>
                <w:highlight w:val="none"/>
                <w:u w:val="none"/>
                <w14:textFill>
                  <w14:solidFill>
                    <w14:schemeClr w14:val="tx1"/>
                  </w14:solidFill>
                </w14:textFill>
              </w:rPr>
            </w:pPr>
            <w:r>
              <w:rPr>
                <w:color w:val="000000" w:themeColor="text1"/>
                <w:highlight w:val="none"/>
                <w:u w:val="none"/>
                <w14:textFill>
                  <w14:solidFill>
                    <w14:schemeClr w14:val="tx1"/>
                  </w14:solidFill>
                </w14:textFill>
              </w:rPr>
              <w:t>本项目营运期无生产废水排放，本工程营运期职工5人，运行期生活污水日排放量约为0.6m</w:t>
            </w:r>
            <w:r>
              <w:rPr>
                <w:color w:val="000000" w:themeColor="text1"/>
                <w:highlight w:val="none"/>
                <w:u w:val="none"/>
                <w:vertAlign w:val="superscript"/>
                <w14:textFill>
                  <w14:solidFill>
                    <w14:schemeClr w14:val="tx1"/>
                  </w14:solidFill>
                </w14:textFill>
              </w:rPr>
              <w:t>3</w:t>
            </w:r>
            <w:r>
              <w:rPr>
                <w:color w:val="000000" w:themeColor="text1"/>
                <w:highlight w:val="none"/>
                <w:u w:val="none"/>
                <w14:textFill>
                  <w14:solidFill>
                    <w14:schemeClr w14:val="tx1"/>
                  </w14:solidFill>
                </w14:textFill>
              </w:rPr>
              <w:t>/d，经处理后达到《污水综合排放标准》</w:t>
            </w:r>
            <w:r>
              <w:rPr>
                <w:rFonts w:hint="eastAsia"/>
                <w:color w:val="000000" w:themeColor="text1"/>
                <w:highlight w:val="none"/>
                <w:u w:val="none"/>
                <w:lang w:eastAsia="zh-CN"/>
                <w14:textFill>
                  <w14:solidFill>
                    <w14:schemeClr w14:val="tx1"/>
                  </w14:solidFill>
                </w14:textFill>
              </w:rPr>
              <w:t>（</w:t>
            </w:r>
            <w:r>
              <w:rPr>
                <w:color w:val="000000" w:themeColor="text1"/>
                <w:highlight w:val="none"/>
                <w:u w:val="none"/>
                <w14:textFill>
                  <w14:solidFill>
                    <w14:schemeClr w14:val="tx1"/>
                  </w14:solidFill>
                </w14:textFill>
              </w:rPr>
              <w:t>GB8978-1996</w:t>
            </w:r>
            <w:r>
              <w:rPr>
                <w:rFonts w:hint="eastAsia"/>
                <w:color w:val="000000" w:themeColor="text1"/>
                <w:highlight w:val="none"/>
                <w:u w:val="none"/>
                <w:lang w:eastAsia="zh-CN"/>
                <w14:textFill>
                  <w14:solidFill>
                    <w14:schemeClr w14:val="tx1"/>
                  </w14:solidFill>
                </w14:textFill>
              </w:rPr>
              <w:t>）</w:t>
            </w:r>
            <w:r>
              <w:rPr>
                <w:color w:val="000000" w:themeColor="text1"/>
                <w:highlight w:val="none"/>
                <w:u w:val="none"/>
                <w14:textFill>
                  <w14:solidFill>
                    <w14:schemeClr w14:val="tx1"/>
                  </w14:solidFill>
                </w14:textFill>
              </w:rPr>
              <w:t>一级标准后用于升压站场区及周边绿化灌溉。经现场调查和访问，项目当地居民主要饮用</w:t>
            </w:r>
            <w:r>
              <w:rPr>
                <w:rFonts w:hint="eastAsia"/>
                <w:color w:val="000000" w:themeColor="text1"/>
                <w:highlight w:val="none"/>
                <w:u w:val="none"/>
                <w:lang w:val="en-US" w:eastAsia="zh-CN"/>
                <w14:textFill>
                  <w14:solidFill>
                    <w14:schemeClr w14:val="tx1"/>
                  </w14:solidFill>
                </w14:textFill>
              </w:rPr>
              <w:t>山泉</w:t>
            </w:r>
            <w:r>
              <w:rPr>
                <w:color w:val="000000" w:themeColor="text1"/>
                <w:highlight w:val="none"/>
                <w:u w:val="none"/>
                <w14:textFill>
                  <w14:solidFill>
                    <w14:schemeClr w14:val="tx1"/>
                  </w14:solidFill>
                </w14:textFill>
              </w:rPr>
              <w:t>水。项目评价区内无工业污染源，主要的水污染源为区域内农业面源及排放的生活污水。项目区域内主要水体为小溪及池塘，执行地表水Ⅲ类标准。</w:t>
            </w:r>
          </w:p>
          <w:p w14:paraId="4DB85CC5">
            <w:pPr>
              <w:ind w:firstLine="480" w:firstLineChars="200"/>
              <w:rPr>
                <w:rFonts w:hint="eastAsia"/>
                <w:color w:val="000000" w:themeColor="text1"/>
                <w:highlight w:val="none"/>
                <w:u w:val="none"/>
                <w:lang w:val="en-US" w:eastAsia="zh-CN"/>
                <w14:textFill>
                  <w14:solidFill>
                    <w14:schemeClr w14:val="tx1"/>
                  </w14:solidFill>
                </w14:textFill>
              </w:rPr>
            </w:pPr>
            <w:r>
              <w:rPr>
                <w:rFonts w:hint="eastAsia"/>
                <w:color w:val="000000" w:themeColor="text1"/>
                <w:highlight w:val="none"/>
                <w:u w:val="none"/>
                <w:lang w:val="en-US" w:eastAsia="zh-CN"/>
                <w14:textFill>
                  <w14:solidFill>
                    <w14:schemeClr w14:val="tx1"/>
                  </w14:solidFill>
                </w14:textFill>
              </w:rPr>
              <w:t>（1）区域地表水数据或结论来源</w:t>
            </w:r>
          </w:p>
          <w:p w14:paraId="22DF4474">
            <w:pPr>
              <w:keepNext w:val="0"/>
              <w:keepLines w:val="0"/>
              <w:pageBreakBefore w:val="0"/>
              <w:widowControl w:val="0"/>
              <w:kinsoku/>
              <w:wordWrap/>
              <w:overflowPunct/>
              <w:topLinePunct w:val="0"/>
              <w:autoSpaceDE/>
              <w:autoSpaceDN/>
              <w:bidi w:val="0"/>
              <w:adjustRightInd/>
              <w:snapToGrid/>
              <w:ind w:firstLine="240" w:firstLineChars="100"/>
              <w:textAlignment w:val="auto"/>
              <w:rPr>
                <w:rFonts w:hint="eastAsia"/>
                <w:color w:val="000000" w:themeColor="text1"/>
                <w:highlight w:val="none"/>
                <w:u w:val="none"/>
                <w:lang w:val="en-US" w:eastAsia="zh-CN"/>
                <w14:textFill>
                  <w14:solidFill>
                    <w14:schemeClr w14:val="tx1"/>
                  </w14:solidFill>
                </w14:textFill>
              </w:rPr>
            </w:pPr>
            <w:r>
              <w:rPr>
                <w:rFonts w:hint="eastAsia"/>
                <w:color w:val="000000" w:themeColor="text1"/>
                <w:highlight w:val="none"/>
                <w:u w:val="none"/>
                <w:lang w:val="en-US" w:eastAsia="zh-CN"/>
                <w14:textFill>
                  <w14:solidFill>
                    <w14:schemeClr w14:val="tx1"/>
                  </w14:solidFill>
                </w14:textFill>
              </w:rPr>
              <w:t>采用《怀化市2023年水环境质量年报》公布通道县渠水水质结论，链接：https://www.huaihua.gov.cn/sthjj/c115424/202401/3867385e9e984c49b263e1332c288851.shtml。</w:t>
            </w:r>
          </w:p>
          <w:p w14:paraId="1CF8E164">
            <w:pPr>
              <w:keepNext w:val="0"/>
              <w:keepLines w:val="0"/>
              <w:widowControl/>
              <w:suppressLineNumbers w:val="0"/>
              <w:ind w:firstLine="2400" w:firstLineChars="1000"/>
              <w:jc w:val="left"/>
              <w:rPr>
                <w:rFonts w:ascii="Times New Roman" w:hAnsi="Times New Roman" w:eastAsia="宋体" w:cs="Times New Roman"/>
                <w:b/>
                <w:color w:val="000000" w:themeColor="text1"/>
                <w:kern w:val="0"/>
                <w:sz w:val="21"/>
                <w:szCs w:val="21"/>
                <w:highlight w:val="none"/>
                <w:u w:val="none"/>
                <w:lang w:val="en-US" w:eastAsia="zh-CN" w:bidi="ar-SA"/>
                <w14:textFill>
                  <w14:solidFill>
                    <w14:schemeClr w14:val="tx1"/>
                  </w14:solidFill>
                </w14:textFill>
              </w:rPr>
            </w:pPr>
            <w:r>
              <w:rPr>
                <w:color w:val="FF0000"/>
                <w:sz w:val="24"/>
                <w:u w:val="none"/>
              </w:rPr>
              <mc:AlternateContent>
                <mc:Choice Requires="wps">
                  <w:drawing>
                    <wp:anchor distT="0" distB="0" distL="114300" distR="114300" simplePos="0" relativeHeight="251678720" behindDoc="0" locked="0" layoutInCell="1" allowOverlap="1">
                      <wp:simplePos x="0" y="0"/>
                      <wp:positionH relativeFrom="column">
                        <wp:posOffset>948690</wp:posOffset>
                      </wp:positionH>
                      <wp:positionV relativeFrom="paragraph">
                        <wp:posOffset>256540</wp:posOffset>
                      </wp:positionV>
                      <wp:extent cx="3719830" cy="321945"/>
                      <wp:effectExtent l="13970" t="13970" r="19050" b="26035"/>
                      <wp:wrapNone/>
                      <wp:docPr id="3" name="文本框 3"/>
                      <wp:cNvGraphicFramePr/>
                      <a:graphic xmlns:a="http://schemas.openxmlformats.org/drawingml/2006/main">
                        <a:graphicData uri="http://schemas.microsoft.com/office/word/2010/wordprocessingShape">
                          <wps:wsp>
                            <wps:cNvSpPr txBox="1"/>
                            <wps:spPr>
                              <a:xfrm>
                                <a:off x="0" y="0"/>
                                <a:ext cx="3719830" cy="321945"/>
                              </a:xfrm>
                              <a:prstGeom prst="rect">
                                <a:avLst/>
                              </a:prstGeom>
                              <a:noFill/>
                              <a:ln w="28575">
                                <a:solidFill>
                                  <a:srgbClr val="FF0000"/>
                                </a:solidFill>
                              </a:ln>
                            </wps:spPr>
                            <wps:style>
                              <a:lnRef idx="0">
                                <a:schemeClr val="accent1"/>
                              </a:lnRef>
                              <a:fillRef idx="0">
                                <a:schemeClr val="accent1"/>
                              </a:fillRef>
                              <a:effectRef idx="0">
                                <a:schemeClr val="accent1"/>
                              </a:effectRef>
                              <a:fontRef idx="minor">
                                <a:schemeClr val="dk1"/>
                              </a:fontRef>
                            </wps:style>
                            <wps:txbx>
                              <w:txbxContent>
                                <w:p w14:paraId="56738A12"/>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7pt;margin-top:20.2pt;height:25.35pt;width:292.9pt;z-index:251678720;mso-width-relative:page;mso-height-relative:page;" filled="f" stroked="t" coordsize="21600,21600" o:gfxdata="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BXoGCdkAAAAJ&#10;AQAADwAAAAAAAAABACAAAAAiAAAAZHJzL2Rvd25yZXYueG1sUEsBAhQAFAAAAAgAh07iQMgyjn1U&#10;AgAAkAQAAA4AAAAAAAAAAQAgAAAAKAEAAGRycy9lMm9Eb2MueG1sUEsFBgAAAAAGAAYAWQEAAO4F&#10;AAAAAA==&#10;">
                      <v:fill on="f" focussize="0,0"/>
                      <v:stroke weight="2.25pt" color="#FF0000 [3204]" joinstyle="round"/>
                      <v:imagedata o:title=""/>
                      <o:lock v:ext="edit" aspectratio="f"/>
                      <v:textbox>
                        <w:txbxContent>
                          <w:p w14:paraId="56738A12"/>
                        </w:txbxContent>
                      </v:textbox>
                    </v:shape>
                  </w:pict>
                </mc:Fallback>
              </mc:AlternateContent>
            </w:r>
            <w:r>
              <w:rPr>
                <w:rFonts w:hint="eastAsia"/>
                <w:color w:val="FF0000"/>
                <w:highlight w:val="none"/>
                <w:u w:val="none"/>
                <w:lang w:val="en-US" w:eastAsia="zh-CN"/>
              </w:rPr>
              <w:drawing>
                <wp:anchor distT="0" distB="0" distL="114300" distR="114300" simplePos="0" relativeHeight="251677696" behindDoc="1" locked="0" layoutInCell="1" allowOverlap="1">
                  <wp:simplePos x="0" y="0"/>
                  <wp:positionH relativeFrom="column">
                    <wp:posOffset>28575</wp:posOffset>
                  </wp:positionH>
                  <wp:positionV relativeFrom="paragraph">
                    <wp:posOffset>240030</wp:posOffset>
                  </wp:positionV>
                  <wp:extent cx="4815205" cy="2583180"/>
                  <wp:effectExtent l="0" t="0" r="4445" b="7620"/>
                  <wp:wrapNone/>
                  <wp:docPr id="1" name="图片 1" descr="17118557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11855767(1)"/>
                          <pic:cNvPicPr>
                            <a:picLocks noChangeAspect="1"/>
                          </pic:cNvPicPr>
                        </pic:nvPicPr>
                        <pic:blipFill>
                          <a:blip r:embed="rId32"/>
                          <a:stretch>
                            <a:fillRect/>
                          </a:stretch>
                        </pic:blipFill>
                        <pic:spPr>
                          <a:xfrm>
                            <a:off x="0" y="0"/>
                            <a:ext cx="4815205" cy="2583180"/>
                          </a:xfrm>
                          <a:prstGeom prst="rect">
                            <a:avLst/>
                          </a:prstGeom>
                        </pic:spPr>
                      </pic:pic>
                    </a:graphicData>
                  </a:graphic>
                </wp:anchor>
              </w:drawing>
            </w:r>
            <w:r>
              <w:rPr>
                <w:rFonts w:hint="default" w:ascii="Times New Roman" w:hAnsi="Times New Roman" w:eastAsia="宋体" w:cs="Times New Roman"/>
                <w:b/>
                <w:color w:val="000000" w:themeColor="text1"/>
                <w:kern w:val="0"/>
                <w:sz w:val="21"/>
                <w:szCs w:val="21"/>
                <w:highlight w:val="none"/>
                <w:u w:val="none"/>
                <w:lang w:val="en-US" w:eastAsia="zh-CN" w:bidi="ar-SA"/>
                <w14:textFill>
                  <w14:solidFill>
                    <w14:schemeClr w14:val="tx1"/>
                  </w14:solidFill>
                </w14:textFill>
              </w:rPr>
              <w:t>3.</w:t>
            </w:r>
            <w:r>
              <w:rPr>
                <w:rFonts w:hint="eastAsia" w:cs="Times New Roman"/>
                <w:b/>
                <w:color w:val="000000" w:themeColor="text1"/>
                <w:kern w:val="0"/>
                <w:sz w:val="21"/>
                <w:szCs w:val="21"/>
                <w:highlight w:val="none"/>
                <w:u w:val="none"/>
                <w:lang w:val="en-US" w:eastAsia="zh-CN" w:bidi="ar-SA"/>
                <w14:textFill>
                  <w14:solidFill>
                    <w14:schemeClr w14:val="tx1"/>
                  </w14:solidFill>
                </w14:textFill>
              </w:rPr>
              <w:t>1</w:t>
            </w:r>
            <w:r>
              <w:rPr>
                <w:rFonts w:hint="default" w:ascii="Times New Roman" w:hAnsi="Times New Roman" w:eastAsia="宋体" w:cs="Times New Roman"/>
                <w:b/>
                <w:color w:val="000000" w:themeColor="text1"/>
                <w:kern w:val="0"/>
                <w:sz w:val="21"/>
                <w:szCs w:val="21"/>
                <w:highlight w:val="none"/>
                <w:u w:val="none"/>
                <w:lang w:val="en-US" w:eastAsia="zh-CN" w:bidi="ar-SA"/>
                <w14:textFill>
                  <w14:solidFill>
                    <w14:schemeClr w14:val="tx1"/>
                  </w14:solidFill>
                </w14:textFill>
              </w:rPr>
              <w:t xml:space="preserve">-1 </w:t>
            </w:r>
            <w:r>
              <w:rPr>
                <w:rFonts w:ascii="Times New Roman" w:hAnsi="Times New Roman" w:eastAsia="宋体" w:cs="Times New Roman"/>
                <w:b/>
                <w:color w:val="000000" w:themeColor="text1"/>
                <w:kern w:val="0"/>
                <w:sz w:val="21"/>
                <w:szCs w:val="21"/>
                <w:highlight w:val="none"/>
                <w:u w:val="none"/>
                <w:lang w:val="en-US" w:eastAsia="zh-CN" w:bidi="ar-SA"/>
                <w14:textFill>
                  <w14:solidFill>
                    <w14:schemeClr w14:val="tx1"/>
                  </w14:solidFill>
                </w14:textFill>
              </w:rPr>
              <w:t>区域</w:t>
            </w:r>
            <w:r>
              <w:rPr>
                <w:rFonts w:hint="eastAsia" w:ascii="Times New Roman" w:hAnsi="Times New Roman" w:eastAsia="宋体" w:cs="Times New Roman"/>
                <w:b/>
                <w:color w:val="000000" w:themeColor="text1"/>
                <w:kern w:val="0"/>
                <w:sz w:val="21"/>
                <w:szCs w:val="21"/>
                <w:highlight w:val="none"/>
                <w:u w:val="none"/>
                <w:lang w:val="en-US" w:eastAsia="zh-CN" w:bidi="ar-SA"/>
                <w14:textFill>
                  <w14:solidFill>
                    <w14:schemeClr w14:val="tx1"/>
                  </w14:solidFill>
                </w14:textFill>
              </w:rPr>
              <w:t>地表水</w:t>
            </w:r>
            <w:r>
              <w:rPr>
                <w:rFonts w:ascii="Times New Roman" w:hAnsi="Times New Roman" w:eastAsia="宋体" w:cs="Times New Roman"/>
                <w:b/>
                <w:color w:val="000000" w:themeColor="text1"/>
                <w:kern w:val="0"/>
                <w:sz w:val="21"/>
                <w:szCs w:val="21"/>
                <w:highlight w:val="none"/>
                <w:u w:val="none"/>
                <w:lang w:val="en-US" w:eastAsia="zh-CN" w:bidi="ar-SA"/>
                <w14:textFill>
                  <w14:solidFill>
                    <w14:schemeClr w14:val="tx1"/>
                  </w14:solidFill>
                </w14:textFill>
              </w:rPr>
              <w:t>质量现状评价表</w:t>
            </w:r>
          </w:p>
          <w:p w14:paraId="27244557">
            <w:pPr>
              <w:ind w:firstLine="480" w:firstLineChars="200"/>
              <w:rPr>
                <w:rFonts w:hint="eastAsia"/>
                <w:color w:val="FF0000"/>
                <w:highlight w:val="none"/>
                <w:u w:val="wave"/>
                <w:lang w:val="en-US" w:eastAsia="zh-CN"/>
              </w:rPr>
            </w:pPr>
          </w:p>
          <w:p w14:paraId="04820EF1">
            <w:pPr>
              <w:pStyle w:val="22"/>
              <w:rPr>
                <w:rFonts w:hint="eastAsia"/>
                <w:color w:val="FF0000"/>
                <w:u w:val="wave"/>
                <w:lang w:val="en-US" w:eastAsia="zh-CN"/>
              </w:rPr>
            </w:pPr>
          </w:p>
          <w:p w14:paraId="45B369DA">
            <w:pPr>
              <w:ind w:firstLine="480" w:firstLineChars="200"/>
              <w:rPr>
                <w:rFonts w:hint="eastAsia"/>
                <w:color w:val="FF0000"/>
                <w:highlight w:val="none"/>
                <w:u w:val="wave"/>
                <w:lang w:val="en-US" w:eastAsia="zh-CN"/>
              </w:rPr>
            </w:pPr>
          </w:p>
          <w:p w14:paraId="44F5B7B3">
            <w:pPr>
              <w:ind w:firstLine="480" w:firstLineChars="200"/>
              <w:rPr>
                <w:rFonts w:hint="eastAsia"/>
                <w:color w:val="FF0000"/>
                <w:highlight w:val="none"/>
                <w:u w:val="wave"/>
                <w:lang w:val="en-US" w:eastAsia="zh-CN"/>
              </w:rPr>
            </w:pPr>
          </w:p>
          <w:p w14:paraId="28ABEAB2">
            <w:pPr>
              <w:ind w:firstLine="480" w:firstLineChars="200"/>
              <w:rPr>
                <w:rFonts w:hint="eastAsia"/>
                <w:color w:val="FF0000"/>
                <w:highlight w:val="none"/>
                <w:u w:val="wave"/>
                <w:lang w:val="en-US" w:eastAsia="zh-CN"/>
              </w:rPr>
            </w:pPr>
          </w:p>
          <w:p w14:paraId="5CC8FD80">
            <w:pPr>
              <w:ind w:firstLine="480" w:firstLineChars="200"/>
              <w:rPr>
                <w:rFonts w:hint="eastAsia"/>
                <w:color w:val="FF0000"/>
                <w:highlight w:val="none"/>
                <w:u w:val="wave"/>
                <w:lang w:val="en-US" w:eastAsia="zh-CN"/>
              </w:rPr>
            </w:pPr>
          </w:p>
          <w:p w14:paraId="607D0D00">
            <w:pPr>
              <w:ind w:firstLine="480" w:firstLineChars="200"/>
              <w:rPr>
                <w:rFonts w:hint="eastAsia"/>
                <w:color w:val="FF0000"/>
                <w:highlight w:val="none"/>
                <w:u w:val="wave"/>
                <w:lang w:val="en-US" w:eastAsia="zh-CN"/>
              </w:rPr>
            </w:pPr>
          </w:p>
          <w:p w14:paraId="548C6D9F">
            <w:pPr>
              <w:ind w:firstLine="480" w:firstLineChars="200"/>
              <w:rPr>
                <w:rFonts w:hint="eastAsia"/>
                <w:color w:val="FF0000"/>
                <w:highlight w:val="none"/>
                <w:u w:val="wave"/>
                <w:lang w:val="en-US" w:eastAsia="zh-CN"/>
              </w:rPr>
            </w:pPr>
            <w:r>
              <w:rPr>
                <w:color w:val="FF0000"/>
                <w:sz w:val="24"/>
                <w:u w:val="wave"/>
              </w:rPr>
              <mc:AlternateContent>
                <mc:Choice Requires="wps">
                  <w:drawing>
                    <wp:anchor distT="0" distB="0" distL="114300" distR="114300" simplePos="0" relativeHeight="251673600" behindDoc="0" locked="0" layoutInCell="1" allowOverlap="1">
                      <wp:simplePos x="0" y="0"/>
                      <wp:positionH relativeFrom="column">
                        <wp:posOffset>958215</wp:posOffset>
                      </wp:positionH>
                      <wp:positionV relativeFrom="paragraph">
                        <wp:posOffset>100330</wp:posOffset>
                      </wp:positionV>
                      <wp:extent cx="3719830" cy="540385"/>
                      <wp:effectExtent l="13970" t="13970" r="19050" b="17145"/>
                      <wp:wrapNone/>
                      <wp:docPr id="34" name="文本框 34"/>
                      <wp:cNvGraphicFramePr/>
                      <a:graphic xmlns:a="http://schemas.openxmlformats.org/drawingml/2006/main">
                        <a:graphicData uri="http://schemas.microsoft.com/office/word/2010/wordprocessingShape">
                          <wps:wsp>
                            <wps:cNvSpPr txBox="1"/>
                            <wps:spPr>
                              <a:xfrm>
                                <a:off x="2419350" y="4826000"/>
                                <a:ext cx="3719830" cy="540385"/>
                              </a:xfrm>
                              <a:prstGeom prst="rect">
                                <a:avLst/>
                              </a:prstGeom>
                              <a:noFill/>
                              <a:ln w="28575">
                                <a:solidFill>
                                  <a:srgbClr val="FF0000"/>
                                </a:solidFill>
                              </a:ln>
                            </wps:spPr>
                            <wps:style>
                              <a:lnRef idx="0">
                                <a:schemeClr val="accent1"/>
                              </a:lnRef>
                              <a:fillRef idx="0">
                                <a:schemeClr val="accent1"/>
                              </a:fillRef>
                              <a:effectRef idx="0">
                                <a:schemeClr val="accent1"/>
                              </a:effectRef>
                              <a:fontRef idx="minor">
                                <a:schemeClr val="dk1"/>
                              </a:fontRef>
                            </wps:style>
                            <wps:txbx>
                              <w:txbxContent>
                                <w:p w14:paraId="55BE3180"/>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5.45pt;margin-top:7.9pt;height:42.55pt;width:292.9pt;z-index:251673600;mso-width-relative:page;mso-height-relative:page;" filled="f" stroked="t" coordsize="21600,21600" o:gfxdata="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nK1+e1wAAAAoBAAAPAAAAAAAAAAEAIAAAACIAAABkcnMvZG93bnJldi54bWxQSwECFAAUAAAA&#10;CACHTuJAbmdMj2ECAACeBAAADgAAAAAAAAABACAAAAAmAQAAZHJzL2Uyb0RvYy54bWxQSwUGAAAA&#10;AAYABgBZAQAA+QUAAAAA&#10;">
                      <v:fill on="f" focussize="0,0"/>
                      <v:stroke weight="2.25pt" color="#FF0000 [3204]" joinstyle="round"/>
                      <v:imagedata o:title=""/>
                      <o:lock v:ext="edit" aspectratio="f"/>
                      <v:textbox>
                        <w:txbxContent>
                          <w:p w14:paraId="55BE3180"/>
                        </w:txbxContent>
                      </v:textbox>
                    </v:shape>
                  </w:pict>
                </mc:Fallback>
              </mc:AlternateContent>
            </w:r>
          </w:p>
          <w:p w14:paraId="24FF339B">
            <w:pPr>
              <w:ind w:firstLine="480" w:firstLineChars="200"/>
              <w:rPr>
                <w:rFonts w:hint="eastAsia"/>
                <w:color w:val="000000" w:themeColor="text1"/>
                <w:highlight w:val="none"/>
                <w:u w:val="wave"/>
                <w:lang w:val="en-US" w:eastAsia="zh-CN"/>
                <w14:textFill>
                  <w14:solidFill>
                    <w14:schemeClr w14:val="tx1"/>
                  </w14:solidFill>
                </w14:textFill>
              </w:rPr>
            </w:pPr>
          </w:p>
          <w:p w14:paraId="46BEDF04">
            <w:pPr>
              <w:ind w:firstLine="480" w:firstLineChars="200"/>
              <w:rPr>
                <w:rFonts w:hint="eastAsia"/>
                <w:color w:val="000000" w:themeColor="text1"/>
                <w:highlight w:val="none"/>
                <w:u w:val="wave"/>
                <w:lang w:val="en-US" w:eastAsia="zh-CN"/>
                <w14:textFill>
                  <w14:solidFill>
                    <w14:schemeClr w14:val="tx1"/>
                  </w14:solidFill>
                </w14:textFill>
              </w:rPr>
            </w:pPr>
          </w:p>
          <w:p w14:paraId="0E7FE688">
            <w:pPr>
              <w:ind w:firstLine="480" w:firstLineChars="200"/>
              <w:rPr>
                <w:rFonts w:hint="eastAsia"/>
                <w:color w:val="000000" w:themeColor="text1"/>
                <w:highlight w:val="none"/>
                <w:u w:val="none"/>
                <w:lang w:val="en-US" w:eastAsia="zh-CN"/>
                <w14:textFill>
                  <w14:solidFill>
                    <w14:schemeClr w14:val="tx1"/>
                  </w14:solidFill>
                </w14:textFill>
              </w:rPr>
            </w:pPr>
            <w:r>
              <w:rPr>
                <w:rFonts w:hint="eastAsia"/>
                <w:color w:val="000000" w:themeColor="text1"/>
                <w:highlight w:val="none"/>
                <w:u w:val="none"/>
                <w:lang w:val="en-US" w:eastAsia="zh-CN"/>
                <w14:textFill>
                  <w14:solidFill>
                    <w14:schemeClr w14:val="tx1"/>
                  </w14:solidFill>
                </w14:textFill>
              </w:rPr>
              <w:t>（2）区域地表水达标分析</w:t>
            </w:r>
          </w:p>
          <w:p w14:paraId="6B6CBA94">
            <w:pPr>
              <w:ind w:firstLine="480" w:firstLineChars="200"/>
              <w:rPr>
                <w:rFonts w:hint="default"/>
                <w:color w:val="000000" w:themeColor="text1"/>
                <w:highlight w:val="none"/>
                <w:u w:val="none"/>
                <w:lang w:val="en-US"/>
                <w14:textFill>
                  <w14:solidFill>
                    <w14:schemeClr w14:val="tx1"/>
                  </w14:solidFill>
                </w14:textFill>
              </w:rPr>
            </w:pPr>
            <w:r>
              <w:rPr>
                <w:rFonts w:hint="eastAsia"/>
                <w:color w:val="000000" w:themeColor="text1"/>
                <w:highlight w:val="none"/>
                <w:u w:val="none"/>
                <w:lang w:val="en-US" w:eastAsia="zh-CN"/>
                <w14:textFill>
                  <w14:solidFill>
                    <w14:schemeClr w14:val="tx1"/>
                  </w14:solidFill>
                </w14:textFill>
              </w:rPr>
              <w:t>根据《怀化市2023年水环境质量年报》，考核县为通道县、靖州县，该渠水断面整体水质为优，均符合Ⅱ类水质标准。</w:t>
            </w:r>
          </w:p>
          <w:p w14:paraId="26542A97">
            <w:pPr>
              <w:pStyle w:val="3"/>
              <w:rPr>
                <w:color w:val="000000" w:themeColor="text1"/>
                <w:highlight w:val="none"/>
                <w:u w:val="none"/>
                <w14:textFill>
                  <w14:solidFill>
                    <w14:schemeClr w14:val="tx1"/>
                  </w14:solidFill>
                </w14:textFill>
              </w:rPr>
            </w:pPr>
            <w:bookmarkStart w:id="29" w:name="_Toc10676"/>
            <w:bookmarkStart w:id="30" w:name="_Toc21320"/>
            <w:r>
              <w:rPr>
                <w:color w:val="000000" w:themeColor="text1"/>
                <w:highlight w:val="none"/>
                <w:u w:val="none"/>
                <w14:textFill>
                  <w14:solidFill>
                    <w14:schemeClr w14:val="tx1"/>
                  </w14:solidFill>
                </w14:textFill>
              </w:rPr>
              <w:t>3.2 环境空气现状监测与评价</w:t>
            </w:r>
            <w:bookmarkEnd w:id="29"/>
            <w:bookmarkEnd w:id="30"/>
          </w:p>
          <w:p w14:paraId="30C3EE27">
            <w:pPr>
              <w:adjustRightInd w:val="0"/>
              <w:snapToGrid w:val="0"/>
              <w:ind w:firstLine="480" w:firstLineChars="200"/>
              <w:jc w:val="both"/>
              <w:rPr>
                <w:rFonts w:hint="eastAsia"/>
                <w:color w:val="000000" w:themeColor="text1"/>
                <w:highlight w:val="none"/>
                <w:u w:val="none"/>
                <w14:textFill>
                  <w14:solidFill>
                    <w14:schemeClr w14:val="tx1"/>
                  </w14:solidFill>
                </w14:textFill>
              </w:rPr>
            </w:pPr>
            <w:bookmarkStart w:id="31" w:name="_Toc2471"/>
            <w:bookmarkStart w:id="32" w:name="_Toc25562"/>
            <w:r>
              <w:rPr>
                <w:color w:val="000000" w:themeColor="text1"/>
                <w:highlight w:val="none"/>
                <w:u w:val="none"/>
                <w14:textFill>
                  <w14:solidFill>
                    <w14:schemeClr w14:val="tx1"/>
                  </w14:solidFill>
                </w14:textFill>
              </w:rPr>
              <w:t>本项目所在地属于环境空气二类功能区。按照《环境空气质量标准》</w:t>
            </w:r>
            <w:r>
              <w:rPr>
                <w:rFonts w:hint="eastAsia"/>
                <w:color w:val="000000" w:themeColor="text1"/>
                <w:highlight w:val="none"/>
                <w:u w:val="none"/>
                <w14:textFill>
                  <w14:solidFill>
                    <w14:schemeClr w14:val="tx1"/>
                  </w14:solidFill>
                </w14:textFill>
              </w:rPr>
              <w:t>（</w:t>
            </w:r>
            <w:r>
              <w:rPr>
                <w:color w:val="000000" w:themeColor="text1"/>
                <w:highlight w:val="none"/>
                <w:u w:val="none"/>
                <w14:textFill>
                  <w14:solidFill>
                    <w14:schemeClr w14:val="tx1"/>
                  </w14:solidFill>
                </w14:textFill>
              </w:rPr>
              <w:t>GB3095-2012</w:t>
            </w:r>
            <w:r>
              <w:rPr>
                <w:rFonts w:hint="eastAsia"/>
                <w:color w:val="000000" w:themeColor="text1"/>
                <w:highlight w:val="none"/>
                <w:u w:val="none"/>
                <w14:textFill>
                  <w14:solidFill>
                    <w14:schemeClr w14:val="tx1"/>
                  </w14:solidFill>
                </w14:textFill>
              </w:rPr>
              <w:t>）</w:t>
            </w:r>
            <w:r>
              <w:rPr>
                <w:color w:val="000000" w:themeColor="text1"/>
                <w:highlight w:val="none"/>
                <w:u w:val="none"/>
                <w14:textFill>
                  <w14:solidFill>
                    <w14:schemeClr w14:val="tx1"/>
                  </w14:solidFill>
                </w14:textFill>
              </w:rPr>
              <w:t>的要求，环境空气污染物基本项目为二氧化硫（SO</w:t>
            </w:r>
            <w:r>
              <w:rPr>
                <w:color w:val="000000" w:themeColor="text1"/>
                <w:highlight w:val="none"/>
                <w:u w:val="none"/>
                <w:vertAlign w:val="subscript"/>
                <w14:textFill>
                  <w14:solidFill>
                    <w14:schemeClr w14:val="tx1"/>
                  </w14:solidFill>
                </w14:textFill>
              </w:rPr>
              <w:t>2</w:t>
            </w:r>
            <w:r>
              <w:rPr>
                <w:color w:val="000000" w:themeColor="text1"/>
                <w:highlight w:val="none"/>
                <w:u w:val="none"/>
                <w14:textFill>
                  <w14:solidFill>
                    <w14:schemeClr w14:val="tx1"/>
                  </w14:solidFill>
                </w14:textFill>
              </w:rPr>
              <w:t>）、二氧化氮（NO</w:t>
            </w:r>
            <w:r>
              <w:rPr>
                <w:color w:val="000000" w:themeColor="text1"/>
                <w:highlight w:val="none"/>
                <w:u w:val="none"/>
                <w:vertAlign w:val="subscript"/>
                <w14:textFill>
                  <w14:solidFill>
                    <w14:schemeClr w14:val="tx1"/>
                  </w14:solidFill>
                </w14:textFill>
              </w:rPr>
              <w:t>2</w:t>
            </w:r>
            <w:r>
              <w:rPr>
                <w:color w:val="000000" w:themeColor="text1"/>
                <w:highlight w:val="none"/>
                <w:u w:val="none"/>
                <w14:textFill>
                  <w14:solidFill>
                    <w14:schemeClr w14:val="tx1"/>
                  </w14:solidFill>
                </w14:textFill>
              </w:rPr>
              <w:t>）、可吸入颗粒物浓度（PM</w:t>
            </w:r>
            <w:r>
              <w:rPr>
                <w:color w:val="000000" w:themeColor="text1"/>
                <w:highlight w:val="none"/>
                <w:u w:val="none"/>
                <w:vertAlign w:val="subscript"/>
                <w14:textFill>
                  <w14:solidFill>
                    <w14:schemeClr w14:val="tx1"/>
                  </w14:solidFill>
                </w14:textFill>
              </w:rPr>
              <w:t>10</w:t>
            </w:r>
            <w:r>
              <w:rPr>
                <w:color w:val="000000" w:themeColor="text1"/>
                <w:highlight w:val="none"/>
                <w:u w:val="none"/>
                <w14:textFill>
                  <w14:solidFill>
                    <w14:schemeClr w14:val="tx1"/>
                  </w14:solidFill>
                </w14:textFill>
              </w:rPr>
              <w:t>）、臭氧（O</w:t>
            </w:r>
            <w:r>
              <w:rPr>
                <w:color w:val="000000" w:themeColor="text1"/>
                <w:highlight w:val="none"/>
                <w:u w:val="none"/>
                <w:vertAlign w:val="subscript"/>
                <w14:textFill>
                  <w14:solidFill>
                    <w14:schemeClr w14:val="tx1"/>
                  </w14:solidFill>
                </w14:textFill>
              </w:rPr>
              <w:t>3</w:t>
            </w:r>
            <w:r>
              <w:rPr>
                <w:color w:val="000000" w:themeColor="text1"/>
                <w:highlight w:val="none"/>
                <w:u w:val="none"/>
                <w14:textFill>
                  <w14:solidFill>
                    <w14:schemeClr w14:val="tx1"/>
                  </w14:solidFill>
                </w14:textFill>
              </w:rPr>
              <w:t>）、细颗粒物（PM</w:t>
            </w:r>
            <w:r>
              <w:rPr>
                <w:color w:val="000000" w:themeColor="text1"/>
                <w:highlight w:val="none"/>
                <w:u w:val="none"/>
                <w:vertAlign w:val="subscript"/>
                <w14:textFill>
                  <w14:solidFill>
                    <w14:schemeClr w14:val="tx1"/>
                  </w14:solidFill>
                </w14:textFill>
              </w:rPr>
              <w:t>2.5</w:t>
            </w:r>
            <w:r>
              <w:rPr>
                <w:color w:val="000000" w:themeColor="text1"/>
                <w:highlight w:val="none"/>
                <w:u w:val="none"/>
                <w14:textFill>
                  <w14:solidFill>
                    <w14:schemeClr w14:val="tx1"/>
                  </w14:solidFill>
                </w14:textFill>
              </w:rPr>
              <w:t>）和一氧化碳（CO）六个项目，环境空气质量执行《环境空气质量标准》</w:t>
            </w:r>
            <w:r>
              <w:rPr>
                <w:rFonts w:hint="eastAsia"/>
                <w:color w:val="000000" w:themeColor="text1"/>
                <w:highlight w:val="none"/>
                <w:u w:val="none"/>
                <w14:textFill>
                  <w14:solidFill>
                    <w14:schemeClr w14:val="tx1"/>
                  </w14:solidFill>
                </w14:textFill>
              </w:rPr>
              <w:t>（</w:t>
            </w:r>
            <w:r>
              <w:rPr>
                <w:color w:val="000000" w:themeColor="text1"/>
                <w:highlight w:val="none"/>
                <w:u w:val="none"/>
                <w14:textFill>
                  <w14:solidFill>
                    <w14:schemeClr w14:val="tx1"/>
                  </w14:solidFill>
                </w14:textFill>
              </w:rPr>
              <w:t>GB3095-2012</w:t>
            </w:r>
            <w:r>
              <w:rPr>
                <w:rFonts w:hint="eastAsia"/>
                <w:color w:val="000000" w:themeColor="text1"/>
                <w:highlight w:val="none"/>
                <w:u w:val="none"/>
                <w14:textFill>
                  <w14:solidFill>
                    <w14:schemeClr w14:val="tx1"/>
                  </w14:solidFill>
                </w14:textFill>
              </w:rPr>
              <w:t>）</w:t>
            </w:r>
            <w:r>
              <w:rPr>
                <w:color w:val="000000" w:themeColor="text1"/>
                <w:highlight w:val="none"/>
                <w:u w:val="none"/>
                <w14:textFill>
                  <w14:solidFill>
                    <w14:schemeClr w14:val="tx1"/>
                  </w14:solidFill>
                </w14:textFill>
              </w:rPr>
              <w:t>二级标准。</w:t>
            </w:r>
            <w:r>
              <w:rPr>
                <w:rFonts w:hint="eastAsia"/>
                <w:color w:val="000000" w:themeColor="text1"/>
                <w:highlight w:val="none"/>
                <w:u w:val="none"/>
                <w:lang w:val="en-US" w:eastAsia="zh-CN"/>
                <w14:textFill>
                  <w14:solidFill>
                    <w14:schemeClr w14:val="tx1"/>
                  </w14:solidFill>
                </w14:textFill>
              </w:rPr>
              <w:t>本项目</w:t>
            </w:r>
            <w:r>
              <w:rPr>
                <w:rFonts w:hint="eastAsia"/>
                <w:color w:val="000000" w:themeColor="text1"/>
                <w:highlight w:val="none"/>
                <w:u w:val="none"/>
                <w:lang w:eastAsia="zh-CN"/>
                <w14:textFill>
                  <w14:solidFill>
                    <w14:schemeClr w14:val="tx1"/>
                  </w14:solidFill>
                </w14:textFill>
              </w:rPr>
              <w:t>采用《怀化市202</w:t>
            </w:r>
            <w:r>
              <w:rPr>
                <w:rFonts w:hint="eastAsia"/>
                <w:color w:val="000000" w:themeColor="text1"/>
                <w:highlight w:val="none"/>
                <w:u w:val="none"/>
                <w:lang w:val="en-US" w:eastAsia="zh-CN"/>
                <w14:textFill>
                  <w14:solidFill>
                    <w14:schemeClr w14:val="tx1"/>
                  </w14:solidFill>
                </w14:textFill>
              </w:rPr>
              <w:t>3</w:t>
            </w:r>
            <w:r>
              <w:rPr>
                <w:rFonts w:hint="eastAsia"/>
                <w:color w:val="000000" w:themeColor="text1"/>
                <w:highlight w:val="none"/>
                <w:u w:val="none"/>
                <w:lang w:eastAsia="zh-CN"/>
                <w14:textFill>
                  <w14:solidFill>
                    <w14:schemeClr w14:val="tx1"/>
                  </w14:solidFill>
                </w14:textFill>
              </w:rPr>
              <w:t>年环境空气质量年报》中公布通道县数据，链接：</w:t>
            </w:r>
            <w:r>
              <w:rPr>
                <w:rFonts w:hint="eastAsia"/>
                <w:color w:val="000000" w:themeColor="text1"/>
                <w:highlight w:val="none"/>
                <w:u w:val="none"/>
                <w:lang w:val="en-US" w:eastAsia="zh-CN"/>
                <w14:textFill>
                  <w14:solidFill>
                    <w14:schemeClr w14:val="tx1"/>
                  </w14:solidFill>
                </w14:textFill>
              </w:rPr>
              <w:t>https://www.huaihua.gov.cn/sthjj/c115423/202402/b097f42b969b4b84b2d53e7400dfdfb1.shtml</w:t>
            </w:r>
            <w:r>
              <w:rPr>
                <w:rFonts w:hint="eastAsia"/>
                <w:color w:val="000000" w:themeColor="text1"/>
                <w:highlight w:val="none"/>
                <w:u w:val="none"/>
                <w:lang w:eastAsia="zh-CN"/>
                <w14:textFill>
                  <w14:solidFill>
                    <w14:schemeClr w14:val="tx1"/>
                  </w14:solidFill>
                </w14:textFill>
              </w:rPr>
              <w:t>，通道县</w:t>
            </w:r>
            <w:r>
              <w:rPr>
                <w:rFonts w:hint="eastAsia"/>
                <w:color w:val="000000" w:themeColor="text1"/>
                <w:highlight w:val="none"/>
                <w:u w:val="none"/>
                <w14:textFill>
                  <w14:solidFill>
                    <w14:schemeClr w14:val="tx1"/>
                  </w14:solidFill>
                </w14:textFill>
              </w:rPr>
              <w:t>空气质量状评价见表3.</w:t>
            </w:r>
            <w:r>
              <w:rPr>
                <w:rFonts w:hint="eastAsia"/>
                <w:color w:val="000000" w:themeColor="text1"/>
                <w:highlight w:val="none"/>
                <w:u w:val="none"/>
                <w:lang w:val="en-US" w:eastAsia="zh-CN"/>
                <w14:textFill>
                  <w14:solidFill>
                    <w14:schemeClr w14:val="tx1"/>
                  </w14:solidFill>
                </w14:textFill>
              </w:rPr>
              <w:t>2</w:t>
            </w:r>
            <w:r>
              <w:rPr>
                <w:rFonts w:hint="eastAsia"/>
                <w:color w:val="000000" w:themeColor="text1"/>
                <w:highlight w:val="none"/>
                <w:u w:val="none"/>
                <w14:textFill>
                  <w14:solidFill>
                    <w14:schemeClr w14:val="tx1"/>
                  </w14:solidFill>
                </w14:textFill>
              </w:rPr>
              <w:t>-1。</w:t>
            </w:r>
          </w:p>
          <w:p w14:paraId="3059E5FF">
            <w:pPr>
              <w:keepNext w:val="0"/>
              <w:keepLines w:val="0"/>
              <w:widowControl/>
              <w:suppressLineNumbers w:val="0"/>
              <w:spacing w:line="240" w:lineRule="auto"/>
              <w:ind w:firstLine="2530" w:firstLineChars="1200"/>
              <w:jc w:val="left"/>
              <w:rPr>
                <w:rFonts w:ascii="Times New Roman" w:hAnsi="Times New Roman" w:eastAsia="宋体" w:cs="Times New Roman"/>
                <w:b/>
                <w:color w:val="000000" w:themeColor="text1"/>
                <w:kern w:val="0"/>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u w:val="none"/>
                <w:lang w:val="en-US" w:eastAsia="zh-CN" w:bidi="ar-SA"/>
                <w14:textFill>
                  <w14:solidFill>
                    <w14:schemeClr w14:val="tx1"/>
                  </w14:solidFill>
                </w14:textFill>
              </w:rPr>
              <w:t>3.</w:t>
            </w:r>
            <w:r>
              <w:rPr>
                <w:rFonts w:hint="eastAsia" w:cs="Times New Roman"/>
                <w:b/>
                <w:color w:val="000000" w:themeColor="text1"/>
                <w:kern w:val="0"/>
                <w:sz w:val="21"/>
                <w:szCs w:val="21"/>
                <w:highlight w:val="none"/>
                <w:u w:val="none"/>
                <w:lang w:val="en-US" w:eastAsia="zh-CN" w:bidi="ar-SA"/>
                <w14:textFill>
                  <w14:solidFill>
                    <w14:schemeClr w14:val="tx1"/>
                  </w14:solidFill>
                </w14:textFill>
              </w:rPr>
              <w:t>2</w:t>
            </w:r>
            <w:r>
              <w:rPr>
                <w:rFonts w:hint="default" w:ascii="Times New Roman" w:hAnsi="Times New Roman" w:eastAsia="宋体" w:cs="Times New Roman"/>
                <w:b/>
                <w:color w:val="000000" w:themeColor="text1"/>
                <w:kern w:val="0"/>
                <w:sz w:val="21"/>
                <w:szCs w:val="21"/>
                <w:highlight w:val="none"/>
                <w:u w:val="none"/>
                <w:lang w:val="en-US" w:eastAsia="zh-CN" w:bidi="ar-SA"/>
                <w14:textFill>
                  <w14:solidFill>
                    <w14:schemeClr w14:val="tx1"/>
                  </w14:solidFill>
                </w14:textFill>
              </w:rPr>
              <w:t xml:space="preserve">-1 </w:t>
            </w:r>
            <w:r>
              <w:rPr>
                <w:rFonts w:ascii="Times New Roman" w:hAnsi="Times New Roman" w:eastAsia="宋体" w:cs="Times New Roman"/>
                <w:b/>
                <w:color w:val="000000" w:themeColor="text1"/>
                <w:kern w:val="0"/>
                <w:sz w:val="21"/>
                <w:szCs w:val="21"/>
                <w:highlight w:val="none"/>
                <w:u w:val="none"/>
                <w:lang w:val="en-US" w:eastAsia="zh-CN" w:bidi="ar-SA"/>
                <w14:textFill>
                  <w14:solidFill>
                    <w14:schemeClr w14:val="tx1"/>
                  </w14:solidFill>
                </w14:textFill>
              </w:rPr>
              <w:t>区域空气质量现状评价表</w:t>
            </w:r>
          </w:p>
          <w:tbl>
            <w:tblPr>
              <w:tblStyle w:val="26"/>
              <w:tblW w:w="75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3"/>
              <w:gridCol w:w="702"/>
              <w:gridCol w:w="1719"/>
              <w:gridCol w:w="1136"/>
              <w:gridCol w:w="1489"/>
              <w:gridCol w:w="959"/>
              <w:gridCol w:w="877"/>
            </w:tblGrid>
            <w:tr w14:paraId="41A2F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8" w:type="dxa"/>
                  <w:tcBorders>
                    <w:right w:val="single" w:color="000000" w:sz="6" w:space="0"/>
                  </w:tcBorders>
                  <w:vAlign w:val="center"/>
                </w:tcPr>
                <w:p w14:paraId="5072D5FF">
                  <w:pPr>
                    <w:pStyle w:val="63"/>
                    <w:spacing w:before="24" w:after="24"/>
                    <w:rPr>
                      <w:rFonts w:hint="default" w:ascii="Times New Roman" w:hAnsi="Times New Roman" w:eastAsia="宋体" w:cs="Times New Roman"/>
                      <w:color w:val="000000" w:themeColor="text1"/>
                      <w:sz w:val="21"/>
                      <w:u w:val="none"/>
                      <w:lang w:val="en-US" w:eastAsia="zh-CN"/>
                      <w14:textFill>
                        <w14:solidFill>
                          <w14:schemeClr w14:val="tx1"/>
                        </w14:solidFill>
                      </w14:textFill>
                    </w:rPr>
                  </w:pPr>
                  <w:r>
                    <w:rPr>
                      <w:rFonts w:hint="eastAsia" w:ascii="Times New Roman" w:hAnsi="Times New Roman" w:cs="Times New Roman"/>
                      <w:color w:val="000000" w:themeColor="text1"/>
                      <w:sz w:val="21"/>
                      <w:u w:val="none"/>
                      <w:lang w:val="en-US" w:eastAsia="zh-CN"/>
                      <w14:textFill>
                        <w14:solidFill>
                          <w14:schemeClr w14:val="tx1"/>
                        </w14:solidFill>
                      </w14:textFill>
                    </w:rPr>
                    <w:t xml:space="preserve">名称 </w:t>
                  </w:r>
                </w:p>
              </w:tc>
              <w:tc>
                <w:tcPr>
                  <w:tcW w:w="702" w:type="dxa"/>
                  <w:tcBorders>
                    <w:right w:val="single" w:color="000000" w:sz="6" w:space="0"/>
                  </w:tcBorders>
                  <w:vAlign w:val="center"/>
                </w:tcPr>
                <w:p w14:paraId="57E04181">
                  <w:pPr>
                    <w:pStyle w:val="63"/>
                    <w:spacing w:before="24" w:after="24"/>
                    <w:rPr>
                      <w:rFonts w:hint="default" w:ascii="Times New Roman" w:hAnsi="Times New Roman" w:eastAsia="宋体" w:cs="Times New Roman"/>
                      <w:color w:val="000000" w:themeColor="text1"/>
                      <w:sz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u w:val="none"/>
                      <w:lang w:val="en-US" w:eastAsia="zh-CN"/>
                      <w14:textFill>
                        <w14:solidFill>
                          <w14:schemeClr w14:val="tx1"/>
                        </w14:solidFill>
                      </w14:textFill>
                    </w:rPr>
                    <w:t>污染物</w:t>
                  </w:r>
                </w:p>
              </w:tc>
              <w:tc>
                <w:tcPr>
                  <w:tcW w:w="1739" w:type="dxa"/>
                  <w:tcBorders>
                    <w:left w:val="single" w:color="000000" w:sz="6" w:space="0"/>
                  </w:tcBorders>
                  <w:vAlign w:val="center"/>
                </w:tcPr>
                <w:p w14:paraId="6AC21DCD">
                  <w:pPr>
                    <w:pStyle w:val="63"/>
                    <w:spacing w:before="24" w:after="24"/>
                    <w:rPr>
                      <w:rFonts w:hint="default" w:ascii="Times New Roman" w:hAnsi="Times New Roman" w:eastAsia="宋体" w:cs="Times New Roman"/>
                      <w:color w:val="000000" w:themeColor="text1"/>
                      <w:sz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u w:val="none"/>
                      <w:lang w:val="en-US" w:eastAsia="zh-CN"/>
                      <w14:textFill>
                        <w14:solidFill>
                          <w14:schemeClr w14:val="tx1"/>
                        </w14:solidFill>
                      </w14:textFill>
                    </w:rPr>
                    <w:t>年评价指标</w:t>
                  </w:r>
                </w:p>
              </w:tc>
              <w:tc>
                <w:tcPr>
                  <w:tcW w:w="1095" w:type="dxa"/>
                  <w:vAlign w:val="center"/>
                </w:tcPr>
                <w:p w14:paraId="74F8FDCE">
                  <w:pPr>
                    <w:pStyle w:val="63"/>
                    <w:spacing w:before="24" w:after="24"/>
                    <w:rPr>
                      <w:rFonts w:hint="default" w:ascii="Times New Roman" w:hAnsi="Times New Roman" w:eastAsia="宋体" w:cs="Times New Roman"/>
                      <w:color w:val="000000" w:themeColor="text1"/>
                      <w:sz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u w:val="none"/>
                      <w:lang w:val="en-US" w:eastAsia="zh-CN"/>
                      <w14:textFill>
                        <w14:solidFill>
                          <w14:schemeClr w14:val="tx1"/>
                        </w14:solidFill>
                      </w14:textFill>
                    </w:rPr>
                    <w:t>现状浓度（ug/m</w:t>
                  </w:r>
                  <w:r>
                    <w:rPr>
                      <w:rFonts w:hint="default" w:ascii="Times New Roman" w:hAnsi="Times New Roman" w:eastAsia="宋体" w:cs="Times New Roman"/>
                      <w:color w:val="000000" w:themeColor="text1"/>
                      <w:sz w:val="21"/>
                      <w:u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u w:val="none"/>
                      <w:lang w:val="en-US" w:eastAsia="zh-CN"/>
                      <w14:textFill>
                        <w14:solidFill>
                          <w14:schemeClr w14:val="tx1"/>
                        </w14:solidFill>
                      </w14:textFill>
                    </w:rPr>
                    <w:t>）</w:t>
                  </w:r>
                </w:p>
              </w:tc>
              <w:tc>
                <w:tcPr>
                  <w:tcW w:w="1494" w:type="dxa"/>
                  <w:vAlign w:val="center"/>
                </w:tcPr>
                <w:p w14:paraId="5884C009">
                  <w:pPr>
                    <w:pStyle w:val="63"/>
                    <w:spacing w:before="24" w:after="24"/>
                    <w:rPr>
                      <w:rFonts w:hint="default" w:ascii="Times New Roman" w:hAnsi="Times New Roman" w:eastAsia="宋体" w:cs="Times New Roman"/>
                      <w:color w:val="000000" w:themeColor="text1"/>
                      <w:sz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u w:val="none"/>
                      <w:lang w:val="en-US" w:eastAsia="zh-CN"/>
                      <w14:textFill>
                        <w14:solidFill>
                          <w14:schemeClr w14:val="tx1"/>
                        </w14:solidFill>
                      </w14:textFill>
                    </w:rPr>
                    <w:t>标准值（ug/m</w:t>
                  </w:r>
                  <w:r>
                    <w:rPr>
                      <w:rFonts w:hint="default" w:ascii="Times New Roman" w:hAnsi="Times New Roman" w:eastAsia="宋体" w:cs="Times New Roman"/>
                      <w:color w:val="000000" w:themeColor="text1"/>
                      <w:sz w:val="21"/>
                      <w:u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u w:val="none"/>
                      <w:lang w:val="en-US" w:eastAsia="zh-CN"/>
                      <w14:textFill>
                        <w14:solidFill>
                          <w14:schemeClr w14:val="tx1"/>
                        </w14:solidFill>
                      </w14:textFill>
                    </w:rPr>
                    <w:t>）</w:t>
                  </w:r>
                </w:p>
              </w:tc>
              <w:tc>
                <w:tcPr>
                  <w:tcW w:w="963" w:type="dxa"/>
                  <w:vAlign w:val="center"/>
                </w:tcPr>
                <w:p w14:paraId="0EC7B85A">
                  <w:pPr>
                    <w:pStyle w:val="63"/>
                    <w:spacing w:before="24" w:after="24"/>
                    <w:rPr>
                      <w:rFonts w:hint="default" w:ascii="Times New Roman" w:hAnsi="Times New Roman" w:eastAsia="宋体" w:cs="Times New Roman"/>
                      <w:color w:val="000000" w:themeColor="text1"/>
                      <w:sz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u w:val="none"/>
                      <w:lang w:val="en-US" w:eastAsia="zh-CN"/>
                      <w14:textFill>
                        <w14:solidFill>
                          <w14:schemeClr w14:val="tx1"/>
                        </w14:solidFill>
                      </w14:textFill>
                    </w:rPr>
                    <w:t>占标率%</w:t>
                  </w:r>
                </w:p>
              </w:tc>
              <w:tc>
                <w:tcPr>
                  <w:tcW w:w="884" w:type="dxa"/>
                  <w:vAlign w:val="center"/>
                </w:tcPr>
                <w:p w14:paraId="12C608D1">
                  <w:pPr>
                    <w:pStyle w:val="63"/>
                    <w:spacing w:before="24" w:after="24"/>
                    <w:rPr>
                      <w:rFonts w:hint="default" w:ascii="Times New Roman" w:hAnsi="Times New Roman" w:eastAsia="宋体" w:cs="Times New Roman"/>
                      <w:color w:val="000000" w:themeColor="text1"/>
                      <w:sz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u w:val="none"/>
                      <w:lang w:val="en-US" w:eastAsia="zh-CN"/>
                      <w14:textFill>
                        <w14:solidFill>
                          <w14:schemeClr w14:val="tx1"/>
                        </w14:solidFill>
                      </w14:textFill>
                    </w:rPr>
                    <w:t xml:space="preserve">达标情况 </w:t>
                  </w:r>
                </w:p>
              </w:tc>
            </w:tr>
            <w:tr w14:paraId="52614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8" w:type="dxa"/>
                  <w:vMerge w:val="restart"/>
                  <w:tcBorders>
                    <w:right w:val="single" w:color="000000" w:sz="6" w:space="0"/>
                  </w:tcBorders>
                  <w:vAlign w:val="center"/>
                </w:tcPr>
                <w:p w14:paraId="4243DD16">
                  <w:pPr>
                    <w:pStyle w:val="63"/>
                    <w:spacing w:before="24" w:after="24"/>
                    <w:rPr>
                      <w:rFonts w:hint="default" w:ascii="Times New Roman" w:hAnsi="Times New Roman" w:eastAsia="宋体" w:cs="Times New Roman"/>
                      <w:color w:val="000000" w:themeColor="text1"/>
                      <w:sz w:val="21"/>
                      <w:u w:val="none"/>
                      <w:lang w:val="en-US" w:eastAsia="zh-CN"/>
                      <w14:textFill>
                        <w14:solidFill>
                          <w14:schemeClr w14:val="tx1"/>
                        </w14:solidFill>
                      </w14:textFill>
                    </w:rPr>
                  </w:pPr>
                  <w:r>
                    <w:rPr>
                      <w:rFonts w:hint="eastAsia" w:ascii="Times New Roman" w:hAnsi="Times New Roman" w:cs="Times New Roman"/>
                      <w:color w:val="000000" w:themeColor="text1"/>
                      <w:sz w:val="21"/>
                      <w:u w:val="none"/>
                      <w:lang w:val="en-US" w:eastAsia="zh-CN"/>
                      <w14:textFill>
                        <w14:solidFill>
                          <w14:schemeClr w14:val="tx1"/>
                        </w14:solidFill>
                      </w14:textFill>
                    </w:rPr>
                    <w:t>通道县</w:t>
                  </w:r>
                </w:p>
              </w:tc>
              <w:tc>
                <w:tcPr>
                  <w:tcW w:w="702" w:type="dxa"/>
                  <w:tcBorders>
                    <w:right w:val="single" w:color="000000" w:sz="6" w:space="0"/>
                  </w:tcBorders>
                  <w:vAlign w:val="center"/>
                </w:tcPr>
                <w:p w14:paraId="78EFB9FA">
                  <w:pPr>
                    <w:pStyle w:val="63"/>
                    <w:spacing w:before="24" w:after="24"/>
                    <w:rPr>
                      <w:rFonts w:hint="default" w:ascii="Times New Roman" w:hAnsi="Times New Roman" w:eastAsia="宋体" w:cs="Times New Roman"/>
                      <w:color w:val="000000" w:themeColor="text1"/>
                      <w:sz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u w:val="none"/>
                      <w:lang w:val="en-US" w:eastAsia="zh-CN"/>
                      <w14:textFill>
                        <w14:solidFill>
                          <w14:schemeClr w14:val="tx1"/>
                        </w14:solidFill>
                      </w14:textFill>
                    </w:rPr>
                    <w:t>SO</w:t>
                  </w:r>
                  <w:r>
                    <w:rPr>
                      <w:rFonts w:hint="default" w:ascii="Times New Roman" w:hAnsi="Times New Roman" w:eastAsia="宋体" w:cs="Times New Roman"/>
                      <w:color w:val="000000" w:themeColor="text1"/>
                      <w:sz w:val="21"/>
                      <w:u w:val="none"/>
                      <w:vertAlign w:val="subscript"/>
                      <w:lang w:val="en-US" w:eastAsia="zh-CN"/>
                      <w14:textFill>
                        <w14:solidFill>
                          <w14:schemeClr w14:val="tx1"/>
                        </w14:solidFill>
                      </w14:textFill>
                    </w:rPr>
                    <w:t>2</w:t>
                  </w:r>
                </w:p>
              </w:tc>
              <w:tc>
                <w:tcPr>
                  <w:tcW w:w="1739" w:type="dxa"/>
                  <w:tcBorders>
                    <w:left w:val="single" w:color="000000" w:sz="6" w:space="0"/>
                    <w:bottom w:val="single" w:color="000000" w:sz="6" w:space="0"/>
                  </w:tcBorders>
                  <w:vAlign w:val="center"/>
                </w:tcPr>
                <w:p w14:paraId="08B54AD6">
                  <w:pPr>
                    <w:pStyle w:val="63"/>
                    <w:spacing w:before="24" w:after="24"/>
                    <w:rPr>
                      <w:rFonts w:hint="default" w:ascii="Times New Roman" w:hAnsi="Times New Roman" w:eastAsia="宋体" w:cs="Times New Roman"/>
                      <w:color w:val="000000" w:themeColor="text1"/>
                      <w:sz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u w:val="none"/>
                      <w:lang w:val="en-US" w:eastAsia="zh-CN"/>
                      <w14:textFill>
                        <w14:solidFill>
                          <w14:schemeClr w14:val="tx1"/>
                        </w14:solidFill>
                      </w14:textFill>
                    </w:rPr>
                    <w:t>年平均质量浓度</w:t>
                  </w:r>
                </w:p>
              </w:tc>
              <w:tc>
                <w:tcPr>
                  <w:tcW w:w="1095" w:type="dxa"/>
                  <w:tcBorders>
                    <w:bottom w:val="single" w:color="000000" w:sz="6" w:space="0"/>
                  </w:tcBorders>
                  <w:vAlign w:val="center"/>
                </w:tcPr>
                <w:p w14:paraId="18EDAFDA">
                  <w:pPr>
                    <w:pStyle w:val="63"/>
                    <w:spacing w:before="24" w:after="24"/>
                    <w:rPr>
                      <w:rFonts w:hint="default" w:ascii="Times New Roman" w:hAnsi="Times New Roman" w:eastAsia="宋体" w:cs="Times New Roman"/>
                      <w:color w:val="000000" w:themeColor="text1"/>
                      <w:sz w:val="21"/>
                      <w:u w:val="none"/>
                      <w:lang w:val="en-US" w:eastAsia="zh-CN"/>
                      <w14:textFill>
                        <w14:solidFill>
                          <w14:schemeClr w14:val="tx1"/>
                        </w14:solidFill>
                      </w14:textFill>
                    </w:rPr>
                  </w:pPr>
                  <w:r>
                    <w:rPr>
                      <w:rFonts w:hint="eastAsia" w:ascii="Times New Roman" w:hAnsi="Times New Roman" w:cs="Times New Roman"/>
                      <w:color w:val="000000" w:themeColor="text1"/>
                      <w:sz w:val="21"/>
                      <w:u w:val="none"/>
                      <w:lang w:val="en-US" w:eastAsia="zh-CN"/>
                      <w14:textFill>
                        <w14:solidFill>
                          <w14:schemeClr w14:val="tx1"/>
                        </w14:solidFill>
                      </w14:textFill>
                    </w:rPr>
                    <w:t>7</w:t>
                  </w:r>
                </w:p>
              </w:tc>
              <w:tc>
                <w:tcPr>
                  <w:tcW w:w="1494" w:type="dxa"/>
                  <w:tcBorders>
                    <w:bottom w:val="single" w:color="000000" w:sz="6" w:space="0"/>
                  </w:tcBorders>
                  <w:vAlign w:val="center"/>
                </w:tcPr>
                <w:p w14:paraId="29A479CF">
                  <w:pPr>
                    <w:pStyle w:val="63"/>
                    <w:spacing w:before="24" w:after="24"/>
                    <w:rPr>
                      <w:rFonts w:hint="default" w:ascii="Times New Roman" w:hAnsi="Times New Roman" w:eastAsia="宋体" w:cs="Times New Roman"/>
                      <w:color w:val="000000" w:themeColor="text1"/>
                      <w:sz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u w:val="none"/>
                      <w:lang w:val="en-US" w:eastAsia="zh-CN"/>
                      <w14:textFill>
                        <w14:solidFill>
                          <w14:schemeClr w14:val="tx1"/>
                        </w14:solidFill>
                      </w14:textFill>
                    </w:rPr>
                    <w:t>60</w:t>
                  </w:r>
                </w:p>
              </w:tc>
              <w:tc>
                <w:tcPr>
                  <w:tcW w:w="963" w:type="dxa"/>
                  <w:tcBorders>
                    <w:bottom w:val="single" w:color="000000" w:sz="6" w:space="0"/>
                  </w:tcBorders>
                  <w:vAlign w:val="center"/>
                </w:tcPr>
                <w:p w14:paraId="68C355FF">
                  <w:pPr>
                    <w:pStyle w:val="63"/>
                    <w:spacing w:before="24" w:after="24"/>
                    <w:rPr>
                      <w:rFonts w:hint="default" w:ascii="Times New Roman" w:hAnsi="Times New Roman" w:eastAsia="宋体" w:cs="Times New Roman"/>
                      <w:color w:val="000000" w:themeColor="text1"/>
                      <w:sz w:val="21"/>
                      <w:u w:val="none"/>
                      <w:lang w:val="en-US" w:eastAsia="zh-CN"/>
                      <w14:textFill>
                        <w14:solidFill>
                          <w14:schemeClr w14:val="tx1"/>
                        </w14:solidFill>
                      </w14:textFill>
                    </w:rPr>
                  </w:pPr>
                  <w:r>
                    <w:rPr>
                      <w:rFonts w:hint="eastAsia" w:ascii="Times New Roman" w:hAnsi="Times New Roman" w:cs="Times New Roman"/>
                      <w:color w:val="000000" w:themeColor="text1"/>
                      <w:sz w:val="21"/>
                      <w:u w:val="none"/>
                      <w:lang w:val="en-US" w:eastAsia="zh-CN"/>
                      <w14:textFill>
                        <w14:solidFill>
                          <w14:schemeClr w14:val="tx1"/>
                        </w14:solidFill>
                      </w14:textFill>
                    </w:rPr>
                    <w:t>11.67</w:t>
                  </w:r>
                </w:p>
              </w:tc>
              <w:tc>
                <w:tcPr>
                  <w:tcW w:w="884" w:type="dxa"/>
                  <w:tcBorders>
                    <w:bottom w:val="single" w:color="000000" w:sz="6" w:space="0"/>
                  </w:tcBorders>
                  <w:vAlign w:val="center"/>
                </w:tcPr>
                <w:p w14:paraId="34C2EE72">
                  <w:pPr>
                    <w:pStyle w:val="63"/>
                    <w:spacing w:before="24" w:after="24"/>
                    <w:rPr>
                      <w:rFonts w:hint="default" w:ascii="Times New Roman" w:hAnsi="Times New Roman" w:eastAsia="宋体" w:cs="Times New Roman"/>
                      <w:color w:val="000000" w:themeColor="text1"/>
                      <w:sz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u w:val="none"/>
                      <w:lang w:val="en-US" w:eastAsia="zh-CN"/>
                      <w14:textFill>
                        <w14:solidFill>
                          <w14:schemeClr w14:val="tx1"/>
                        </w14:solidFill>
                      </w14:textFill>
                    </w:rPr>
                    <w:t>达标</w:t>
                  </w:r>
                </w:p>
              </w:tc>
            </w:tr>
            <w:tr w14:paraId="4DB0F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8" w:type="dxa"/>
                  <w:vMerge w:val="continue"/>
                  <w:tcBorders>
                    <w:right w:val="single" w:color="000000" w:sz="6" w:space="0"/>
                  </w:tcBorders>
                  <w:vAlign w:val="center"/>
                </w:tcPr>
                <w:p w14:paraId="202E1A70">
                  <w:pPr>
                    <w:pStyle w:val="63"/>
                    <w:spacing w:before="24" w:after="24"/>
                    <w:rPr>
                      <w:rFonts w:hint="default" w:ascii="Times New Roman" w:hAnsi="Times New Roman" w:eastAsia="宋体" w:cs="Times New Roman"/>
                      <w:color w:val="000000" w:themeColor="text1"/>
                      <w:sz w:val="21"/>
                      <w:u w:val="none"/>
                      <w:lang w:val="en-US" w:eastAsia="zh-CN"/>
                      <w14:textFill>
                        <w14:solidFill>
                          <w14:schemeClr w14:val="tx1"/>
                        </w14:solidFill>
                      </w14:textFill>
                    </w:rPr>
                  </w:pPr>
                </w:p>
              </w:tc>
              <w:tc>
                <w:tcPr>
                  <w:tcW w:w="702" w:type="dxa"/>
                  <w:vAlign w:val="center"/>
                </w:tcPr>
                <w:p w14:paraId="790F067E">
                  <w:pPr>
                    <w:pStyle w:val="63"/>
                    <w:spacing w:before="24" w:after="24"/>
                    <w:rPr>
                      <w:rFonts w:hint="default" w:ascii="Times New Roman" w:hAnsi="Times New Roman" w:eastAsia="宋体" w:cs="Times New Roman"/>
                      <w:color w:val="000000" w:themeColor="text1"/>
                      <w:sz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u w:val="none"/>
                      <w:lang w:val="en-US" w:eastAsia="zh-CN"/>
                      <w14:textFill>
                        <w14:solidFill>
                          <w14:schemeClr w14:val="tx1"/>
                        </w14:solidFill>
                      </w14:textFill>
                    </w:rPr>
                    <w:t>NO</w:t>
                  </w:r>
                  <w:r>
                    <w:rPr>
                      <w:rFonts w:hint="default" w:ascii="Times New Roman" w:hAnsi="Times New Roman" w:eastAsia="宋体" w:cs="Times New Roman"/>
                      <w:color w:val="000000" w:themeColor="text1"/>
                      <w:sz w:val="21"/>
                      <w:u w:val="none"/>
                      <w:vertAlign w:val="subscript"/>
                      <w:lang w:val="en-US" w:eastAsia="zh-CN"/>
                      <w14:textFill>
                        <w14:solidFill>
                          <w14:schemeClr w14:val="tx1"/>
                        </w14:solidFill>
                      </w14:textFill>
                    </w:rPr>
                    <w:t>2</w:t>
                  </w:r>
                </w:p>
              </w:tc>
              <w:tc>
                <w:tcPr>
                  <w:tcW w:w="1739" w:type="dxa"/>
                  <w:tcBorders>
                    <w:top w:val="single" w:color="000000" w:sz="6" w:space="0"/>
                    <w:bottom w:val="single" w:color="000000" w:sz="6" w:space="0"/>
                  </w:tcBorders>
                  <w:vAlign w:val="center"/>
                </w:tcPr>
                <w:p w14:paraId="7BA319C6">
                  <w:pPr>
                    <w:pStyle w:val="63"/>
                    <w:spacing w:before="24" w:after="24"/>
                    <w:rPr>
                      <w:rFonts w:hint="default" w:ascii="Times New Roman" w:hAnsi="Times New Roman" w:eastAsia="宋体" w:cs="Times New Roman"/>
                      <w:color w:val="000000" w:themeColor="text1"/>
                      <w:sz w:val="21"/>
                      <w:u w:val="none"/>
                      <w14:textFill>
                        <w14:solidFill>
                          <w14:schemeClr w14:val="tx1"/>
                        </w14:solidFill>
                      </w14:textFill>
                    </w:rPr>
                  </w:pPr>
                  <w:r>
                    <w:rPr>
                      <w:rFonts w:hint="default" w:ascii="Times New Roman" w:hAnsi="Times New Roman" w:eastAsia="宋体" w:cs="Times New Roman"/>
                      <w:color w:val="000000" w:themeColor="text1"/>
                      <w:sz w:val="21"/>
                      <w:u w:val="none"/>
                      <w14:textFill>
                        <w14:solidFill>
                          <w14:schemeClr w14:val="tx1"/>
                        </w14:solidFill>
                      </w14:textFill>
                    </w:rPr>
                    <w:t>年平均质量浓度</w:t>
                  </w:r>
                </w:p>
              </w:tc>
              <w:tc>
                <w:tcPr>
                  <w:tcW w:w="1095" w:type="dxa"/>
                  <w:tcBorders>
                    <w:top w:val="single" w:color="000000" w:sz="6" w:space="0"/>
                    <w:bottom w:val="single" w:color="000000" w:sz="6" w:space="0"/>
                  </w:tcBorders>
                  <w:vAlign w:val="center"/>
                </w:tcPr>
                <w:p w14:paraId="1374FB01">
                  <w:pPr>
                    <w:pStyle w:val="63"/>
                    <w:spacing w:before="24" w:after="24"/>
                    <w:rPr>
                      <w:rFonts w:hint="default" w:ascii="Times New Roman" w:hAnsi="Times New Roman" w:eastAsia="宋体" w:cs="Times New Roman"/>
                      <w:color w:val="000000" w:themeColor="text1"/>
                      <w:sz w:val="21"/>
                      <w:u w:val="none"/>
                      <w:lang w:val="en-US" w:eastAsia="zh-CN"/>
                      <w14:textFill>
                        <w14:solidFill>
                          <w14:schemeClr w14:val="tx1"/>
                        </w14:solidFill>
                      </w14:textFill>
                    </w:rPr>
                  </w:pPr>
                  <w:r>
                    <w:rPr>
                      <w:rFonts w:hint="eastAsia" w:ascii="Times New Roman" w:hAnsi="Times New Roman" w:cs="Times New Roman"/>
                      <w:color w:val="000000" w:themeColor="text1"/>
                      <w:sz w:val="21"/>
                      <w:u w:val="none"/>
                      <w:lang w:val="en-US" w:eastAsia="zh-CN"/>
                      <w14:textFill>
                        <w14:solidFill>
                          <w14:schemeClr w14:val="tx1"/>
                        </w14:solidFill>
                      </w14:textFill>
                    </w:rPr>
                    <w:t>6</w:t>
                  </w:r>
                </w:p>
              </w:tc>
              <w:tc>
                <w:tcPr>
                  <w:tcW w:w="1494" w:type="dxa"/>
                  <w:tcBorders>
                    <w:top w:val="single" w:color="000000" w:sz="6" w:space="0"/>
                    <w:bottom w:val="single" w:color="000000" w:sz="6" w:space="0"/>
                  </w:tcBorders>
                  <w:vAlign w:val="center"/>
                </w:tcPr>
                <w:p w14:paraId="7E57A190">
                  <w:pPr>
                    <w:pStyle w:val="63"/>
                    <w:spacing w:before="24" w:after="24"/>
                    <w:rPr>
                      <w:rFonts w:hint="default" w:ascii="Times New Roman" w:hAnsi="Times New Roman" w:eastAsia="宋体" w:cs="Times New Roman"/>
                      <w:color w:val="000000" w:themeColor="text1"/>
                      <w:sz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u w:val="none"/>
                      <w:lang w:val="en-US" w:eastAsia="zh-CN"/>
                      <w14:textFill>
                        <w14:solidFill>
                          <w14:schemeClr w14:val="tx1"/>
                        </w14:solidFill>
                      </w14:textFill>
                    </w:rPr>
                    <w:t>40</w:t>
                  </w:r>
                </w:p>
              </w:tc>
              <w:tc>
                <w:tcPr>
                  <w:tcW w:w="963" w:type="dxa"/>
                  <w:tcBorders>
                    <w:top w:val="single" w:color="000000" w:sz="6" w:space="0"/>
                    <w:bottom w:val="single" w:color="000000" w:sz="6" w:space="0"/>
                  </w:tcBorders>
                  <w:vAlign w:val="center"/>
                </w:tcPr>
                <w:p w14:paraId="347E3CCD">
                  <w:pPr>
                    <w:pStyle w:val="63"/>
                    <w:spacing w:before="24" w:after="24"/>
                    <w:rPr>
                      <w:rFonts w:hint="default" w:ascii="Times New Roman" w:hAnsi="Times New Roman" w:eastAsia="宋体" w:cs="Times New Roman"/>
                      <w:color w:val="000000" w:themeColor="text1"/>
                      <w:sz w:val="21"/>
                      <w:u w:val="none"/>
                      <w:lang w:val="en-US" w:eastAsia="zh-CN"/>
                      <w14:textFill>
                        <w14:solidFill>
                          <w14:schemeClr w14:val="tx1"/>
                        </w14:solidFill>
                      </w14:textFill>
                    </w:rPr>
                  </w:pPr>
                  <w:r>
                    <w:rPr>
                      <w:rFonts w:hint="eastAsia" w:ascii="Times New Roman" w:hAnsi="Times New Roman" w:cs="Times New Roman"/>
                      <w:color w:val="000000" w:themeColor="text1"/>
                      <w:sz w:val="21"/>
                      <w:u w:val="none"/>
                      <w:lang w:val="en-US" w:eastAsia="zh-CN"/>
                      <w14:textFill>
                        <w14:solidFill>
                          <w14:schemeClr w14:val="tx1"/>
                        </w14:solidFill>
                      </w14:textFill>
                    </w:rPr>
                    <w:t>15</w:t>
                  </w:r>
                </w:p>
              </w:tc>
              <w:tc>
                <w:tcPr>
                  <w:tcW w:w="884" w:type="dxa"/>
                  <w:tcBorders>
                    <w:top w:val="single" w:color="000000" w:sz="6" w:space="0"/>
                    <w:bottom w:val="single" w:color="000000" w:sz="6" w:space="0"/>
                  </w:tcBorders>
                  <w:vAlign w:val="center"/>
                </w:tcPr>
                <w:p w14:paraId="263A9CCB">
                  <w:pPr>
                    <w:pStyle w:val="63"/>
                    <w:spacing w:before="24" w:after="24"/>
                    <w:rPr>
                      <w:rFonts w:hint="default" w:ascii="Times New Roman" w:hAnsi="Times New Roman" w:eastAsia="宋体" w:cs="Times New Roman"/>
                      <w:color w:val="000000" w:themeColor="text1"/>
                      <w:sz w:val="21"/>
                      <w:u w:val="none"/>
                      <w14:textFill>
                        <w14:solidFill>
                          <w14:schemeClr w14:val="tx1"/>
                        </w14:solidFill>
                      </w14:textFill>
                    </w:rPr>
                  </w:pPr>
                  <w:r>
                    <w:rPr>
                      <w:rFonts w:hint="default" w:ascii="Times New Roman" w:hAnsi="Times New Roman" w:eastAsia="宋体" w:cs="Times New Roman"/>
                      <w:color w:val="000000" w:themeColor="text1"/>
                      <w:sz w:val="21"/>
                      <w:u w:val="none"/>
                      <w:lang w:val="en-US" w:eastAsia="zh-CN"/>
                      <w14:textFill>
                        <w14:solidFill>
                          <w14:schemeClr w14:val="tx1"/>
                        </w14:solidFill>
                      </w14:textFill>
                    </w:rPr>
                    <w:t>达标</w:t>
                  </w:r>
                </w:p>
              </w:tc>
            </w:tr>
            <w:tr w14:paraId="62D9B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8" w:type="dxa"/>
                  <w:vMerge w:val="continue"/>
                  <w:tcBorders>
                    <w:right w:val="single" w:color="000000" w:sz="6" w:space="0"/>
                  </w:tcBorders>
                  <w:vAlign w:val="center"/>
                </w:tcPr>
                <w:p w14:paraId="2E104A09">
                  <w:pPr>
                    <w:pStyle w:val="63"/>
                    <w:spacing w:before="24" w:after="24"/>
                    <w:rPr>
                      <w:rFonts w:hint="default" w:ascii="Times New Roman" w:hAnsi="Times New Roman" w:eastAsia="宋体" w:cs="Times New Roman"/>
                      <w:color w:val="000000" w:themeColor="text1"/>
                      <w:sz w:val="21"/>
                      <w:u w:val="none"/>
                      <w:lang w:val="en-US" w:eastAsia="zh-CN"/>
                      <w14:textFill>
                        <w14:solidFill>
                          <w14:schemeClr w14:val="tx1"/>
                        </w14:solidFill>
                      </w14:textFill>
                    </w:rPr>
                  </w:pPr>
                </w:p>
              </w:tc>
              <w:tc>
                <w:tcPr>
                  <w:tcW w:w="702" w:type="dxa"/>
                  <w:vAlign w:val="center"/>
                </w:tcPr>
                <w:p w14:paraId="33F9FAF4">
                  <w:pPr>
                    <w:pStyle w:val="63"/>
                    <w:spacing w:before="24" w:after="24"/>
                    <w:rPr>
                      <w:rFonts w:hint="default" w:ascii="Times New Roman" w:hAnsi="Times New Roman" w:eastAsia="宋体" w:cs="Times New Roman"/>
                      <w:color w:val="000000" w:themeColor="text1"/>
                      <w:sz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u w:val="none"/>
                      <w:lang w:val="en-US" w:eastAsia="zh-CN"/>
                      <w14:textFill>
                        <w14:solidFill>
                          <w14:schemeClr w14:val="tx1"/>
                        </w14:solidFill>
                      </w14:textFill>
                    </w:rPr>
                    <w:t>PM</w:t>
                  </w:r>
                  <w:r>
                    <w:rPr>
                      <w:rFonts w:hint="default" w:ascii="Times New Roman" w:hAnsi="Times New Roman" w:eastAsia="宋体" w:cs="Times New Roman"/>
                      <w:color w:val="000000" w:themeColor="text1"/>
                      <w:sz w:val="21"/>
                      <w:u w:val="none"/>
                      <w:vertAlign w:val="subscript"/>
                      <w:lang w:val="en-US" w:eastAsia="zh-CN"/>
                      <w14:textFill>
                        <w14:solidFill>
                          <w14:schemeClr w14:val="tx1"/>
                        </w14:solidFill>
                      </w14:textFill>
                    </w:rPr>
                    <w:t>10</w:t>
                  </w:r>
                </w:p>
              </w:tc>
              <w:tc>
                <w:tcPr>
                  <w:tcW w:w="1739" w:type="dxa"/>
                  <w:tcBorders>
                    <w:top w:val="single" w:color="000000" w:sz="6" w:space="0"/>
                    <w:bottom w:val="single" w:color="000000" w:sz="6" w:space="0"/>
                  </w:tcBorders>
                  <w:vAlign w:val="center"/>
                </w:tcPr>
                <w:p w14:paraId="0405392D">
                  <w:pPr>
                    <w:pStyle w:val="63"/>
                    <w:spacing w:before="24" w:after="24"/>
                    <w:rPr>
                      <w:rFonts w:hint="default" w:ascii="Times New Roman" w:hAnsi="Times New Roman" w:eastAsia="宋体" w:cs="Times New Roman"/>
                      <w:color w:val="000000" w:themeColor="text1"/>
                      <w:sz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u w:val="none"/>
                      <w:lang w:val="en-US" w:eastAsia="zh-CN"/>
                      <w14:textFill>
                        <w14:solidFill>
                          <w14:schemeClr w14:val="tx1"/>
                        </w14:solidFill>
                      </w14:textFill>
                    </w:rPr>
                    <w:t>年平均质量浓度</w:t>
                  </w:r>
                </w:p>
              </w:tc>
              <w:tc>
                <w:tcPr>
                  <w:tcW w:w="1095" w:type="dxa"/>
                  <w:tcBorders>
                    <w:top w:val="single" w:color="000000" w:sz="6" w:space="0"/>
                    <w:bottom w:val="single" w:color="000000" w:sz="6" w:space="0"/>
                  </w:tcBorders>
                  <w:vAlign w:val="center"/>
                </w:tcPr>
                <w:p w14:paraId="417B155B">
                  <w:pPr>
                    <w:pStyle w:val="63"/>
                    <w:spacing w:before="24" w:after="24"/>
                    <w:rPr>
                      <w:rFonts w:hint="default" w:ascii="Times New Roman" w:hAnsi="Times New Roman" w:eastAsia="宋体" w:cs="Times New Roman"/>
                      <w:color w:val="000000" w:themeColor="text1"/>
                      <w:sz w:val="21"/>
                      <w:u w:val="none"/>
                      <w:lang w:val="en-US" w:eastAsia="zh-CN"/>
                      <w14:textFill>
                        <w14:solidFill>
                          <w14:schemeClr w14:val="tx1"/>
                        </w14:solidFill>
                      </w14:textFill>
                    </w:rPr>
                  </w:pPr>
                  <w:r>
                    <w:rPr>
                      <w:rFonts w:hint="eastAsia" w:ascii="Times New Roman" w:hAnsi="Times New Roman" w:cs="Times New Roman"/>
                      <w:color w:val="000000" w:themeColor="text1"/>
                      <w:sz w:val="21"/>
                      <w:u w:val="none"/>
                      <w:lang w:val="en-US" w:eastAsia="zh-CN"/>
                      <w14:textFill>
                        <w14:solidFill>
                          <w14:schemeClr w14:val="tx1"/>
                        </w14:solidFill>
                      </w14:textFill>
                    </w:rPr>
                    <w:t>27</w:t>
                  </w:r>
                </w:p>
              </w:tc>
              <w:tc>
                <w:tcPr>
                  <w:tcW w:w="1494" w:type="dxa"/>
                  <w:tcBorders>
                    <w:top w:val="single" w:color="000000" w:sz="6" w:space="0"/>
                    <w:bottom w:val="single" w:color="000000" w:sz="6" w:space="0"/>
                  </w:tcBorders>
                  <w:vAlign w:val="center"/>
                </w:tcPr>
                <w:p w14:paraId="466717CF">
                  <w:pPr>
                    <w:pStyle w:val="63"/>
                    <w:spacing w:before="24" w:after="24"/>
                    <w:rPr>
                      <w:rFonts w:hint="default" w:ascii="Times New Roman" w:hAnsi="Times New Roman" w:eastAsia="宋体" w:cs="Times New Roman"/>
                      <w:color w:val="000000" w:themeColor="text1"/>
                      <w:sz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u w:val="none"/>
                      <w:lang w:val="en-US" w:eastAsia="zh-CN"/>
                      <w14:textFill>
                        <w14:solidFill>
                          <w14:schemeClr w14:val="tx1"/>
                        </w14:solidFill>
                      </w14:textFill>
                    </w:rPr>
                    <w:t>70</w:t>
                  </w:r>
                </w:p>
              </w:tc>
              <w:tc>
                <w:tcPr>
                  <w:tcW w:w="963" w:type="dxa"/>
                  <w:tcBorders>
                    <w:top w:val="single" w:color="000000" w:sz="6" w:space="0"/>
                    <w:bottom w:val="single" w:color="000000" w:sz="6" w:space="0"/>
                  </w:tcBorders>
                  <w:vAlign w:val="center"/>
                </w:tcPr>
                <w:p w14:paraId="01824C0E">
                  <w:pPr>
                    <w:pStyle w:val="63"/>
                    <w:spacing w:before="24" w:after="24"/>
                    <w:rPr>
                      <w:rFonts w:hint="default" w:ascii="Times New Roman" w:hAnsi="Times New Roman" w:eastAsia="宋体" w:cs="Times New Roman"/>
                      <w:color w:val="000000" w:themeColor="text1"/>
                      <w:sz w:val="21"/>
                      <w:u w:val="none"/>
                      <w:lang w:val="en-US" w:eastAsia="zh-CN"/>
                      <w14:textFill>
                        <w14:solidFill>
                          <w14:schemeClr w14:val="tx1"/>
                        </w14:solidFill>
                      </w14:textFill>
                    </w:rPr>
                  </w:pPr>
                  <w:r>
                    <w:rPr>
                      <w:rFonts w:hint="eastAsia" w:ascii="Times New Roman" w:hAnsi="Times New Roman" w:cs="Times New Roman"/>
                      <w:color w:val="000000" w:themeColor="text1"/>
                      <w:sz w:val="21"/>
                      <w:u w:val="none"/>
                      <w:lang w:val="en-US" w:eastAsia="zh-CN"/>
                      <w14:textFill>
                        <w14:solidFill>
                          <w14:schemeClr w14:val="tx1"/>
                        </w14:solidFill>
                      </w14:textFill>
                    </w:rPr>
                    <w:t>38.57</w:t>
                  </w:r>
                </w:p>
              </w:tc>
              <w:tc>
                <w:tcPr>
                  <w:tcW w:w="884" w:type="dxa"/>
                  <w:tcBorders>
                    <w:top w:val="single" w:color="000000" w:sz="6" w:space="0"/>
                    <w:bottom w:val="single" w:color="000000" w:sz="6" w:space="0"/>
                  </w:tcBorders>
                  <w:vAlign w:val="center"/>
                </w:tcPr>
                <w:p w14:paraId="436150BC">
                  <w:pPr>
                    <w:pStyle w:val="63"/>
                    <w:spacing w:before="24" w:after="24"/>
                    <w:rPr>
                      <w:rFonts w:hint="default" w:ascii="Times New Roman" w:hAnsi="Times New Roman" w:eastAsia="宋体" w:cs="Times New Roman"/>
                      <w:color w:val="000000" w:themeColor="text1"/>
                      <w:sz w:val="21"/>
                      <w:u w:val="none"/>
                      <w14:textFill>
                        <w14:solidFill>
                          <w14:schemeClr w14:val="tx1"/>
                        </w14:solidFill>
                      </w14:textFill>
                    </w:rPr>
                  </w:pPr>
                  <w:r>
                    <w:rPr>
                      <w:rFonts w:hint="default" w:ascii="Times New Roman" w:hAnsi="Times New Roman" w:eastAsia="宋体" w:cs="Times New Roman"/>
                      <w:color w:val="000000" w:themeColor="text1"/>
                      <w:sz w:val="21"/>
                      <w:u w:val="none"/>
                      <w:lang w:val="en-US" w:eastAsia="zh-CN"/>
                      <w14:textFill>
                        <w14:solidFill>
                          <w14:schemeClr w14:val="tx1"/>
                        </w14:solidFill>
                      </w14:textFill>
                    </w:rPr>
                    <w:t>达标</w:t>
                  </w:r>
                </w:p>
              </w:tc>
            </w:tr>
            <w:tr w14:paraId="58F26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8" w:type="dxa"/>
                  <w:vMerge w:val="continue"/>
                  <w:tcBorders>
                    <w:right w:val="single" w:color="000000" w:sz="6" w:space="0"/>
                  </w:tcBorders>
                  <w:vAlign w:val="center"/>
                </w:tcPr>
                <w:p w14:paraId="0E759C95">
                  <w:pPr>
                    <w:pStyle w:val="63"/>
                    <w:spacing w:before="24" w:after="24"/>
                    <w:rPr>
                      <w:rFonts w:hint="default" w:ascii="Times New Roman" w:hAnsi="Times New Roman" w:eastAsia="宋体" w:cs="Times New Roman"/>
                      <w:color w:val="000000" w:themeColor="text1"/>
                      <w:sz w:val="21"/>
                      <w:u w:val="none"/>
                      <w:lang w:val="en-US" w:eastAsia="zh-CN"/>
                      <w14:textFill>
                        <w14:solidFill>
                          <w14:schemeClr w14:val="tx1"/>
                        </w14:solidFill>
                      </w14:textFill>
                    </w:rPr>
                  </w:pPr>
                </w:p>
              </w:tc>
              <w:tc>
                <w:tcPr>
                  <w:tcW w:w="702" w:type="dxa"/>
                  <w:vAlign w:val="center"/>
                </w:tcPr>
                <w:p w14:paraId="62CA272D">
                  <w:pPr>
                    <w:pStyle w:val="63"/>
                    <w:spacing w:before="24" w:after="24"/>
                    <w:rPr>
                      <w:rFonts w:hint="default" w:ascii="Times New Roman" w:hAnsi="Times New Roman" w:eastAsia="宋体" w:cs="Times New Roman"/>
                      <w:color w:val="000000" w:themeColor="text1"/>
                      <w:sz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u w:val="none"/>
                      <w:lang w:val="en-US" w:eastAsia="zh-CN"/>
                      <w14:textFill>
                        <w14:solidFill>
                          <w14:schemeClr w14:val="tx1"/>
                        </w14:solidFill>
                      </w14:textFill>
                    </w:rPr>
                    <w:t>PM</w:t>
                  </w:r>
                  <w:r>
                    <w:rPr>
                      <w:rFonts w:hint="default" w:ascii="Times New Roman" w:hAnsi="Times New Roman" w:eastAsia="宋体" w:cs="Times New Roman"/>
                      <w:color w:val="000000" w:themeColor="text1"/>
                      <w:sz w:val="21"/>
                      <w:u w:val="none"/>
                      <w:vertAlign w:val="subscript"/>
                      <w:lang w:val="en-US" w:eastAsia="zh-CN"/>
                      <w14:textFill>
                        <w14:solidFill>
                          <w14:schemeClr w14:val="tx1"/>
                        </w14:solidFill>
                      </w14:textFill>
                    </w:rPr>
                    <w:t>2.5</w:t>
                  </w:r>
                </w:p>
              </w:tc>
              <w:tc>
                <w:tcPr>
                  <w:tcW w:w="1739" w:type="dxa"/>
                  <w:tcBorders>
                    <w:top w:val="single" w:color="000000" w:sz="6" w:space="0"/>
                    <w:bottom w:val="single" w:color="000000" w:sz="6" w:space="0"/>
                  </w:tcBorders>
                  <w:vAlign w:val="center"/>
                </w:tcPr>
                <w:p w14:paraId="2CF8EEFD">
                  <w:pPr>
                    <w:pStyle w:val="63"/>
                    <w:spacing w:before="24" w:after="24"/>
                    <w:rPr>
                      <w:rFonts w:hint="default" w:ascii="Times New Roman" w:hAnsi="Times New Roman" w:eastAsia="宋体" w:cs="Times New Roman"/>
                      <w:color w:val="000000" w:themeColor="text1"/>
                      <w:sz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u w:val="none"/>
                      <w:lang w:val="en-US" w:eastAsia="zh-CN"/>
                      <w14:textFill>
                        <w14:solidFill>
                          <w14:schemeClr w14:val="tx1"/>
                        </w14:solidFill>
                      </w14:textFill>
                    </w:rPr>
                    <w:t>年平均质量浓度</w:t>
                  </w:r>
                </w:p>
              </w:tc>
              <w:tc>
                <w:tcPr>
                  <w:tcW w:w="1095" w:type="dxa"/>
                  <w:tcBorders>
                    <w:top w:val="single" w:color="000000" w:sz="6" w:space="0"/>
                    <w:bottom w:val="single" w:color="000000" w:sz="6" w:space="0"/>
                  </w:tcBorders>
                  <w:vAlign w:val="center"/>
                </w:tcPr>
                <w:p w14:paraId="2C36E96F">
                  <w:pPr>
                    <w:pStyle w:val="63"/>
                    <w:spacing w:before="24" w:after="24"/>
                    <w:rPr>
                      <w:rFonts w:hint="default" w:ascii="Times New Roman" w:hAnsi="Times New Roman" w:eastAsia="宋体" w:cs="Times New Roman"/>
                      <w:color w:val="000000" w:themeColor="text1"/>
                      <w:sz w:val="21"/>
                      <w:u w:val="none"/>
                      <w:lang w:val="en-US" w:eastAsia="zh-CN"/>
                      <w14:textFill>
                        <w14:solidFill>
                          <w14:schemeClr w14:val="tx1"/>
                        </w14:solidFill>
                      </w14:textFill>
                    </w:rPr>
                  </w:pPr>
                  <w:r>
                    <w:rPr>
                      <w:rFonts w:hint="eastAsia" w:ascii="Times New Roman" w:hAnsi="Times New Roman" w:cs="Times New Roman"/>
                      <w:color w:val="000000" w:themeColor="text1"/>
                      <w:sz w:val="21"/>
                      <w:u w:val="none"/>
                      <w:lang w:val="en-US" w:eastAsia="zh-CN"/>
                      <w14:textFill>
                        <w14:solidFill>
                          <w14:schemeClr w14:val="tx1"/>
                        </w14:solidFill>
                      </w14:textFill>
                    </w:rPr>
                    <w:t>16</w:t>
                  </w:r>
                </w:p>
              </w:tc>
              <w:tc>
                <w:tcPr>
                  <w:tcW w:w="1494" w:type="dxa"/>
                  <w:tcBorders>
                    <w:top w:val="single" w:color="000000" w:sz="6" w:space="0"/>
                    <w:bottom w:val="single" w:color="000000" w:sz="6" w:space="0"/>
                  </w:tcBorders>
                  <w:vAlign w:val="center"/>
                </w:tcPr>
                <w:p w14:paraId="26068519">
                  <w:pPr>
                    <w:pStyle w:val="63"/>
                    <w:spacing w:before="24" w:after="24"/>
                    <w:rPr>
                      <w:rFonts w:hint="default" w:ascii="Times New Roman" w:hAnsi="Times New Roman" w:eastAsia="宋体" w:cs="Times New Roman"/>
                      <w:color w:val="000000" w:themeColor="text1"/>
                      <w:sz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u w:val="none"/>
                      <w:lang w:val="en-US" w:eastAsia="zh-CN"/>
                      <w14:textFill>
                        <w14:solidFill>
                          <w14:schemeClr w14:val="tx1"/>
                        </w14:solidFill>
                      </w14:textFill>
                    </w:rPr>
                    <w:t>35</w:t>
                  </w:r>
                </w:p>
              </w:tc>
              <w:tc>
                <w:tcPr>
                  <w:tcW w:w="963" w:type="dxa"/>
                  <w:tcBorders>
                    <w:top w:val="single" w:color="000000" w:sz="6" w:space="0"/>
                    <w:bottom w:val="single" w:color="000000" w:sz="6" w:space="0"/>
                  </w:tcBorders>
                  <w:vAlign w:val="center"/>
                </w:tcPr>
                <w:p w14:paraId="52B7215C">
                  <w:pPr>
                    <w:pStyle w:val="63"/>
                    <w:spacing w:before="24" w:after="24"/>
                    <w:rPr>
                      <w:rFonts w:hint="default" w:ascii="Times New Roman" w:hAnsi="Times New Roman" w:eastAsia="宋体" w:cs="Times New Roman"/>
                      <w:color w:val="000000" w:themeColor="text1"/>
                      <w:sz w:val="21"/>
                      <w:u w:val="none"/>
                      <w:lang w:val="en-US" w:eastAsia="zh-CN"/>
                      <w14:textFill>
                        <w14:solidFill>
                          <w14:schemeClr w14:val="tx1"/>
                        </w14:solidFill>
                      </w14:textFill>
                    </w:rPr>
                  </w:pPr>
                  <w:r>
                    <w:rPr>
                      <w:rFonts w:hint="eastAsia" w:ascii="Times New Roman" w:hAnsi="Times New Roman" w:cs="Times New Roman"/>
                      <w:color w:val="000000" w:themeColor="text1"/>
                      <w:sz w:val="21"/>
                      <w:u w:val="none"/>
                      <w:lang w:val="en-US" w:eastAsia="zh-CN"/>
                      <w14:textFill>
                        <w14:solidFill>
                          <w14:schemeClr w14:val="tx1"/>
                        </w14:solidFill>
                      </w14:textFill>
                    </w:rPr>
                    <w:t>45.71</w:t>
                  </w:r>
                </w:p>
              </w:tc>
              <w:tc>
                <w:tcPr>
                  <w:tcW w:w="884" w:type="dxa"/>
                  <w:tcBorders>
                    <w:top w:val="single" w:color="000000" w:sz="6" w:space="0"/>
                    <w:bottom w:val="single" w:color="000000" w:sz="6" w:space="0"/>
                  </w:tcBorders>
                  <w:vAlign w:val="center"/>
                </w:tcPr>
                <w:p w14:paraId="17FFC1F6">
                  <w:pPr>
                    <w:pStyle w:val="63"/>
                    <w:spacing w:before="24" w:after="24"/>
                    <w:rPr>
                      <w:rFonts w:hint="default" w:ascii="Times New Roman" w:hAnsi="Times New Roman" w:eastAsia="宋体" w:cs="Times New Roman"/>
                      <w:color w:val="000000" w:themeColor="text1"/>
                      <w:sz w:val="21"/>
                      <w:u w:val="none"/>
                      <w14:textFill>
                        <w14:solidFill>
                          <w14:schemeClr w14:val="tx1"/>
                        </w14:solidFill>
                      </w14:textFill>
                    </w:rPr>
                  </w:pPr>
                  <w:r>
                    <w:rPr>
                      <w:rFonts w:hint="default" w:ascii="Times New Roman" w:hAnsi="Times New Roman" w:eastAsia="宋体" w:cs="Times New Roman"/>
                      <w:color w:val="000000" w:themeColor="text1"/>
                      <w:sz w:val="21"/>
                      <w:u w:val="none"/>
                      <w:lang w:val="en-US" w:eastAsia="zh-CN"/>
                      <w14:textFill>
                        <w14:solidFill>
                          <w14:schemeClr w14:val="tx1"/>
                        </w14:solidFill>
                      </w14:textFill>
                    </w:rPr>
                    <w:t>达标</w:t>
                  </w:r>
                </w:p>
              </w:tc>
            </w:tr>
            <w:tr w14:paraId="6EC86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8" w:type="dxa"/>
                  <w:vMerge w:val="continue"/>
                  <w:tcBorders>
                    <w:right w:val="single" w:color="000000" w:sz="6" w:space="0"/>
                  </w:tcBorders>
                  <w:vAlign w:val="center"/>
                </w:tcPr>
                <w:p w14:paraId="2D1BBBC3">
                  <w:pPr>
                    <w:pStyle w:val="63"/>
                    <w:spacing w:before="24" w:after="24"/>
                    <w:rPr>
                      <w:rFonts w:hint="default" w:ascii="Times New Roman" w:hAnsi="Times New Roman" w:eastAsia="宋体" w:cs="Times New Roman"/>
                      <w:color w:val="000000" w:themeColor="text1"/>
                      <w:sz w:val="21"/>
                      <w:u w:val="none"/>
                      <w:lang w:val="en-US" w:eastAsia="zh-CN"/>
                      <w14:textFill>
                        <w14:solidFill>
                          <w14:schemeClr w14:val="tx1"/>
                        </w14:solidFill>
                      </w14:textFill>
                    </w:rPr>
                  </w:pPr>
                </w:p>
              </w:tc>
              <w:tc>
                <w:tcPr>
                  <w:tcW w:w="702" w:type="dxa"/>
                  <w:vAlign w:val="center"/>
                </w:tcPr>
                <w:p w14:paraId="26AAE468">
                  <w:pPr>
                    <w:pStyle w:val="63"/>
                    <w:spacing w:before="24" w:after="24"/>
                    <w:rPr>
                      <w:rFonts w:hint="default" w:ascii="Times New Roman" w:hAnsi="Times New Roman" w:eastAsia="宋体" w:cs="Times New Roman"/>
                      <w:color w:val="000000" w:themeColor="text1"/>
                      <w:sz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u w:val="none"/>
                      <w:lang w:val="en-US" w:eastAsia="zh-CN"/>
                      <w14:textFill>
                        <w14:solidFill>
                          <w14:schemeClr w14:val="tx1"/>
                        </w14:solidFill>
                      </w14:textFill>
                    </w:rPr>
                    <w:t>CO</w:t>
                  </w:r>
                </w:p>
              </w:tc>
              <w:tc>
                <w:tcPr>
                  <w:tcW w:w="1739" w:type="dxa"/>
                  <w:tcBorders>
                    <w:top w:val="single" w:color="000000" w:sz="6" w:space="0"/>
                    <w:bottom w:val="single" w:color="000000" w:sz="6" w:space="0"/>
                  </w:tcBorders>
                  <w:vAlign w:val="center"/>
                </w:tcPr>
                <w:p w14:paraId="0CD6BFBF">
                  <w:pPr>
                    <w:pStyle w:val="63"/>
                    <w:spacing w:before="24" w:after="24"/>
                    <w:rPr>
                      <w:rFonts w:hint="default" w:ascii="Times New Roman" w:hAnsi="Times New Roman" w:eastAsia="宋体" w:cs="Times New Roman"/>
                      <w:color w:val="000000" w:themeColor="text1"/>
                      <w:sz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u w:val="none"/>
                      <w:lang w:val="en-US" w:eastAsia="zh-CN"/>
                      <w14:textFill>
                        <w14:solidFill>
                          <w14:schemeClr w14:val="tx1"/>
                        </w14:solidFill>
                      </w14:textFill>
                    </w:rPr>
                    <w:t>年平均质量浓度</w:t>
                  </w:r>
                </w:p>
              </w:tc>
              <w:tc>
                <w:tcPr>
                  <w:tcW w:w="1095" w:type="dxa"/>
                  <w:tcBorders>
                    <w:top w:val="single" w:color="000000" w:sz="6" w:space="0"/>
                    <w:bottom w:val="single" w:color="000000" w:sz="6" w:space="0"/>
                  </w:tcBorders>
                  <w:vAlign w:val="center"/>
                </w:tcPr>
                <w:p w14:paraId="3BEC5903">
                  <w:pPr>
                    <w:pStyle w:val="63"/>
                    <w:spacing w:before="24" w:after="24"/>
                    <w:rPr>
                      <w:rFonts w:hint="default" w:ascii="Times New Roman" w:hAnsi="Times New Roman" w:eastAsia="宋体" w:cs="Times New Roman"/>
                      <w:color w:val="000000" w:themeColor="text1"/>
                      <w:sz w:val="21"/>
                      <w:u w:val="none"/>
                      <w:lang w:val="en-US" w:eastAsia="zh-CN"/>
                      <w14:textFill>
                        <w14:solidFill>
                          <w14:schemeClr w14:val="tx1"/>
                        </w14:solidFill>
                      </w14:textFill>
                    </w:rPr>
                  </w:pPr>
                  <w:r>
                    <w:rPr>
                      <w:rFonts w:hint="eastAsia" w:ascii="Times New Roman" w:hAnsi="Times New Roman" w:cs="Times New Roman"/>
                      <w:color w:val="000000" w:themeColor="text1"/>
                      <w:sz w:val="21"/>
                      <w:u w:val="none"/>
                      <w:lang w:val="en-US" w:eastAsia="zh-CN"/>
                      <w14:textFill>
                        <w14:solidFill>
                          <w14:schemeClr w14:val="tx1"/>
                        </w14:solidFill>
                      </w14:textFill>
                    </w:rPr>
                    <w:t>0.8</w:t>
                  </w:r>
                </w:p>
              </w:tc>
              <w:tc>
                <w:tcPr>
                  <w:tcW w:w="1494" w:type="dxa"/>
                  <w:tcBorders>
                    <w:top w:val="single" w:color="000000" w:sz="6" w:space="0"/>
                    <w:bottom w:val="single" w:color="000000" w:sz="6" w:space="0"/>
                  </w:tcBorders>
                  <w:vAlign w:val="center"/>
                </w:tcPr>
                <w:p w14:paraId="2F5867FB">
                  <w:pPr>
                    <w:pStyle w:val="63"/>
                    <w:spacing w:before="24" w:after="24"/>
                    <w:rPr>
                      <w:rFonts w:hint="default" w:ascii="Times New Roman" w:hAnsi="Times New Roman" w:eastAsia="宋体" w:cs="Times New Roman"/>
                      <w:color w:val="000000" w:themeColor="text1"/>
                      <w:sz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u w:val="none"/>
                      <w:lang w:val="en-US" w:eastAsia="zh-CN"/>
                      <w14:textFill>
                        <w14:solidFill>
                          <w14:schemeClr w14:val="tx1"/>
                        </w14:solidFill>
                      </w14:textFill>
                    </w:rPr>
                    <w:t>4</w:t>
                  </w:r>
                </w:p>
              </w:tc>
              <w:tc>
                <w:tcPr>
                  <w:tcW w:w="963" w:type="dxa"/>
                  <w:tcBorders>
                    <w:top w:val="single" w:color="000000" w:sz="6" w:space="0"/>
                    <w:bottom w:val="single" w:color="000000" w:sz="6" w:space="0"/>
                  </w:tcBorders>
                  <w:vAlign w:val="center"/>
                </w:tcPr>
                <w:p w14:paraId="5554FBC1">
                  <w:pPr>
                    <w:pStyle w:val="63"/>
                    <w:spacing w:before="24" w:after="24"/>
                    <w:rPr>
                      <w:rFonts w:hint="default" w:ascii="Times New Roman" w:hAnsi="Times New Roman" w:eastAsia="宋体" w:cs="Times New Roman"/>
                      <w:color w:val="000000" w:themeColor="text1"/>
                      <w:sz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u w:val="none"/>
                      <w:lang w:val="en-US" w:eastAsia="zh-CN"/>
                      <w14:textFill>
                        <w14:solidFill>
                          <w14:schemeClr w14:val="tx1"/>
                        </w14:solidFill>
                      </w14:textFill>
                    </w:rPr>
                    <w:t>2</w:t>
                  </w:r>
                  <w:r>
                    <w:rPr>
                      <w:rFonts w:hint="eastAsia" w:ascii="Times New Roman" w:hAnsi="Times New Roman" w:cs="Times New Roman"/>
                      <w:color w:val="000000" w:themeColor="text1"/>
                      <w:sz w:val="21"/>
                      <w:u w:val="none"/>
                      <w:lang w:val="en-US" w:eastAsia="zh-CN"/>
                      <w14:textFill>
                        <w14:solidFill>
                          <w14:schemeClr w14:val="tx1"/>
                        </w14:solidFill>
                      </w14:textFill>
                    </w:rPr>
                    <w:t>0</w:t>
                  </w:r>
                </w:p>
              </w:tc>
              <w:tc>
                <w:tcPr>
                  <w:tcW w:w="884" w:type="dxa"/>
                  <w:tcBorders>
                    <w:top w:val="single" w:color="000000" w:sz="6" w:space="0"/>
                    <w:bottom w:val="single" w:color="000000" w:sz="6" w:space="0"/>
                  </w:tcBorders>
                  <w:vAlign w:val="center"/>
                </w:tcPr>
                <w:p w14:paraId="70F861C0">
                  <w:pPr>
                    <w:pStyle w:val="63"/>
                    <w:spacing w:before="24" w:after="24"/>
                    <w:rPr>
                      <w:rFonts w:hint="default" w:ascii="Times New Roman" w:hAnsi="Times New Roman" w:eastAsia="宋体" w:cs="Times New Roman"/>
                      <w:color w:val="000000" w:themeColor="text1"/>
                      <w:sz w:val="21"/>
                      <w:u w:val="none"/>
                      <w14:textFill>
                        <w14:solidFill>
                          <w14:schemeClr w14:val="tx1"/>
                        </w14:solidFill>
                      </w14:textFill>
                    </w:rPr>
                  </w:pPr>
                  <w:r>
                    <w:rPr>
                      <w:rFonts w:hint="default" w:ascii="Times New Roman" w:hAnsi="Times New Roman" w:eastAsia="宋体" w:cs="Times New Roman"/>
                      <w:color w:val="000000" w:themeColor="text1"/>
                      <w:sz w:val="21"/>
                      <w:u w:val="none"/>
                      <w:lang w:val="en-US" w:eastAsia="zh-CN"/>
                      <w14:textFill>
                        <w14:solidFill>
                          <w14:schemeClr w14:val="tx1"/>
                        </w14:solidFill>
                      </w14:textFill>
                    </w:rPr>
                    <w:t>达标</w:t>
                  </w:r>
                </w:p>
              </w:tc>
            </w:tr>
            <w:tr w14:paraId="5AF98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8" w:type="dxa"/>
                  <w:vMerge w:val="continue"/>
                  <w:tcBorders>
                    <w:right w:val="single" w:color="000000" w:sz="6" w:space="0"/>
                  </w:tcBorders>
                  <w:vAlign w:val="center"/>
                </w:tcPr>
                <w:p w14:paraId="71EE2D93">
                  <w:pPr>
                    <w:pStyle w:val="63"/>
                    <w:spacing w:before="24" w:after="24"/>
                    <w:rPr>
                      <w:rFonts w:hint="default" w:ascii="Times New Roman" w:hAnsi="Times New Roman" w:eastAsia="宋体" w:cs="Times New Roman"/>
                      <w:color w:val="000000" w:themeColor="text1"/>
                      <w:sz w:val="21"/>
                      <w:u w:val="none"/>
                      <w:lang w:val="en-US" w:eastAsia="zh-CN"/>
                      <w14:textFill>
                        <w14:solidFill>
                          <w14:schemeClr w14:val="tx1"/>
                        </w14:solidFill>
                      </w14:textFill>
                    </w:rPr>
                  </w:pPr>
                </w:p>
              </w:tc>
              <w:tc>
                <w:tcPr>
                  <w:tcW w:w="702" w:type="dxa"/>
                  <w:vAlign w:val="center"/>
                </w:tcPr>
                <w:p w14:paraId="3DD82F4F">
                  <w:pPr>
                    <w:pStyle w:val="63"/>
                    <w:spacing w:before="24" w:after="24"/>
                    <w:rPr>
                      <w:rFonts w:hint="default" w:ascii="Times New Roman" w:hAnsi="Times New Roman" w:eastAsia="宋体" w:cs="Times New Roman"/>
                      <w:color w:val="000000" w:themeColor="text1"/>
                      <w:sz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u w:val="none"/>
                      <w:lang w:val="en-US" w:eastAsia="zh-CN"/>
                      <w14:textFill>
                        <w14:solidFill>
                          <w14:schemeClr w14:val="tx1"/>
                        </w14:solidFill>
                      </w14:textFill>
                    </w:rPr>
                    <w:t>O</w:t>
                  </w:r>
                  <w:r>
                    <w:rPr>
                      <w:rFonts w:hint="default" w:ascii="Times New Roman" w:hAnsi="Times New Roman" w:eastAsia="宋体" w:cs="Times New Roman"/>
                      <w:color w:val="000000" w:themeColor="text1"/>
                      <w:sz w:val="21"/>
                      <w:u w:val="none"/>
                      <w:vertAlign w:val="subscript"/>
                      <w:lang w:val="en-US" w:eastAsia="zh-CN"/>
                      <w14:textFill>
                        <w14:solidFill>
                          <w14:schemeClr w14:val="tx1"/>
                        </w14:solidFill>
                      </w14:textFill>
                    </w:rPr>
                    <w:t>3</w:t>
                  </w:r>
                </w:p>
              </w:tc>
              <w:tc>
                <w:tcPr>
                  <w:tcW w:w="1739" w:type="dxa"/>
                  <w:tcBorders>
                    <w:top w:val="single" w:color="000000" w:sz="6" w:space="0"/>
                    <w:bottom w:val="single" w:color="000000" w:sz="6" w:space="0"/>
                  </w:tcBorders>
                  <w:vAlign w:val="center"/>
                </w:tcPr>
                <w:p w14:paraId="111CFDEE">
                  <w:pPr>
                    <w:pStyle w:val="63"/>
                    <w:spacing w:before="24" w:after="24"/>
                    <w:rPr>
                      <w:rFonts w:hint="default" w:ascii="Times New Roman" w:hAnsi="Times New Roman" w:eastAsia="宋体" w:cs="Times New Roman"/>
                      <w:color w:val="000000" w:themeColor="text1"/>
                      <w:sz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u w:val="none"/>
                      <w:lang w:val="en-US" w:eastAsia="zh-CN"/>
                      <w14:textFill>
                        <w14:solidFill>
                          <w14:schemeClr w14:val="tx1"/>
                        </w14:solidFill>
                      </w14:textFill>
                    </w:rPr>
                    <w:t>年8h平均质量浓度</w:t>
                  </w:r>
                </w:p>
              </w:tc>
              <w:tc>
                <w:tcPr>
                  <w:tcW w:w="1095" w:type="dxa"/>
                  <w:tcBorders>
                    <w:top w:val="single" w:color="000000" w:sz="6" w:space="0"/>
                    <w:bottom w:val="single" w:color="000000" w:sz="6" w:space="0"/>
                  </w:tcBorders>
                  <w:vAlign w:val="center"/>
                </w:tcPr>
                <w:p w14:paraId="3FF361C1">
                  <w:pPr>
                    <w:pStyle w:val="63"/>
                    <w:spacing w:before="24" w:after="24"/>
                    <w:rPr>
                      <w:rFonts w:hint="default" w:ascii="Times New Roman" w:hAnsi="Times New Roman" w:eastAsia="宋体" w:cs="Times New Roman"/>
                      <w:color w:val="000000" w:themeColor="text1"/>
                      <w:sz w:val="21"/>
                      <w:u w:val="none"/>
                      <w:lang w:val="en-US" w:eastAsia="zh-CN"/>
                      <w14:textFill>
                        <w14:solidFill>
                          <w14:schemeClr w14:val="tx1"/>
                        </w14:solidFill>
                      </w14:textFill>
                    </w:rPr>
                  </w:pPr>
                  <w:r>
                    <w:rPr>
                      <w:rFonts w:hint="eastAsia" w:ascii="Times New Roman" w:hAnsi="Times New Roman" w:cs="Times New Roman"/>
                      <w:color w:val="000000" w:themeColor="text1"/>
                      <w:sz w:val="21"/>
                      <w:u w:val="none"/>
                      <w:lang w:val="en-US" w:eastAsia="zh-CN"/>
                      <w14:textFill>
                        <w14:solidFill>
                          <w14:schemeClr w14:val="tx1"/>
                        </w14:solidFill>
                      </w14:textFill>
                    </w:rPr>
                    <w:t>103</w:t>
                  </w:r>
                </w:p>
              </w:tc>
              <w:tc>
                <w:tcPr>
                  <w:tcW w:w="1494" w:type="dxa"/>
                  <w:tcBorders>
                    <w:top w:val="single" w:color="000000" w:sz="6" w:space="0"/>
                    <w:bottom w:val="single" w:color="000000" w:sz="6" w:space="0"/>
                  </w:tcBorders>
                  <w:vAlign w:val="center"/>
                </w:tcPr>
                <w:p w14:paraId="782E32D6">
                  <w:pPr>
                    <w:pStyle w:val="63"/>
                    <w:spacing w:before="24" w:after="24"/>
                    <w:rPr>
                      <w:rFonts w:hint="default" w:ascii="Times New Roman" w:hAnsi="Times New Roman" w:eastAsia="宋体" w:cs="Times New Roman"/>
                      <w:color w:val="000000" w:themeColor="text1"/>
                      <w:sz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u w:val="none"/>
                      <w:lang w:val="en-US" w:eastAsia="zh-CN"/>
                      <w14:textFill>
                        <w14:solidFill>
                          <w14:schemeClr w14:val="tx1"/>
                        </w14:solidFill>
                      </w14:textFill>
                    </w:rPr>
                    <w:t>160</w:t>
                  </w:r>
                </w:p>
              </w:tc>
              <w:tc>
                <w:tcPr>
                  <w:tcW w:w="963" w:type="dxa"/>
                  <w:tcBorders>
                    <w:top w:val="single" w:color="000000" w:sz="6" w:space="0"/>
                    <w:bottom w:val="single" w:color="000000" w:sz="6" w:space="0"/>
                  </w:tcBorders>
                  <w:vAlign w:val="center"/>
                </w:tcPr>
                <w:p w14:paraId="76A6712F">
                  <w:pPr>
                    <w:pStyle w:val="63"/>
                    <w:spacing w:before="24" w:after="24"/>
                    <w:rPr>
                      <w:rFonts w:hint="default" w:ascii="Times New Roman" w:hAnsi="Times New Roman" w:eastAsia="宋体" w:cs="Times New Roman"/>
                      <w:color w:val="000000" w:themeColor="text1"/>
                      <w:sz w:val="21"/>
                      <w:u w:val="none"/>
                      <w:lang w:val="en-US" w:eastAsia="zh-CN"/>
                      <w14:textFill>
                        <w14:solidFill>
                          <w14:schemeClr w14:val="tx1"/>
                        </w14:solidFill>
                      </w14:textFill>
                    </w:rPr>
                  </w:pPr>
                  <w:r>
                    <w:rPr>
                      <w:rFonts w:hint="eastAsia" w:ascii="Times New Roman" w:hAnsi="Times New Roman" w:cs="Times New Roman"/>
                      <w:color w:val="000000" w:themeColor="text1"/>
                      <w:sz w:val="21"/>
                      <w:u w:val="none"/>
                      <w:lang w:val="en-US" w:eastAsia="zh-CN"/>
                      <w14:textFill>
                        <w14:solidFill>
                          <w14:schemeClr w14:val="tx1"/>
                        </w14:solidFill>
                      </w14:textFill>
                    </w:rPr>
                    <w:t>64.38</w:t>
                  </w:r>
                </w:p>
              </w:tc>
              <w:tc>
                <w:tcPr>
                  <w:tcW w:w="884" w:type="dxa"/>
                  <w:tcBorders>
                    <w:top w:val="single" w:color="000000" w:sz="6" w:space="0"/>
                    <w:bottom w:val="single" w:color="000000" w:sz="6" w:space="0"/>
                  </w:tcBorders>
                  <w:vAlign w:val="center"/>
                </w:tcPr>
                <w:p w14:paraId="7900B32C">
                  <w:pPr>
                    <w:pStyle w:val="63"/>
                    <w:spacing w:before="24" w:after="24"/>
                    <w:rPr>
                      <w:rFonts w:hint="default" w:ascii="Times New Roman" w:hAnsi="Times New Roman" w:eastAsia="宋体" w:cs="Times New Roman"/>
                      <w:color w:val="000000" w:themeColor="text1"/>
                      <w:sz w:val="21"/>
                      <w:u w:val="none"/>
                      <w14:textFill>
                        <w14:solidFill>
                          <w14:schemeClr w14:val="tx1"/>
                        </w14:solidFill>
                      </w14:textFill>
                    </w:rPr>
                  </w:pPr>
                  <w:r>
                    <w:rPr>
                      <w:rFonts w:hint="default" w:ascii="Times New Roman" w:hAnsi="Times New Roman" w:eastAsia="宋体" w:cs="Times New Roman"/>
                      <w:color w:val="000000" w:themeColor="text1"/>
                      <w:sz w:val="21"/>
                      <w:u w:val="none"/>
                      <w:lang w:val="en-US" w:eastAsia="zh-CN"/>
                      <w14:textFill>
                        <w14:solidFill>
                          <w14:schemeClr w14:val="tx1"/>
                        </w14:solidFill>
                      </w14:textFill>
                    </w:rPr>
                    <w:t>达标</w:t>
                  </w:r>
                </w:p>
              </w:tc>
            </w:tr>
          </w:tbl>
          <w:p w14:paraId="4BC6DEA4">
            <w:pPr>
              <w:adjustRightInd/>
              <w:snapToGrid/>
              <w:spacing w:before="0" w:beforeLines="-2147483648" w:line="360" w:lineRule="auto"/>
              <w:ind w:firstLine="480" w:firstLineChars="200"/>
              <w:jc w:val="left"/>
              <w:rPr>
                <w:color w:val="000000" w:themeColor="text1"/>
                <w:highlight w:val="none"/>
                <w:u w:val="none"/>
                <w14:textFill>
                  <w14:solidFill>
                    <w14:schemeClr w14:val="tx1"/>
                  </w14:solidFill>
                </w14:textFill>
              </w:rPr>
            </w:pPr>
            <w:r>
              <w:rPr>
                <w:color w:val="000000" w:themeColor="text1"/>
                <w:highlight w:val="none"/>
                <w:u w:val="none"/>
                <w14:textFill>
                  <w14:solidFill>
                    <w14:schemeClr w14:val="tx1"/>
                  </w14:solidFill>
                </w14:textFill>
              </w:rPr>
              <w:t>本次评价结合上表数据，根据《环境影响评价技术导则大气环境》（HJ2.2-2018），判定本项目所在区域的环境空气质量为达标区。</w:t>
            </w:r>
          </w:p>
          <w:p w14:paraId="6BDDB104">
            <w:pPr>
              <w:adjustRightInd/>
              <w:snapToGrid/>
              <w:spacing w:before="0" w:beforeLines="-2147483648" w:line="360" w:lineRule="auto"/>
              <w:ind w:firstLine="480" w:firstLineChars="200"/>
              <w:jc w:val="left"/>
              <w:rPr>
                <w:rFonts w:hint="default" w:ascii="Times New Roman" w:hAnsi="Times New Roman" w:eastAsia="宋体" w:cs="Times New Roman"/>
                <w:color w:val="000000" w:themeColor="text1"/>
                <w:highlight w:val="none"/>
                <w:u w:val="wave"/>
                <w14:textFill>
                  <w14:solidFill>
                    <w14:schemeClr w14:val="tx1"/>
                  </w14:solidFill>
                </w14:textFill>
              </w:rPr>
            </w:pPr>
            <w:r>
              <w:rPr>
                <w:rFonts w:hint="default"/>
                <w:color w:val="000000" w:themeColor="text1"/>
                <w:highlight w:val="none"/>
                <w:u w:val="wave"/>
                <w14:textFill>
                  <w14:solidFill>
                    <w14:schemeClr w14:val="tx1"/>
                  </w14:solidFill>
                </w14:textFill>
              </w:rPr>
              <w:t>本项目TSP现状数据引用《通道产业开发区2024年度第一期环境质量自行监测报告》中2024年4月19日-4月25日园区北侧G1监测数据，该监测点位于本项目</w:t>
            </w:r>
            <w:r>
              <w:rPr>
                <w:rFonts w:hint="eastAsia" w:ascii="Times New Roman" w:hAnsi="Times New Roman" w:eastAsia="宋体" w:cs="Times New Roman"/>
                <w:color w:val="000000" w:themeColor="text1"/>
                <w:highlight w:val="none"/>
                <w:u w:val="wave"/>
                <w:lang w:val="en-US" w:eastAsia="zh-CN"/>
                <w14:textFill>
                  <w14:solidFill>
                    <w14:schemeClr w14:val="tx1"/>
                  </w14:solidFill>
                </w14:textFill>
              </w:rPr>
              <w:t>西北</w:t>
            </w:r>
            <w:r>
              <w:rPr>
                <w:rFonts w:hint="eastAsia" w:ascii="Times New Roman" w:hAnsi="Times New Roman" w:eastAsia="宋体" w:cs="Times New Roman"/>
                <w:color w:val="000000" w:themeColor="text1"/>
                <w:highlight w:val="none"/>
                <w:u w:val="wave"/>
                <w:lang w:eastAsia="zh-CN"/>
                <w14:textFill>
                  <w14:solidFill>
                    <w14:schemeClr w14:val="tx1"/>
                  </w14:solidFill>
                </w14:textFill>
              </w:rPr>
              <w:t>4</w:t>
            </w:r>
            <w:r>
              <w:rPr>
                <w:rFonts w:hint="eastAsia" w:ascii="Times New Roman" w:hAnsi="Times New Roman" w:eastAsia="宋体" w:cs="Times New Roman"/>
                <w:color w:val="000000" w:themeColor="text1"/>
                <w:highlight w:val="none"/>
                <w:u w:val="wave"/>
                <w:lang w:val="en-US" w:eastAsia="zh-CN"/>
                <w14:textFill>
                  <w14:solidFill>
                    <w14:schemeClr w14:val="tx1"/>
                  </w14:solidFill>
                </w14:textFill>
              </w:rPr>
              <w:t>.86公里</w:t>
            </w:r>
            <w:r>
              <w:rPr>
                <w:rFonts w:hint="default"/>
                <w:color w:val="000000" w:themeColor="text1"/>
                <w:highlight w:val="none"/>
                <w:u w:val="wave"/>
                <w14:textFill>
                  <w14:solidFill>
                    <w14:schemeClr w14:val="tx1"/>
                  </w14:solidFill>
                </w14:textFill>
              </w:rPr>
              <w:t>。</w:t>
            </w:r>
          </w:p>
          <w:p w14:paraId="06FEE45E">
            <w:pPr>
              <w:keepNext w:val="0"/>
              <w:keepLines w:val="0"/>
              <w:widowControl/>
              <w:suppressLineNumbers w:val="0"/>
              <w:spacing w:line="240" w:lineRule="auto"/>
              <w:ind w:firstLine="2530" w:firstLineChars="1200"/>
              <w:jc w:val="left"/>
              <w:rPr>
                <w:rFonts w:ascii="Times New Roman" w:hAnsi="Times New Roman" w:eastAsia="宋体" w:cs="Times New Roman"/>
                <w:b/>
                <w:color w:val="000000" w:themeColor="text1"/>
                <w:kern w:val="0"/>
                <w:sz w:val="21"/>
                <w:szCs w:val="21"/>
                <w:highlight w:val="none"/>
                <w:u w:val="wave"/>
                <w:lang w:val="en-US" w:eastAsia="zh-CN" w:bidi="ar-SA"/>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u w:val="wave"/>
                <w:lang w:val="en-US" w:eastAsia="zh-CN" w:bidi="ar-SA"/>
                <w14:textFill>
                  <w14:solidFill>
                    <w14:schemeClr w14:val="tx1"/>
                  </w14:solidFill>
                </w14:textFill>
              </w:rPr>
              <w:t>3.</w:t>
            </w:r>
            <w:r>
              <w:rPr>
                <w:rFonts w:hint="eastAsia" w:cs="Times New Roman"/>
                <w:b/>
                <w:color w:val="000000" w:themeColor="text1"/>
                <w:kern w:val="0"/>
                <w:sz w:val="21"/>
                <w:szCs w:val="21"/>
                <w:highlight w:val="none"/>
                <w:u w:val="wave"/>
                <w:lang w:val="en-US" w:eastAsia="zh-CN" w:bidi="ar-SA"/>
                <w14:textFill>
                  <w14:solidFill>
                    <w14:schemeClr w14:val="tx1"/>
                  </w14:solidFill>
                </w14:textFill>
              </w:rPr>
              <w:t>2</w:t>
            </w:r>
            <w:r>
              <w:rPr>
                <w:rFonts w:hint="default" w:ascii="Times New Roman" w:hAnsi="Times New Roman" w:eastAsia="宋体" w:cs="Times New Roman"/>
                <w:b/>
                <w:color w:val="000000" w:themeColor="text1"/>
                <w:kern w:val="0"/>
                <w:sz w:val="21"/>
                <w:szCs w:val="21"/>
                <w:highlight w:val="none"/>
                <w:u w:val="wave"/>
                <w:lang w:val="en-US" w:eastAsia="zh-CN" w:bidi="ar-SA"/>
                <w14:textFill>
                  <w14:solidFill>
                    <w14:schemeClr w14:val="tx1"/>
                  </w14:solidFill>
                </w14:textFill>
              </w:rPr>
              <w:t>-</w:t>
            </w:r>
            <w:r>
              <w:rPr>
                <w:rFonts w:hint="eastAsia" w:ascii="Times New Roman" w:hAnsi="Times New Roman" w:eastAsia="宋体" w:cs="Times New Roman"/>
                <w:b/>
                <w:color w:val="000000" w:themeColor="text1"/>
                <w:kern w:val="0"/>
                <w:sz w:val="21"/>
                <w:szCs w:val="21"/>
                <w:highlight w:val="none"/>
                <w:u w:val="wave"/>
                <w:lang w:val="en-US" w:eastAsia="zh-CN" w:bidi="ar-SA"/>
                <w14:textFill>
                  <w14:solidFill>
                    <w14:schemeClr w14:val="tx1"/>
                  </w14:solidFill>
                </w14:textFill>
              </w:rPr>
              <w:t>2</w:t>
            </w:r>
            <w:r>
              <w:rPr>
                <w:rFonts w:hint="default" w:ascii="Times New Roman" w:hAnsi="Times New Roman" w:eastAsia="宋体" w:cs="Times New Roman"/>
                <w:b/>
                <w:color w:val="000000" w:themeColor="text1"/>
                <w:kern w:val="0"/>
                <w:sz w:val="21"/>
                <w:szCs w:val="21"/>
                <w:highlight w:val="none"/>
                <w:u w:val="wave"/>
                <w:lang w:val="en-US" w:eastAsia="zh-CN" w:bidi="ar-SA"/>
                <w14:textFill>
                  <w14:solidFill>
                    <w14:schemeClr w14:val="tx1"/>
                  </w14:solidFill>
                </w14:textFill>
              </w:rPr>
              <w:t xml:space="preserve"> </w:t>
            </w:r>
            <w:r>
              <w:rPr>
                <w:rFonts w:hint="eastAsia"/>
                <w:b/>
                <w:color w:val="000000" w:themeColor="text1"/>
                <w:kern w:val="0"/>
                <w:sz w:val="21"/>
                <w:szCs w:val="21"/>
                <w:highlight w:val="none"/>
                <w:u w:val="wave"/>
                <w14:textFill>
                  <w14:solidFill>
                    <w14:schemeClr w14:val="tx1"/>
                  </w14:solidFill>
                </w14:textFill>
              </w:rPr>
              <w:t>其他污染物补充监测点位基本信息表</w:t>
            </w:r>
          </w:p>
          <w:tbl>
            <w:tblPr>
              <w:tblStyle w:val="2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6"/>
              <w:gridCol w:w="906"/>
              <w:gridCol w:w="1133"/>
              <w:gridCol w:w="780"/>
              <w:gridCol w:w="1634"/>
              <w:gridCol w:w="885"/>
              <w:gridCol w:w="819"/>
              <w:gridCol w:w="1072"/>
            </w:tblGrid>
            <w:tr w14:paraId="16E99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0" w:type="pct"/>
                  <w:vMerge w:val="restart"/>
                  <w:tcBorders>
                    <w:right w:val="single" w:color="000000" w:sz="6" w:space="0"/>
                  </w:tcBorders>
                  <w:vAlign w:val="center"/>
                </w:tcPr>
                <w:p w14:paraId="2422DC38">
                  <w:pPr>
                    <w:pStyle w:val="63"/>
                    <w:spacing w:before="24" w:after="24"/>
                    <w:rPr>
                      <w:rFonts w:hint="default" w:ascii="Times New Roman" w:hAnsi="Times New Roman" w:eastAsia="宋体" w:cs="Times New Roman"/>
                      <w:color w:val="000000" w:themeColor="text1"/>
                      <w:sz w:val="21"/>
                      <w:u w:val="wave"/>
                      <w:lang w:val="en-US" w:eastAsia="zh-CN"/>
                      <w14:textFill>
                        <w14:solidFill>
                          <w14:schemeClr w14:val="tx1"/>
                        </w14:solidFill>
                      </w14:textFill>
                    </w:rPr>
                  </w:pPr>
                  <w:r>
                    <w:rPr>
                      <w:rFonts w:hint="eastAsia" w:ascii="Times New Roman" w:hAnsi="Times New Roman" w:eastAsia="宋体" w:cs="Times New Roman"/>
                      <w:color w:val="000000" w:themeColor="text1"/>
                      <w:sz w:val="21"/>
                      <w:u w:val="wave"/>
                      <w:lang w:val="en-US" w:eastAsia="zh-CN"/>
                      <w14:textFill>
                        <w14:solidFill>
                          <w14:schemeClr w14:val="tx1"/>
                        </w14:solidFill>
                      </w14:textFill>
                    </w:rPr>
                    <w:t xml:space="preserve">监测点位名称 </w:t>
                  </w:r>
                </w:p>
              </w:tc>
              <w:tc>
                <w:tcPr>
                  <w:tcW w:w="1294" w:type="pct"/>
                  <w:gridSpan w:val="2"/>
                  <w:vAlign w:val="center"/>
                </w:tcPr>
                <w:p w14:paraId="799E6A92">
                  <w:pPr>
                    <w:pStyle w:val="63"/>
                    <w:spacing w:before="24" w:after="24"/>
                    <w:rPr>
                      <w:rFonts w:hint="default" w:ascii="Times New Roman" w:hAnsi="Times New Roman" w:eastAsia="宋体" w:cs="Times New Roman"/>
                      <w:color w:val="000000" w:themeColor="text1"/>
                      <w:sz w:val="21"/>
                      <w:u w:val="wave"/>
                      <w:lang w:val="en-US" w:eastAsia="zh-CN"/>
                      <w14:textFill>
                        <w14:solidFill>
                          <w14:schemeClr w14:val="tx1"/>
                        </w14:solidFill>
                      </w14:textFill>
                    </w:rPr>
                  </w:pPr>
                  <w:r>
                    <w:rPr>
                      <w:rFonts w:hint="eastAsia" w:ascii="Times New Roman" w:hAnsi="Times New Roman" w:eastAsia="宋体" w:cs="Times New Roman"/>
                      <w:color w:val="000000" w:themeColor="text1"/>
                      <w:sz w:val="21"/>
                      <w:u w:val="wave"/>
                      <w:lang w:val="en-US" w:eastAsia="zh-CN"/>
                      <w14:textFill>
                        <w14:solidFill>
                          <w14:schemeClr w14:val="tx1"/>
                        </w14:solidFill>
                      </w14:textFill>
                    </w:rPr>
                    <w:t>监测点位坐标（</w:t>
                  </w:r>
                  <w:r>
                    <w:rPr>
                      <w:rFonts w:hint="eastAsia" w:ascii="宋体" w:hAnsi="宋体" w:eastAsia="宋体" w:cs="宋体"/>
                      <w:color w:val="000000" w:themeColor="text1"/>
                      <w:sz w:val="21"/>
                      <w:u w:val="wave"/>
                      <w:lang w:val="en-US" w:eastAsia="zh-CN"/>
                      <w14:textFill>
                        <w14:solidFill>
                          <w14:schemeClr w14:val="tx1"/>
                        </w14:solidFill>
                      </w14:textFill>
                    </w:rPr>
                    <w:t>°</w:t>
                  </w:r>
                  <w:r>
                    <w:rPr>
                      <w:rFonts w:hint="eastAsia" w:ascii="Times New Roman" w:hAnsi="Times New Roman" w:eastAsia="宋体" w:cs="Times New Roman"/>
                      <w:color w:val="000000" w:themeColor="text1"/>
                      <w:sz w:val="21"/>
                      <w:u w:val="wave"/>
                      <w:lang w:val="en-US" w:eastAsia="zh-CN"/>
                      <w14:textFill>
                        <w14:solidFill>
                          <w14:schemeClr w14:val="tx1"/>
                        </w14:solidFill>
                      </w14:textFill>
                    </w:rPr>
                    <w:t>）</w:t>
                  </w:r>
                </w:p>
              </w:tc>
              <w:tc>
                <w:tcPr>
                  <w:tcW w:w="495" w:type="pct"/>
                  <w:vMerge w:val="restart"/>
                  <w:vAlign w:val="center"/>
                </w:tcPr>
                <w:p w14:paraId="4DE90630">
                  <w:pPr>
                    <w:pStyle w:val="63"/>
                    <w:spacing w:before="24" w:after="24"/>
                    <w:rPr>
                      <w:rFonts w:hint="default" w:ascii="Times New Roman" w:hAnsi="Times New Roman" w:eastAsia="宋体" w:cs="Times New Roman"/>
                      <w:color w:val="000000" w:themeColor="text1"/>
                      <w:sz w:val="21"/>
                      <w:u w:val="wave"/>
                      <w:lang w:val="en-US" w:eastAsia="zh-CN"/>
                      <w14:textFill>
                        <w14:solidFill>
                          <w14:schemeClr w14:val="tx1"/>
                        </w14:solidFill>
                      </w14:textFill>
                    </w:rPr>
                  </w:pPr>
                  <w:r>
                    <w:rPr>
                      <w:rFonts w:hint="eastAsia" w:ascii="Times New Roman" w:hAnsi="Times New Roman" w:eastAsia="宋体" w:cs="Times New Roman"/>
                      <w:color w:val="000000" w:themeColor="text1"/>
                      <w:sz w:val="21"/>
                      <w:u w:val="wave"/>
                      <w:lang w:val="en-US" w:eastAsia="zh-CN"/>
                      <w14:textFill>
                        <w14:solidFill>
                          <w14:schemeClr w14:val="tx1"/>
                        </w14:solidFill>
                      </w14:textFill>
                    </w:rPr>
                    <w:t>监测因子</w:t>
                  </w:r>
                </w:p>
              </w:tc>
              <w:tc>
                <w:tcPr>
                  <w:tcW w:w="1037" w:type="pct"/>
                  <w:vMerge w:val="restart"/>
                  <w:vAlign w:val="center"/>
                </w:tcPr>
                <w:p w14:paraId="6871F6E7">
                  <w:pPr>
                    <w:pStyle w:val="63"/>
                    <w:spacing w:before="24" w:after="24"/>
                    <w:rPr>
                      <w:rFonts w:hint="default" w:ascii="Times New Roman" w:hAnsi="Times New Roman" w:eastAsia="宋体" w:cs="Times New Roman"/>
                      <w:color w:val="000000" w:themeColor="text1"/>
                      <w:sz w:val="21"/>
                      <w:u w:val="wave"/>
                      <w:lang w:val="en-US" w:eastAsia="zh-CN"/>
                      <w14:textFill>
                        <w14:solidFill>
                          <w14:schemeClr w14:val="tx1"/>
                        </w14:solidFill>
                      </w14:textFill>
                    </w:rPr>
                  </w:pPr>
                  <w:r>
                    <w:rPr>
                      <w:rFonts w:hint="eastAsia" w:ascii="Times New Roman" w:hAnsi="Times New Roman" w:eastAsia="宋体" w:cs="Times New Roman"/>
                      <w:color w:val="000000" w:themeColor="text1"/>
                      <w:sz w:val="21"/>
                      <w:u w:val="wave"/>
                      <w:lang w:val="en-US" w:eastAsia="zh-CN"/>
                      <w14:textFill>
                        <w14:solidFill>
                          <w14:schemeClr w14:val="tx1"/>
                        </w14:solidFill>
                      </w14:textFill>
                    </w:rPr>
                    <w:t>监测时段</w:t>
                  </w:r>
                </w:p>
              </w:tc>
              <w:tc>
                <w:tcPr>
                  <w:tcW w:w="562" w:type="pct"/>
                  <w:vMerge w:val="restart"/>
                  <w:vAlign w:val="center"/>
                </w:tcPr>
                <w:p w14:paraId="427B1C1A">
                  <w:pPr>
                    <w:pStyle w:val="63"/>
                    <w:spacing w:before="24" w:after="24"/>
                    <w:rPr>
                      <w:rFonts w:hint="default" w:ascii="Times New Roman" w:hAnsi="Times New Roman" w:eastAsia="宋体" w:cs="Times New Roman"/>
                      <w:color w:val="000000" w:themeColor="text1"/>
                      <w:sz w:val="21"/>
                      <w:u w:val="wave"/>
                      <w:lang w:val="en-US" w:eastAsia="zh-CN"/>
                      <w14:textFill>
                        <w14:solidFill>
                          <w14:schemeClr w14:val="tx1"/>
                        </w14:solidFill>
                      </w14:textFill>
                    </w:rPr>
                  </w:pPr>
                  <w:r>
                    <w:rPr>
                      <w:rFonts w:hint="eastAsia" w:ascii="Times New Roman" w:hAnsi="Times New Roman" w:eastAsia="宋体" w:cs="Times New Roman"/>
                      <w:color w:val="000000" w:themeColor="text1"/>
                      <w:sz w:val="21"/>
                      <w:u w:val="wave"/>
                      <w:lang w:val="en-US" w:eastAsia="zh-CN"/>
                      <w14:textFill>
                        <w14:solidFill>
                          <w14:schemeClr w14:val="tx1"/>
                        </w14:solidFill>
                      </w14:textFill>
                    </w:rPr>
                    <w:t xml:space="preserve">相对厂址方位 </w:t>
                  </w:r>
                </w:p>
              </w:tc>
              <w:tc>
                <w:tcPr>
                  <w:tcW w:w="520" w:type="pct"/>
                  <w:vMerge w:val="restart"/>
                  <w:vAlign w:val="center"/>
                </w:tcPr>
                <w:p w14:paraId="66D00C51">
                  <w:pPr>
                    <w:pStyle w:val="63"/>
                    <w:spacing w:before="24" w:after="24"/>
                    <w:rPr>
                      <w:rFonts w:hint="default" w:ascii="Times New Roman" w:hAnsi="Times New Roman" w:eastAsia="宋体" w:cs="Times New Roman"/>
                      <w:color w:val="000000" w:themeColor="text1"/>
                      <w:sz w:val="21"/>
                      <w:u w:val="wave"/>
                      <w:lang w:val="en-US" w:eastAsia="zh-CN"/>
                      <w14:textFill>
                        <w14:solidFill>
                          <w14:schemeClr w14:val="tx1"/>
                        </w14:solidFill>
                      </w14:textFill>
                    </w:rPr>
                  </w:pPr>
                  <w:r>
                    <w:rPr>
                      <w:rFonts w:hint="eastAsia" w:ascii="Times New Roman" w:hAnsi="Times New Roman" w:eastAsia="宋体" w:cs="Times New Roman"/>
                      <w:color w:val="000000" w:themeColor="text1"/>
                      <w:sz w:val="21"/>
                      <w:u w:val="wave"/>
                      <w:lang w:val="en-US" w:eastAsia="zh-CN"/>
                      <w14:textFill>
                        <w14:solidFill>
                          <w14:schemeClr w14:val="tx1"/>
                        </w14:solidFill>
                      </w14:textFill>
                    </w:rPr>
                    <w:t>相对厂界距离</w:t>
                  </w:r>
                  <w:r>
                    <w:rPr>
                      <w:rFonts w:hint="default" w:ascii="Times New Roman" w:hAnsi="Times New Roman" w:eastAsia="宋体" w:cs="Times New Roman"/>
                      <w:color w:val="000000" w:themeColor="text1"/>
                      <w:sz w:val="21"/>
                      <w:u w:val="wave"/>
                      <w:lang w:val="en-US" w:eastAsia="zh-CN"/>
                      <w14:textFill>
                        <w14:solidFill>
                          <w14:schemeClr w14:val="tx1"/>
                        </w14:solidFill>
                      </w14:textFill>
                    </w:rPr>
                    <w:t xml:space="preserve"> </w:t>
                  </w:r>
                </w:p>
              </w:tc>
              <w:tc>
                <w:tcPr>
                  <w:tcW w:w="680" w:type="pct"/>
                  <w:vMerge w:val="restart"/>
                  <w:vAlign w:val="center"/>
                </w:tcPr>
                <w:p w14:paraId="0672C3A9">
                  <w:pPr>
                    <w:pStyle w:val="63"/>
                    <w:spacing w:before="24" w:after="24"/>
                    <w:rPr>
                      <w:rFonts w:hint="default" w:ascii="Times New Roman" w:hAnsi="Times New Roman" w:eastAsia="宋体" w:cs="Times New Roman"/>
                      <w:color w:val="000000" w:themeColor="text1"/>
                      <w:sz w:val="21"/>
                      <w:u w:val="wave"/>
                      <w:lang w:val="en-US" w:eastAsia="zh-CN"/>
                      <w14:textFill>
                        <w14:solidFill>
                          <w14:schemeClr w14:val="tx1"/>
                        </w14:solidFill>
                      </w14:textFill>
                    </w:rPr>
                  </w:pPr>
                  <w:r>
                    <w:rPr>
                      <w:rFonts w:hint="eastAsia" w:ascii="Times New Roman" w:hAnsi="Times New Roman" w:eastAsia="宋体" w:cs="Times New Roman"/>
                      <w:color w:val="000000" w:themeColor="text1"/>
                      <w:sz w:val="21"/>
                      <w:u w:val="wave"/>
                      <w:lang w:val="en-US" w:eastAsia="zh-CN"/>
                      <w14:textFill>
                        <w14:solidFill>
                          <w14:schemeClr w14:val="tx1"/>
                        </w14:solidFill>
                      </w14:textFill>
                    </w:rPr>
                    <w:t>备注</w:t>
                  </w:r>
                </w:p>
              </w:tc>
            </w:tr>
            <w:tr w14:paraId="7CD0A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0" w:type="pct"/>
                  <w:vMerge w:val="continue"/>
                  <w:tcBorders>
                    <w:right w:val="single" w:color="000000" w:sz="6" w:space="0"/>
                  </w:tcBorders>
                  <w:vAlign w:val="center"/>
                </w:tcPr>
                <w:p w14:paraId="4DF5CC51">
                  <w:pPr>
                    <w:pStyle w:val="63"/>
                    <w:spacing w:before="24" w:after="24"/>
                    <w:rPr>
                      <w:rFonts w:hint="default" w:ascii="Times New Roman" w:hAnsi="Times New Roman" w:eastAsia="宋体" w:cs="Times New Roman"/>
                      <w:color w:val="000000" w:themeColor="text1"/>
                      <w:sz w:val="21"/>
                      <w:u w:val="wave"/>
                      <w:lang w:val="en-US" w:eastAsia="zh-CN"/>
                      <w14:textFill>
                        <w14:solidFill>
                          <w14:schemeClr w14:val="tx1"/>
                        </w14:solidFill>
                      </w14:textFill>
                    </w:rPr>
                  </w:pPr>
                </w:p>
              </w:tc>
              <w:tc>
                <w:tcPr>
                  <w:tcW w:w="575" w:type="pct"/>
                  <w:tcBorders>
                    <w:right w:val="single" w:color="000000" w:sz="6" w:space="0"/>
                  </w:tcBorders>
                  <w:vAlign w:val="center"/>
                </w:tcPr>
                <w:p w14:paraId="5DDEBF95">
                  <w:pPr>
                    <w:pStyle w:val="63"/>
                    <w:spacing w:before="24" w:after="24"/>
                    <w:rPr>
                      <w:rFonts w:hint="default" w:ascii="Times New Roman" w:hAnsi="Times New Roman" w:eastAsia="宋体" w:cs="Times New Roman"/>
                      <w:color w:val="000000" w:themeColor="text1"/>
                      <w:sz w:val="21"/>
                      <w:u w:val="wave"/>
                      <w:lang w:val="en-US" w:eastAsia="zh-CN"/>
                      <w14:textFill>
                        <w14:solidFill>
                          <w14:schemeClr w14:val="tx1"/>
                        </w14:solidFill>
                      </w14:textFill>
                    </w:rPr>
                  </w:pPr>
                  <w:r>
                    <w:rPr>
                      <w:rFonts w:hint="eastAsia" w:ascii="Times New Roman" w:hAnsi="Times New Roman" w:eastAsia="宋体" w:cs="Times New Roman"/>
                      <w:color w:val="000000" w:themeColor="text1"/>
                      <w:sz w:val="21"/>
                      <w:u w:val="wave"/>
                      <w:lang w:val="en-US" w:eastAsia="zh-CN"/>
                      <w14:textFill>
                        <w14:solidFill>
                          <w14:schemeClr w14:val="tx1"/>
                        </w14:solidFill>
                      </w14:textFill>
                    </w:rPr>
                    <w:t>X</w:t>
                  </w:r>
                </w:p>
              </w:tc>
              <w:tc>
                <w:tcPr>
                  <w:tcW w:w="719" w:type="pct"/>
                  <w:tcBorders>
                    <w:left w:val="single" w:color="000000" w:sz="6" w:space="0"/>
                    <w:bottom w:val="single" w:color="000000" w:sz="6" w:space="0"/>
                  </w:tcBorders>
                  <w:vAlign w:val="center"/>
                </w:tcPr>
                <w:p w14:paraId="4B5609CF">
                  <w:pPr>
                    <w:pStyle w:val="63"/>
                    <w:spacing w:before="24" w:after="24"/>
                    <w:rPr>
                      <w:rFonts w:hint="default" w:ascii="Times New Roman" w:hAnsi="Times New Roman" w:eastAsia="宋体" w:cs="Times New Roman"/>
                      <w:color w:val="000000" w:themeColor="text1"/>
                      <w:sz w:val="21"/>
                      <w:u w:val="wave"/>
                      <w:lang w:val="en-US" w:eastAsia="zh-CN"/>
                      <w14:textFill>
                        <w14:solidFill>
                          <w14:schemeClr w14:val="tx1"/>
                        </w14:solidFill>
                      </w14:textFill>
                    </w:rPr>
                  </w:pPr>
                  <w:r>
                    <w:rPr>
                      <w:rFonts w:hint="eastAsia" w:ascii="Times New Roman" w:hAnsi="Times New Roman" w:eastAsia="宋体" w:cs="Times New Roman"/>
                      <w:color w:val="000000" w:themeColor="text1"/>
                      <w:sz w:val="21"/>
                      <w:u w:val="wave"/>
                      <w:lang w:val="en-US" w:eastAsia="zh-CN"/>
                      <w14:textFill>
                        <w14:solidFill>
                          <w14:schemeClr w14:val="tx1"/>
                        </w14:solidFill>
                      </w14:textFill>
                    </w:rPr>
                    <w:t>Y</w:t>
                  </w:r>
                </w:p>
              </w:tc>
              <w:tc>
                <w:tcPr>
                  <w:tcW w:w="495" w:type="pct"/>
                  <w:vMerge w:val="continue"/>
                  <w:tcBorders>
                    <w:bottom w:val="single" w:color="000000" w:sz="6" w:space="0"/>
                  </w:tcBorders>
                  <w:vAlign w:val="center"/>
                </w:tcPr>
                <w:p w14:paraId="47FB1EA3">
                  <w:pPr>
                    <w:pStyle w:val="63"/>
                    <w:spacing w:before="24" w:after="24"/>
                    <w:rPr>
                      <w:rFonts w:hint="default" w:ascii="Times New Roman" w:hAnsi="Times New Roman" w:eastAsia="宋体" w:cs="Times New Roman"/>
                      <w:color w:val="000000" w:themeColor="text1"/>
                      <w:sz w:val="21"/>
                      <w:u w:val="wave"/>
                      <w:lang w:val="en-US" w:eastAsia="zh-CN"/>
                      <w14:textFill>
                        <w14:solidFill>
                          <w14:schemeClr w14:val="tx1"/>
                        </w14:solidFill>
                      </w14:textFill>
                    </w:rPr>
                  </w:pPr>
                </w:p>
              </w:tc>
              <w:tc>
                <w:tcPr>
                  <w:tcW w:w="1037" w:type="pct"/>
                  <w:vMerge w:val="continue"/>
                  <w:tcBorders>
                    <w:bottom w:val="single" w:color="000000" w:sz="6" w:space="0"/>
                  </w:tcBorders>
                  <w:vAlign w:val="center"/>
                </w:tcPr>
                <w:p w14:paraId="5893C69A">
                  <w:pPr>
                    <w:pStyle w:val="63"/>
                    <w:spacing w:before="24" w:after="24"/>
                    <w:rPr>
                      <w:rFonts w:hint="default" w:ascii="Times New Roman" w:hAnsi="Times New Roman" w:eastAsia="宋体" w:cs="Times New Roman"/>
                      <w:color w:val="000000" w:themeColor="text1"/>
                      <w:sz w:val="21"/>
                      <w:u w:val="wave"/>
                      <w:lang w:val="en-US" w:eastAsia="zh-CN"/>
                      <w14:textFill>
                        <w14:solidFill>
                          <w14:schemeClr w14:val="tx1"/>
                        </w14:solidFill>
                      </w14:textFill>
                    </w:rPr>
                  </w:pPr>
                </w:p>
              </w:tc>
              <w:tc>
                <w:tcPr>
                  <w:tcW w:w="562" w:type="pct"/>
                  <w:vMerge w:val="continue"/>
                  <w:tcBorders>
                    <w:bottom w:val="single" w:color="000000" w:sz="6" w:space="0"/>
                  </w:tcBorders>
                  <w:vAlign w:val="center"/>
                </w:tcPr>
                <w:p w14:paraId="6A529981">
                  <w:pPr>
                    <w:pStyle w:val="63"/>
                    <w:spacing w:before="24" w:after="24"/>
                    <w:rPr>
                      <w:rFonts w:hint="default" w:ascii="Times New Roman" w:hAnsi="Times New Roman" w:eastAsia="宋体" w:cs="Times New Roman"/>
                      <w:color w:val="000000" w:themeColor="text1"/>
                      <w:sz w:val="21"/>
                      <w:u w:val="wave"/>
                      <w:lang w:val="en-US" w:eastAsia="zh-CN"/>
                      <w14:textFill>
                        <w14:solidFill>
                          <w14:schemeClr w14:val="tx1"/>
                        </w14:solidFill>
                      </w14:textFill>
                    </w:rPr>
                  </w:pPr>
                </w:p>
              </w:tc>
              <w:tc>
                <w:tcPr>
                  <w:tcW w:w="520" w:type="pct"/>
                  <w:vMerge w:val="continue"/>
                  <w:tcBorders>
                    <w:bottom w:val="single" w:color="000000" w:sz="6" w:space="0"/>
                  </w:tcBorders>
                  <w:vAlign w:val="center"/>
                </w:tcPr>
                <w:p w14:paraId="2C276829">
                  <w:pPr>
                    <w:pStyle w:val="63"/>
                    <w:spacing w:before="24" w:after="24"/>
                    <w:rPr>
                      <w:rFonts w:hint="default" w:ascii="Times New Roman" w:hAnsi="Times New Roman" w:eastAsia="宋体" w:cs="Times New Roman"/>
                      <w:color w:val="000000" w:themeColor="text1"/>
                      <w:sz w:val="21"/>
                      <w:u w:val="wave"/>
                      <w:lang w:val="en-US" w:eastAsia="zh-CN"/>
                      <w14:textFill>
                        <w14:solidFill>
                          <w14:schemeClr w14:val="tx1"/>
                        </w14:solidFill>
                      </w14:textFill>
                    </w:rPr>
                  </w:pPr>
                </w:p>
              </w:tc>
              <w:tc>
                <w:tcPr>
                  <w:tcW w:w="680" w:type="pct"/>
                  <w:vMerge w:val="continue"/>
                  <w:tcBorders>
                    <w:bottom w:val="single" w:color="000000" w:sz="6" w:space="0"/>
                  </w:tcBorders>
                  <w:vAlign w:val="center"/>
                </w:tcPr>
                <w:p w14:paraId="2A6B0D38">
                  <w:pPr>
                    <w:pStyle w:val="63"/>
                    <w:spacing w:before="24" w:after="24"/>
                    <w:rPr>
                      <w:rFonts w:hint="default" w:ascii="Times New Roman" w:hAnsi="Times New Roman" w:eastAsia="宋体" w:cs="Times New Roman"/>
                      <w:color w:val="000000" w:themeColor="text1"/>
                      <w:sz w:val="21"/>
                      <w:u w:val="wave"/>
                      <w:lang w:val="en-US" w:eastAsia="zh-CN"/>
                      <w14:textFill>
                        <w14:solidFill>
                          <w14:schemeClr w14:val="tx1"/>
                        </w14:solidFill>
                      </w14:textFill>
                    </w:rPr>
                  </w:pPr>
                </w:p>
              </w:tc>
            </w:tr>
            <w:tr w14:paraId="24D98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0" w:type="pct"/>
                  <w:tcBorders>
                    <w:right w:val="single" w:color="000000" w:sz="6" w:space="0"/>
                  </w:tcBorders>
                  <w:vAlign w:val="center"/>
                </w:tcPr>
                <w:p w14:paraId="221B775C">
                  <w:pPr>
                    <w:pStyle w:val="63"/>
                    <w:spacing w:before="24" w:after="24"/>
                    <w:rPr>
                      <w:rFonts w:hint="default" w:ascii="Times New Roman" w:hAnsi="Times New Roman" w:eastAsia="宋体" w:cs="Times New Roman"/>
                      <w:color w:val="000000" w:themeColor="text1"/>
                      <w:sz w:val="21"/>
                      <w:u w:val="wave"/>
                      <w:lang w:val="en-US" w:eastAsia="zh-CN"/>
                      <w14:textFill>
                        <w14:solidFill>
                          <w14:schemeClr w14:val="tx1"/>
                        </w14:solidFill>
                      </w14:textFill>
                    </w:rPr>
                  </w:pPr>
                  <w:r>
                    <w:rPr>
                      <w:rFonts w:hint="eastAsia" w:ascii="Times New Roman" w:hAnsi="Times New Roman" w:eastAsia="宋体" w:cs="Times New Roman"/>
                      <w:color w:val="000000" w:themeColor="text1"/>
                      <w:sz w:val="21"/>
                      <w:u w:val="wave"/>
                      <w:lang w:val="en-US" w:eastAsia="zh-CN"/>
                      <w14:textFill>
                        <w14:solidFill>
                          <w14:schemeClr w14:val="tx1"/>
                        </w14:solidFill>
                      </w14:textFill>
                    </w:rPr>
                    <w:t>G1</w:t>
                  </w:r>
                </w:p>
              </w:tc>
              <w:tc>
                <w:tcPr>
                  <w:tcW w:w="575" w:type="pct"/>
                  <w:vAlign w:val="center"/>
                </w:tcPr>
                <w:p w14:paraId="080FF0BC">
                  <w:pPr>
                    <w:pStyle w:val="63"/>
                    <w:spacing w:before="24" w:after="24"/>
                    <w:rPr>
                      <w:rFonts w:hint="default" w:ascii="Times New Roman" w:hAnsi="Times New Roman" w:eastAsia="宋体" w:cs="Times New Roman"/>
                      <w:color w:val="000000" w:themeColor="text1"/>
                      <w:sz w:val="21"/>
                      <w:u w:val="wav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wave"/>
                      <w14:textFill>
                        <w14:solidFill>
                          <w14:schemeClr w14:val="tx1"/>
                        </w14:solidFill>
                      </w14:textFill>
                    </w:rPr>
                    <w:t>109.8 1589 4433</w:t>
                  </w:r>
                </w:p>
              </w:tc>
              <w:tc>
                <w:tcPr>
                  <w:tcW w:w="719" w:type="pct"/>
                  <w:tcBorders>
                    <w:top w:val="single" w:color="000000" w:sz="6" w:space="0"/>
                    <w:bottom w:val="single" w:color="000000" w:sz="6" w:space="0"/>
                  </w:tcBorders>
                  <w:vAlign w:val="center"/>
                </w:tcPr>
                <w:p w14:paraId="37E9FB1B">
                  <w:pPr>
                    <w:pStyle w:val="63"/>
                    <w:spacing w:before="24" w:after="24"/>
                    <w:rPr>
                      <w:rFonts w:hint="eastAsia" w:ascii="Times New Roman" w:hAnsi="Times New Roman" w:eastAsia="宋体" w:cs="Times New Roman"/>
                      <w:color w:val="000000" w:themeColor="text1"/>
                      <w:sz w:val="21"/>
                      <w:u w:val="wave"/>
                      <w14:textFill>
                        <w14:solidFill>
                          <w14:schemeClr w14:val="tx1"/>
                        </w14:solidFill>
                      </w14:textFill>
                    </w:rPr>
                  </w:pPr>
                  <w:r>
                    <w:rPr>
                      <w:rFonts w:hint="eastAsia" w:ascii="Times New Roman" w:hAnsi="Times New Roman" w:eastAsia="宋体" w:cs="Times New Roman"/>
                      <w:color w:val="000000" w:themeColor="text1"/>
                      <w:sz w:val="21"/>
                      <w:szCs w:val="21"/>
                      <w:u w:val="wave"/>
                      <w14:textFill>
                        <w14:solidFill>
                          <w14:schemeClr w14:val="tx1"/>
                        </w14:solidFill>
                      </w14:textFill>
                    </w:rPr>
                    <w:t>26.1 8414 1572</w:t>
                  </w:r>
                </w:p>
              </w:tc>
              <w:tc>
                <w:tcPr>
                  <w:tcW w:w="495" w:type="pct"/>
                  <w:tcBorders>
                    <w:top w:val="single" w:color="000000" w:sz="6" w:space="0"/>
                    <w:bottom w:val="single" w:color="000000" w:sz="6" w:space="0"/>
                  </w:tcBorders>
                  <w:vAlign w:val="center"/>
                </w:tcPr>
                <w:p w14:paraId="20E7E020">
                  <w:pPr>
                    <w:pStyle w:val="63"/>
                    <w:spacing w:before="24" w:after="24"/>
                    <w:rPr>
                      <w:rFonts w:hint="default" w:ascii="Times New Roman" w:hAnsi="Times New Roman" w:eastAsia="宋体" w:cs="Times New Roman"/>
                      <w:color w:val="000000" w:themeColor="text1"/>
                      <w:sz w:val="21"/>
                      <w:u w:val="wave"/>
                      <w:lang w:val="en-US" w:eastAsia="zh-CN"/>
                      <w14:textFill>
                        <w14:solidFill>
                          <w14:schemeClr w14:val="tx1"/>
                        </w14:solidFill>
                      </w14:textFill>
                    </w:rPr>
                  </w:pPr>
                  <w:r>
                    <w:rPr>
                      <w:rFonts w:hint="eastAsia" w:ascii="Times New Roman" w:hAnsi="Times New Roman" w:eastAsia="宋体" w:cs="Times New Roman"/>
                      <w:color w:val="000000" w:themeColor="text1"/>
                      <w:sz w:val="21"/>
                      <w:u w:val="wave"/>
                      <w:lang w:val="en-US" w:eastAsia="zh-CN"/>
                      <w14:textFill>
                        <w14:solidFill>
                          <w14:schemeClr w14:val="tx1"/>
                        </w14:solidFill>
                      </w14:textFill>
                    </w:rPr>
                    <w:t>TSP</w:t>
                  </w:r>
                </w:p>
              </w:tc>
              <w:tc>
                <w:tcPr>
                  <w:tcW w:w="1037" w:type="pct"/>
                  <w:tcBorders>
                    <w:top w:val="single" w:color="000000" w:sz="6" w:space="0"/>
                    <w:bottom w:val="single" w:color="000000" w:sz="6" w:space="0"/>
                  </w:tcBorders>
                  <w:vAlign w:val="center"/>
                </w:tcPr>
                <w:p w14:paraId="054EAE94">
                  <w:pPr>
                    <w:pStyle w:val="63"/>
                    <w:spacing w:before="24" w:after="24"/>
                    <w:rPr>
                      <w:rFonts w:hint="default" w:ascii="Times New Roman" w:hAnsi="Times New Roman"/>
                      <w:color w:val="000000" w:themeColor="text1"/>
                      <w:sz w:val="21"/>
                      <w:u w:val="wave"/>
                      <w14:textFill>
                        <w14:solidFill>
                          <w14:schemeClr w14:val="tx1"/>
                        </w14:solidFill>
                      </w14:textFill>
                    </w:rPr>
                  </w:pPr>
                  <w:r>
                    <w:rPr>
                      <w:rFonts w:hint="default" w:ascii="Times New Roman" w:hAnsi="Times New Roman"/>
                      <w:color w:val="000000" w:themeColor="text1"/>
                      <w:sz w:val="21"/>
                      <w:u w:val="wave"/>
                      <w14:textFill>
                        <w14:solidFill>
                          <w14:schemeClr w14:val="tx1"/>
                        </w14:solidFill>
                      </w14:textFill>
                    </w:rPr>
                    <w:t>2024 年 4月19</w:t>
                  </w:r>
                </w:p>
                <w:p w14:paraId="4F7C7FF2">
                  <w:pPr>
                    <w:pStyle w:val="63"/>
                    <w:spacing w:before="24" w:after="24"/>
                    <w:rPr>
                      <w:rFonts w:hint="default" w:ascii="Times New Roman" w:hAnsi="Times New Roman" w:eastAsia="宋体" w:cs="Times New Roman"/>
                      <w:color w:val="000000" w:themeColor="text1"/>
                      <w:sz w:val="21"/>
                      <w:u w:val="wave"/>
                      <w:lang w:val="en-US" w:eastAsia="zh-CN"/>
                      <w14:textFill>
                        <w14:solidFill>
                          <w14:schemeClr w14:val="tx1"/>
                        </w14:solidFill>
                      </w14:textFill>
                    </w:rPr>
                  </w:pPr>
                  <w:r>
                    <w:rPr>
                      <w:rFonts w:hint="default" w:ascii="Times New Roman" w:hAnsi="Times New Roman"/>
                      <w:color w:val="000000" w:themeColor="text1"/>
                      <w:sz w:val="21"/>
                      <w:u w:val="wave"/>
                      <w14:textFill>
                        <w14:solidFill>
                          <w14:schemeClr w14:val="tx1"/>
                        </w14:solidFill>
                      </w14:textFill>
                    </w:rPr>
                    <w:t>日-4 月25日</w:t>
                  </w:r>
                </w:p>
              </w:tc>
              <w:tc>
                <w:tcPr>
                  <w:tcW w:w="562" w:type="pct"/>
                  <w:tcBorders>
                    <w:top w:val="single" w:color="000000" w:sz="6" w:space="0"/>
                    <w:bottom w:val="single" w:color="000000" w:sz="6" w:space="0"/>
                  </w:tcBorders>
                  <w:vAlign w:val="center"/>
                </w:tcPr>
                <w:p w14:paraId="52E754BA">
                  <w:pPr>
                    <w:pStyle w:val="63"/>
                    <w:spacing w:before="24" w:after="24"/>
                    <w:rPr>
                      <w:rFonts w:hint="default" w:ascii="Times New Roman" w:hAnsi="Times New Roman" w:eastAsia="宋体" w:cs="Times New Roman"/>
                      <w:color w:val="000000" w:themeColor="text1"/>
                      <w:sz w:val="21"/>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u w:val="wave"/>
                      <w14:textFill>
                        <w14:solidFill>
                          <w14:schemeClr w14:val="tx1"/>
                        </w14:solidFill>
                      </w14:textFill>
                    </w:rPr>
                    <w:t>西北</w:t>
                  </w:r>
                </w:p>
              </w:tc>
              <w:tc>
                <w:tcPr>
                  <w:tcW w:w="520" w:type="pct"/>
                  <w:tcBorders>
                    <w:top w:val="single" w:color="000000" w:sz="6" w:space="0"/>
                    <w:bottom w:val="single" w:color="000000" w:sz="6" w:space="0"/>
                  </w:tcBorders>
                  <w:vAlign w:val="center"/>
                </w:tcPr>
                <w:p w14:paraId="59F8BC19">
                  <w:pPr>
                    <w:pStyle w:val="63"/>
                    <w:spacing w:before="24" w:after="24"/>
                    <w:rPr>
                      <w:rFonts w:hint="default" w:ascii="Times New Roman" w:hAnsi="Times New Roman" w:eastAsia="宋体" w:cs="Times New Roman"/>
                      <w:color w:val="000000" w:themeColor="text1"/>
                      <w:sz w:val="21"/>
                      <w:u w:val="wave"/>
                      <w14:textFill>
                        <w14:solidFill>
                          <w14:schemeClr w14:val="tx1"/>
                        </w14:solidFill>
                      </w14:textFill>
                    </w:rPr>
                  </w:pPr>
                  <w:r>
                    <w:rPr>
                      <w:rFonts w:hint="default" w:ascii="Times New Roman" w:hAnsi="Times New Roman"/>
                      <w:color w:val="000000" w:themeColor="text1"/>
                      <w:sz w:val="21"/>
                      <w:u w:val="wave"/>
                      <w14:textFill>
                        <w14:solidFill>
                          <w14:schemeClr w14:val="tx1"/>
                        </w14:solidFill>
                      </w14:textFill>
                    </w:rPr>
                    <w:t>4.86公里</w:t>
                  </w:r>
                </w:p>
              </w:tc>
              <w:tc>
                <w:tcPr>
                  <w:tcW w:w="680" w:type="pct"/>
                  <w:tcBorders>
                    <w:top w:val="single" w:color="000000" w:sz="6" w:space="0"/>
                    <w:bottom w:val="single" w:color="000000" w:sz="6" w:space="0"/>
                  </w:tcBorders>
                  <w:vAlign w:val="center"/>
                </w:tcPr>
                <w:p w14:paraId="79D687A1">
                  <w:pPr>
                    <w:pStyle w:val="63"/>
                    <w:spacing w:before="24" w:after="24"/>
                    <w:rPr>
                      <w:rFonts w:hint="default" w:ascii="Times New Roman" w:hAnsi="Times New Roman"/>
                      <w:color w:val="000000" w:themeColor="text1"/>
                      <w:sz w:val="21"/>
                      <w:u w:val="wave"/>
                      <w14:textFill>
                        <w14:solidFill>
                          <w14:schemeClr w14:val="tx1"/>
                        </w14:solidFill>
                      </w14:textFill>
                    </w:rPr>
                  </w:pPr>
                  <w:r>
                    <w:rPr>
                      <w:rFonts w:hint="default" w:ascii="Times New Roman" w:hAnsi="Times New Roman"/>
                      <w:color w:val="000000" w:themeColor="text1"/>
                      <w:sz w:val="21"/>
                      <w:u w:val="wave"/>
                      <w14:textFill>
                        <w14:solidFill>
                          <w14:schemeClr w14:val="tx1"/>
                        </w14:solidFill>
                      </w14:textFill>
                    </w:rPr>
                    <w:t>引用《通</w:t>
                  </w:r>
                </w:p>
                <w:p w14:paraId="65768704">
                  <w:pPr>
                    <w:pStyle w:val="63"/>
                    <w:spacing w:before="24" w:after="24"/>
                    <w:rPr>
                      <w:rFonts w:hint="default" w:ascii="Times New Roman" w:hAnsi="Times New Roman"/>
                      <w:color w:val="000000" w:themeColor="text1"/>
                      <w:sz w:val="21"/>
                      <w:u w:val="wave"/>
                      <w14:textFill>
                        <w14:solidFill>
                          <w14:schemeClr w14:val="tx1"/>
                        </w14:solidFill>
                      </w14:textFill>
                    </w:rPr>
                  </w:pPr>
                  <w:r>
                    <w:rPr>
                      <w:rFonts w:hint="default" w:ascii="Times New Roman" w:hAnsi="Times New Roman"/>
                      <w:color w:val="000000" w:themeColor="text1"/>
                      <w:sz w:val="21"/>
                      <w:u w:val="wave"/>
                      <w14:textFill>
                        <w14:solidFill>
                          <w14:schemeClr w14:val="tx1"/>
                        </w14:solidFill>
                      </w14:textFill>
                    </w:rPr>
                    <w:t>道产业开</w:t>
                  </w:r>
                </w:p>
                <w:p w14:paraId="235EE531">
                  <w:pPr>
                    <w:pStyle w:val="63"/>
                    <w:spacing w:before="24" w:after="24"/>
                    <w:rPr>
                      <w:rFonts w:hint="default" w:ascii="Times New Roman" w:hAnsi="Times New Roman"/>
                      <w:color w:val="000000" w:themeColor="text1"/>
                      <w:sz w:val="21"/>
                      <w:u w:val="wave"/>
                      <w14:textFill>
                        <w14:solidFill>
                          <w14:schemeClr w14:val="tx1"/>
                        </w14:solidFill>
                      </w14:textFill>
                    </w:rPr>
                  </w:pPr>
                  <w:r>
                    <w:rPr>
                      <w:rFonts w:hint="default" w:ascii="Times New Roman" w:hAnsi="Times New Roman"/>
                      <w:color w:val="000000" w:themeColor="text1"/>
                      <w:sz w:val="21"/>
                      <w:u w:val="wave"/>
                      <w14:textFill>
                        <w14:solidFill>
                          <w14:schemeClr w14:val="tx1"/>
                        </w14:solidFill>
                      </w14:textFill>
                    </w:rPr>
                    <w:t>发区</w:t>
                  </w:r>
                </w:p>
                <w:p w14:paraId="37A1C9BA">
                  <w:pPr>
                    <w:pStyle w:val="63"/>
                    <w:spacing w:before="24" w:after="24"/>
                    <w:rPr>
                      <w:rFonts w:hint="default" w:ascii="Times New Roman" w:hAnsi="Times New Roman"/>
                      <w:color w:val="000000" w:themeColor="text1"/>
                      <w:sz w:val="21"/>
                      <w:u w:val="wave"/>
                      <w14:textFill>
                        <w14:solidFill>
                          <w14:schemeClr w14:val="tx1"/>
                        </w14:solidFill>
                      </w14:textFill>
                    </w:rPr>
                  </w:pPr>
                  <w:r>
                    <w:rPr>
                      <w:rFonts w:hint="default" w:ascii="Times New Roman" w:hAnsi="Times New Roman"/>
                      <w:color w:val="000000" w:themeColor="text1"/>
                      <w:sz w:val="21"/>
                      <w:u w:val="wave"/>
                      <w14:textFill>
                        <w14:solidFill>
                          <w14:schemeClr w14:val="tx1"/>
                        </w14:solidFill>
                      </w14:textFill>
                    </w:rPr>
                    <w:t>2024 年</w:t>
                  </w:r>
                </w:p>
                <w:p w14:paraId="658D2BDB">
                  <w:pPr>
                    <w:pStyle w:val="63"/>
                    <w:spacing w:before="24" w:after="24"/>
                    <w:rPr>
                      <w:rFonts w:hint="default" w:ascii="Times New Roman" w:hAnsi="Times New Roman"/>
                      <w:color w:val="000000" w:themeColor="text1"/>
                      <w:sz w:val="21"/>
                      <w:u w:val="wave"/>
                      <w14:textFill>
                        <w14:solidFill>
                          <w14:schemeClr w14:val="tx1"/>
                        </w14:solidFill>
                      </w14:textFill>
                    </w:rPr>
                  </w:pPr>
                  <w:r>
                    <w:rPr>
                      <w:rFonts w:hint="default" w:ascii="Times New Roman" w:hAnsi="Times New Roman"/>
                      <w:color w:val="000000" w:themeColor="text1"/>
                      <w:sz w:val="21"/>
                      <w:u w:val="wave"/>
                      <w14:textFill>
                        <w14:solidFill>
                          <w14:schemeClr w14:val="tx1"/>
                        </w14:solidFill>
                      </w14:textFill>
                    </w:rPr>
                    <w:t>度第一期</w:t>
                  </w:r>
                </w:p>
                <w:p w14:paraId="5F816AB8">
                  <w:pPr>
                    <w:pStyle w:val="63"/>
                    <w:spacing w:before="24" w:after="24"/>
                    <w:rPr>
                      <w:rFonts w:hint="default" w:ascii="Times New Roman" w:hAnsi="Times New Roman"/>
                      <w:color w:val="000000" w:themeColor="text1"/>
                      <w:sz w:val="21"/>
                      <w:u w:val="wave"/>
                      <w14:textFill>
                        <w14:solidFill>
                          <w14:schemeClr w14:val="tx1"/>
                        </w14:solidFill>
                      </w14:textFill>
                    </w:rPr>
                  </w:pPr>
                  <w:r>
                    <w:rPr>
                      <w:rFonts w:hint="default" w:ascii="Times New Roman" w:hAnsi="Times New Roman"/>
                      <w:color w:val="000000" w:themeColor="text1"/>
                      <w:sz w:val="21"/>
                      <w:u w:val="wave"/>
                      <w14:textFill>
                        <w14:solidFill>
                          <w14:schemeClr w14:val="tx1"/>
                        </w14:solidFill>
                      </w14:textFill>
                    </w:rPr>
                    <w:t>环境质量</w:t>
                  </w:r>
                </w:p>
                <w:p w14:paraId="34A290E8">
                  <w:pPr>
                    <w:pStyle w:val="63"/>
                    <w:spacing w:before="24" w:after="24"/>
                    <w:rPr>
                      <w:rFonts w:hint="default" w:ascii="Times New Roman" w:hAnsi="Times New Roman"/>
                      <w:color w:val="000000" w:themeColor="text1"/>
                      <w:sz w:val="21"/>
                      <w:u w:val="wave"/>
                      <w14:textFill>
                        <w14:solidFill>
                          <w14:schemeClr w14:val="tx1"/>
                        </w14:solidFill>
                      </w14:textFill>
                    </w:rPr>
                  </w:pPr>
                  <w:r>
                    <w:rPr>
                      <w:rFonts w:hint="default" w:ascii="Times New Roman" w:hAnsi="Times New Roman"/>
                      <w:color w:val="000000" w:themeColor="text1"/>
                      <w:sz w:val="21"/>
                      <w:u w:val="wave"/>
                      <w14:textFill>
                        <w14:solidFill>
                          <w14:schemeClr w14:val="tx1"/>
                        </w14:solidFill>
                      </w14:textFill>
                    </w:rPr>
                    <w:t>自行监测</w:t>
                  </w:r>
                </w:p>
                <w:p w14:paraId="168204E1">
                  <w:pPr>
                    <w:pStyle w:val="63"/>
                    <w:spacing w:before="24" w:after="24"/>
                    <w:rPr>
                      <w:rFonts w:hint="default" w:ascii="Times New Roman" w:hAnsi="Times New Roman" w:eastAsia="宋体" w:cs="Times New Roman"/>
                      <w:color w:val="000000" w:themeColor="text1"/>
                      <w:sz w:val="21"/>
                      <w:u w:val="wave"/>
                      <w:lang w:val="en-US" w:eastAsia="zh-CN"/>
                      <w14:textFill>
                        <w14:solidFill>
                          <w14:schemeClr w14:val="tx1"/>
                        </w14:solidFill>
                      </w14:textFill>
                    </w:rPr>
                  </w:pPr>
                  <w:r>
                    <w:rPr>
                      <w:rFonts w:hint="default" w:ascii="Times New Roman" w:hAnsi="Times New Roman"/>
                      <w:color w:val="000000" w:themeColor="text1"/>
                      <w:sz w:val="21"/>
                      <w:u w:val="wave"/>
                      <w14:textFill>
                        <w14:solidFill>
                          <w14:schemeClr w14:val="tx1"/>
                        </w14:solidFill>
                      </w14:textFill>
                    </w:rPr>
                    <w:t>报告》</w:t>
                  </w:r>
                </w:p>
              </w:tc>
            </w:tr>
          </w:tbl>
          <w:p w14:paraId="5DD86A63">
            <w:pPr>
              <w:keepNext w:val="0"/>
              <w:keepLines w:val="0"/>
              <w:widowControl/>
              <w:suppressLineNumbers w:val="0"/>
              <w:spacing w:line="240" w:lineRule="auto"/>
              <w:ind w:firstLine="2530" w:firstLineChars="1200"/>
              <w:jc w:val="left"/>
              <w:rPr>
                <w:rFonts w:hint="default" w:ascii="Times New Roman" w:hAnsi="Times New Roman" w:eastAsia="宋体" w:cs="Times New Roman"/>
                <w:b/>
                <w:color w:val="000000" w:themeColor="text1"/>
                <w:kern w:val="0"/>
                <w:sz w:val="21"/>
                <w:szCs w:val="21"/>
                <w:highlight w:val="none"/>
                <w:u w:val="wave"/>
                <w:lang w:val="en-US" w:eastAsia="zh-CN" w:bidi="ar-SA"/>
                <w14:textFill>
                  <w14:solidFill>
                    <w14:schemeClr w14:val="tx1"/>
                  </w14:solidFill>
                </w14:textFill>
              </w:rPr>
            </w:pPr>
          </w:p>
          <w:p w14:paraId="71253F50">
            <w:pPr>
              <w:keepNext w:val="0"/>
              <w:keepLines w:val="0"/>
              <w:widowControl/>
              <w:suppressLineNumbers w:val="0"/>
              <w:spacing w:line="240" w:lineRule="auto"/>
              <w:ind w:firstLine="2530" w:firstLineChars="1200"/>
              <w:jc w:val="left"/>
              <w:rPr>
                <w:rFonts w:hint="default" w:ascii="Times New Roman" w:hAnsi="Times New Roman" w:eastAsia="宋体" w:cs="Times New Roman"/>
                <w:b/>
                <w:color w:val="000000" w:themeColor="text1"/>
                <w:kern w:val="0"/>
                <w:sz w:val="21"/>
                <w:szCs w:val="21"/>
                <w:highlight w:val="none"/>
                <w:u w:val="wave"/>
                <w:lang w:val="en-US" w:eastAsia="zh-CN" w:bidi="ar-SA"/>
                <w14:textFill>
                  <w14:solidFill>
                    <w14:schemeClr w14:val="tx1"/>
                  </w14:solidFill>
                </w14:textFill>
              </w:rPr>
            </w:pPr>
          </w:p>
          <w:p w14:paraId="583EA4A8">
            <w:pPr>
              <w:keepNext w:val="0"/>
              <w:keepLines w:val="0"/>
              <w:widowControl/>
              <w:suppressLineNumbers w:val="0"/>
              <w:spacing w:line="240" w:lineRule="auto"/>
              <w:ind w:firstLine="2530" w:firstLineChars="1200"/>
              <w:jc w:val="left"/>
              <w:rPr>
                <w:rFonts w:hint="default" w:ascii="Times New Roman" w:hAnsi="Times New Roman" w:eastAsia="宋体" w:cs="Times New Roman"/>
                <w:b/>
                <w:color w:val="000000" w:themeColor="text1"/>
                <w:kern w:val="0"/>
                <w:sz w:val="21"/>
                <w:szCs w:val="21"/>
                <w:highlight w:val="none"/>
                <w:u w:val="wave"/>
                <w:lang w:val="en-US" w:eastAsia="zh-CN" w:bidi="ar-SA"/>
                <w14:textFill>
                  <w14:solidFill>
                    <w14:schemeClr w14:val="tx1"/>
                  </w14:solidFill>
                </w14:textFill>
              </w:rPr>
            </w:pPr>
          </w:p>
          <w:p w14:paraId="1FA2386E">
            <w:pPr>
              <w:keepNext w:val="0"/>
              <w:keepLines w:val="0"/>
              <w:widowControl/>
              <w:suppressLineNumbers w:val="0"/>
              <w:spacing w:line="240" w:lineRule="auto"/>
              <w:ind w:firstLine="2530" w:firstLineChars="1200"/>
              <w:jc w:val="left"/>
              <w:rPr>
                <w:rFonts w:hint="default" w:ascii="Times New Roman" w:hAnsi="Times New Roman" w:eastAsia="宋体" w:cs="Times New Roman"/>
                <w:b/>
                <w:color w:val="000000" w:themeColor="text1"/>
                <w:kern w:val="0"/>
                <w:sz w:val="21"/>
                <w:szCs w:val="21"/>
                <w:highlight w:val="none"/>
                <w:u w:val="wave"/>
                <w:lang w:val="en-US" w:eastAsia="zh-CN" w:bidi="ar-SA"/>
                <w14:textFill>
                  <w14:solidFill>
                    <w14:schemeClr w14:val="tx1"/>
                  </w14:solidFill>
                </w14:textFill>
              </w:rPr>
            </w:pPr>
          </w:p>
          <w:p w14:paraId="5C3B839B">
            <w:pPr>
              <w:keepNext w:val="0"/>
              <w:keepLines w:val="0"/>
              <w:widowControl/>
              <w:suppressLineNumbers w:val="0"/>
              <w:spacing w:line="240" w:lineRule="auto"/>
              <w:ind w:firstLine="2530" w:firstLineChars="1200"/>
              <w:jc w:val="left"/>
              <w:rPr>
                <w:rFonts w:hint="default" w:ascii="Times New Roman" w:hAnsi="Times New Roman" w:eastAsia="宋体" w:cs="Times New Roman"/>
                <w:b/>
                <w:color w:val="000000" w:themeColor="text1"/>
                <w:kern w:val="0"/>
                <w:sz w:val="21"/>
                <w:szCs w:val="21"/>
                <w:highlight w:val="none"/>
                <w:u w:val="wave"/>
                <w:lang w:val="en-US" w:eastAsia="zh-CN" w:bidi="ar-SA"/>
                <w14:textFill>
                  <w14:solidFill>
                    <w14:schemeClr w14:val="tx1"/>
                  </w14:solidFill>
                </w14:textFill>
              </w:rPr>
            </w:pPr>
          </w:p>
          <w:p w14:paraId="703F6FBF">
            <w:pPr>
              <w:keepNext w:val="0"/>
              <w:keepLines w:val="0"/>
              <w:widowControl/>
              <w:suppressLineNumbers w:val="0"/>
              <w:spacing w:line="240" w:lineRule="auto"/>
              <w:ind w:firstLine="2530" w:firstLineChars="1200"/>
              <w:jc w:val="left"/>
              <w:rPr>
                <w:rFonts w:hint="default" w:ascii="Times New Roman" w:hAnsi="Times New Roman" w:eastAsia="宋体" w:cs="Times New Roman"/>
                <w:b/>
                <w:color w:val="000000" w:themeColor="text1"/>
                <w:kern w:val="0"/>
                <w:sz w:val="21"/>
                <w:szCs w:val="21"/>
                <w:highlight w:val="none"/>
                <w:u w:val="wave"/>
                <w:lang w:val="en-US" w:eastAsia="zh-CN" w:bidi="ar-SA"/>
                <w14:textFill>
                  <w14:solidFill>
                    <w14:schemeClr w14:val="tx1"/>
                  </w14:solidFill>
                </w14:textFill>
              </w:rPr>
            </w:pPr>
          </w:p>
          <w:p w14:paraId="57B1D262">
            <w:pPr>
              <w:keepNext w:val="0"/>
              <w:keepLines w:val="0"/>
              <w:widowControl/>
              <w:suppressLineNumbers w:val="0"/>
              <w:spacing w:line="240" w:lineRule="auto"/>
              <w:ind w:firstLine="2530" w:firstLineChars="1200"/>
              <w:jc w:val="left"/>
              <w:rPr>
                <w:rFonts w:hint="default" w:ascii="Times New Roman" w:hAnsi="Times New Roman" w:eastAsia="宋体" w:cs="Times New Roman"/>
                <w:b/>
                <w:color w:val="000000" w:themeColor="text1"/>
                <w:kern w:val="0"/>
                <w:sz w:val="21"/>
                <w:szCs w:val="21"/>
                <w:highlight w:val="none"/>
                <w:u w:val="wave"/>
                <w:lang w:val="en-US" w:eastAsia="zh-CN" w:bidi="ar-SA"/>
                <w14:textFill>
                  <w14:solidFill>
                    <w14:schemeClr w14:val="tx1"/>
                  </w14:solidFill>
                </w14:textFill>
              </w:rPr>
            </w:pPr>
          </w:p>
          <w:p w14:paraId="653BE5D4">
            <w:pPr>
              <w:keepNext w:val="0"/>
              <w:keepLines w:val="0"/>
              <w:widowControl/>
              <w:suppressLineNumbers w:val="0"/>
              <w:spacing w:line="240" w:lineRule="auto"/>
              <w:ind w:firstLine="2530" w:firstLineChars="1200"/>
              <w:jc w:val="left"/>
              <w:rPr>
                <w:rFonts w:hint="default" w:ascii="Times New Roman" w:hAnsi="Times New Roman" w:eastAsia="宋体" w:cs="Times New Roman"/>
                <w:b/>
                <w:color w:val="000000" w:themeColor="text1"/>
                <w:kern w:val="0"/>
                <w:sz w:val="21"/>
                <w:szCs w:val="21"/>
                <w:highlight w:val="none"/>
                <w:u w:val="wave"/>
                <w:lang w:val="en-US" w:eastAsia="zh-CN" w:bidi="ar-SA"/>
                <w14:textFill>
                  <w14:solidFill>
                    <w14:schemeClr w14:val="tx1"/>
                  </w14:solidFill>
                </w14:textFill>
              </w:rPr>
            </w:pPr>
          </w:p>
          <w:p w14:paraId="43B8DE2E">
            <w:pPr>
              <w:keepNext w:val="0"/>
              <w:keepLines w:val="0"/>
              <w:widowControl/>
              <w:suppressLineNumbers w:val="0"/>
              <w:spacing w:line="240" w:lineRule="auto"/>
              <w:ind w:firstLine="2530" w:firstLineChars="1200"/>
              <w:jc w:val="left"/>
              <w:rPr>
                <w:rFonts w:ascii="Times New Roman" w:hAnsi="Times New Roman" w:eastAsia="宋体" w:cs="Times New Roman"/>
                <w:b/>
                <w:color w:val="000000" w:themeColor="text1"/>
                <w:kern w:val="0"/>
                <w:sz w:val="21"/>
                <w:szCs w:val="21"/>
                <w:highlight w:val="none"/>
                <w:u w:val="wave"/>
                <w:lang w:val="en-US" w:eastAsia="zh-CN" w:bidi="ar-SA"/>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u w:val="wave"/>
                <w:lang w:val="en-US" w:eastAsia="zh-CN" w:bidi="ar-SA"/>
                <w14:textFill>
                  <w14:solidFill>
                    <w14:schemeClr w14:val="tx1"/>
                  </w14:solidFill>
                </w14:textFill>
              </w:rPr>
              <w:t>3.</w:t>
            </w:r>
            <w:r>
              <w:rPr>
                <w:rFonts w:hint="eastAsia" w:cs="Times New Roman"/>
                <w:b/>
                <w:color w:val="000000" w:themeColor="text1"/>
                <w:kern w:val="0"/>
                <w:sz w:val="21"/>
                <w:szCs w:val="21"/>
                <w:highlight w:val="none"/>
                <w:u w:val="wave"/>
                <w:lang w:val="en-US" w:eastAsia="zh-CN" w:bidi="ar-SA"/>
                <w14:textFill>
                  <w14:solidFill>
                    <w14:schemeClr w14:val="tx1"/>
                  </w14:solidFill>
                </w14:textFill>
              </w:rPr>
              <w:t>2</w:t>
            </w:r>
            <w:r>
              <w:rPr>
                <w:rFonts w:hint="default" w:ascii="Times New Roman" w:hAnsi="Times New Roman" w:eastAsia="宋体" w:cs="Times New Roman"/>
                <w:b/>
                <w:color w:val="000000" w:themeColor="text1"/>
                <w:kern w:val="0"/>
                <w:sz w:val="21"/>
                <w:szCs w:val="21"/>
                <w:highlight w:val="none"/>
                <w:u w:val="wave"/>
                <w:lang w:val="en-US" w:eastAsia="zh-CN" w:bidi="ar-SA"/>
                <w14:textFill>
                  <w14:solidFill>
                    <w14:schemeClr w14:val="tx1"/>
                  </w14:solidFill>
                </w14:textFill>
              </w:rPr>
              <w:t>-</w:t>
            </w:r>
            <w:r>
              <w:rPr>
                <w:rFonts w:hint="eastAsia" w:ascii="Times New Roman" w:hAnsi="Times New Roman" w:eastAsia="宋体" w:cs="Times New Roman"/>
                <w:b/>
                <w:color w:val="000000" w:themeColor="text1"/>
                <w:kern w:val="0"/>
                <w:sz w:val="21"/>
                <w:szCs w:val="21"/>
                <w:highlight w:val="none"/>
                <w:u w:val="wave"/>
                <w:lang w:val="en-US" w:eastAsia="zh-CN" w:bidi="ar-SA"/>
                <w14:textFill>
                  <w14:solidFill>
                    <w14:schemeClr w14:val="tx1"/>
                  </w14:solidFill>
                </w14:textFill>
              </w:rPr>
              <w:t>3</w:t>
            </w:r>
            <w:r>
              <w:rPr>
                <w:rFonts w:hint="eastAsia"/>
                <w:b/>
                <w:color w:val="000000" w:themeColor="text1"/>
                <w:kern w:val="0"/>
                <w:sz w:val="21"/>
                <w:szCs w:val="21"/>
                <w:highlight w:val="none"/>
                <w:u w:val="wave"/>
                <w14:textFill>
                  <w14:solidFill>
                    <w14:schemeClr w14:val="tx1"/>
                  </w14:solidFill>
                </w14:textFill>
              </w:rPr>
              <w:t>其他污染物环境质量现状监测结果表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8"/>
              <w:gridCol w:w="711"/>
              <w:gridCol w:w="722"/>
              <w:gridCol w:w="642"/>
              <w:gridCol w:w="588"/>
              <w:gridCol w:w="869"/>
              <w:gridCol w:w="1306"/>
              <w:gridCol w:w="844"/>
              <w:gridCol w:w="844"/>
              <w:gridCol w:w="844"/>
            </w:tblGrid>
            <w:tr w14:paraId="1307F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2" w:type="pct"/>
                  <w:vMerge w:val="restart"/>
                  <w:tcBorders>
                    <w:right w:val="single" w:color="000000" w:sz="6" w:space="0"/>
                  </w:tcBorders>
                  <w:vAlign w:val="center"/>
                </w:tcPr>
                <w:p w14:paraId="42F7B272">
                  <w:pPr>
                    <w:pStyle w:val="63"/>
                    <w:spacing w:before="24" w:after="24"/>
                    <w:rPr>
                      <w:rFonts w:hint="default" w:ascii="Times New Roman" w:hAnsi="Times New Roman" w:eastAsia="宋体" w:cs="Times New Roman"/>
                      <w:color w:val="000000" w:themeColor="text1"/>
                      <w:sz w:val="21"/>
                      <w:u w:val="wave"/>
                      <w:lang w:val="en-US" w:eastAsia="zh-CN"/>
                      <w14:textFill>
                        <w14:solidFill>
                          <w14:schemeClr w14:val="tx1"/>
                        </w14:solidFill>
                      </w14:textFill>
                    </w:rPr>
                  </w:pPr>
                  <w:r>
                    <w:rPr>
                      <w:rFonts w:hint="eastAsia" w:ascii="Times New Roman" w:hAnsi="Times New Roman" w:eastAsia="宋体" w:cs="Times New Roman"/>
                      <w:color w:val="000000" w:themeColor="text1"/>
                      <w:sz w:val="21"/>
                      <w:u w:val="wave"/>
                      <w:lang w:val="en-US" w:eastAsia="zh-CN"/>
                      <w14:textFill>
                        <w14:solidFill>
                          <w14:schemeClr w14:val="tx1"/>
                        </w14:solidFill>
                      </w14:textFill>
                    </w:rPr>
                    <w:t xml:space="preserve">监测点位名称 </w:t>
                  </w:r>
                </w:p>
              </w:tc>
              <w:tc>
                <w:tcPr>
                  <w:tcW w:w="909" w:type="pct"/>
                  <w:gridSpan w:val="2"/>
                  <w:vAlign w:val="center"/>
                </w:tcPr>
                <w:p w14:paraId="7B4BB1C8">
                  <w:pPr>
                    <w:pStyle w:val="63"/>
                    <w:spacing w:before="24" w:after="24"/>
                    <w:rPr>
                      <w:rFonts w:hint="default" w:ascii="Times New Roman" w:hAnsi="Times New Roman" w:eastAsia="宋体" w:cs="Times New Roman"/>
                      <w:color w:val="000000" w:themeColor="text1"/>
                      <w:sz w:val="21"/>
                      <w:u w:val="wave"/>
                      <w:lang w:val="en-US" w:eastAsia="zh-CN"/>
                      <w14:textFill>
                        <w14:solidFill>
                          <w14:schemeClr w14:val="tx1"/>
                        </w14:solidFill>
                      </w14:textFill>
                    </w:rPr>
                  </w:pPr>
                  <w:r>
                    <w:rPr>
                      <w:rFonts w:hint="eastAsia" w:ascii="Times New Roman" w:hAnsi="Times New Roman" w:eastAsia="宋体" w:cs="Times New Roman"/>
                      <w:color w:val="000000" w:themeColor="text1"/>
                      <w:sz w:val="21"/>
                      <w:u w:val="wave"/>
                      <w:lang w:val="en-US" w:eastAsia="zh-CN"/>
                      <w14:textFill>
                        <w14:solidFill>
                          <w14:schemeClr w14:val="tx1"/>
                        </w14:solidFill>
                      </w14:textFill>
                    </w:rPr>
                    <w:t>监测点位坐标（</w:t>
                  </w:r>
                  <w:r>
                    <w:rPr>
                      <w:rFonts w:hint="eastAsia" w:ascii="宋体" w:hAnsi="宋体" w:eastAsia="宋体" w:cs="宋体"/>
                      <w:color w:val="000000" w:themeColor="text1"/>
                      <w:sz w:val="21"/>
                      <w:u w:val="wave"/>
                      <w:lang w:val="en-US" w:eastAsia="zh-CN"/>
                      <w14:textFill>
                        <w14:solidFill>
                          <w14:schemeClr w14:val="tx1"/>
                        </w14:solidFill>
                      </w14:textFill>
                    </w:rPr>
                    <w:t>°</w:t>
                  </w:r>
                  <w:r>
                    <w:rPr>
                      <w:rFonts w:hint="eastAsia" w:ascii="Times New Roman" w:hAnsi="Times New Roman" w:eastAsia="宋体" w:cs="Times New Roman"/>
                      <w:color w:val="000000" w:themeColor="text1"/>
                      <w:sz w:val="21"/>
                      <w:u w:val="wave"/>
                      <w:lang w:val="en-US" w:eastAsia="zh-CN"/>
                      <w14:textFill>
                        <w14:solidFill>
                          <w14:schemeClr w14:val="tx1"/>
                        </w14:solidFill>
                      </w14:textFill>
                    </w:rPr>
                    <w:t>）</w:t>
                  </w:r>
                </w:p>
              </w:tc>
              <w:tc>
                <w:tcPr>
                  <w:tcW w:w="407" w:type="pct"/>
                  <w:vMerge w:val="restart"/>
                  <w:vAlign w:val="center"/>
                </w:tcPr>
                <w:p w14:paraId="2DD0C400">
                  <w:pPr>
                    <w:pStyle w:val="63"/>
                    <w:spacing w:before="24" w:after="24"/>
                    <w:rPr>
                      <w:rFonts w:hint="default" w:ascii="Times New Roman" w:hAnsi="Times New Roman" w:eastAsia="宋体" w:cs="Times New Roman"/>
                      <w:color w:val="000000" w:themeColor="text1"/>
                      <w:sz w:val="21"/>
                      <w:u w:val="wave"/>
                      <w:lang w:val="en-US" w:eastAsia="zh-CN"/>
                      <w14:textFill>
                        <w14:solidFill>
                          <w14:schemeClr w14:val="tx1"/>
                        </w14:solidFill>
                      </w14:textFill>
                    </w:rPr>
                  </w:pPr>
                  <w:r>
                    <w:rPr>
                      <w:rFonts w:hint="eastAsia" w:ascii="Times New Roman" w:hAnsi="Times New Roman" w:eastAsia="宋体" w:cs="Times New Roman"/>
                      <w:color w:val="000000" w:themeColor="text1"/>
                      <w:sz w:val="21"/>
                      <w:u w:val="wave"/>
                      <w:lang w:val="en-US" w:eastAsia="zh-CN"/>
                      <w14:textFill>
                        <w14:solidFill>
                          <w14:schemeClr w14:val="tx1"/>
                        </w14:solidFill>
                      </w14:textFill>
                    </w:rPr>
                    <w:t>监测因子</w:t>
                  </w:r>
                </w:p>
              </w:tc>
              <w:tc>
                <w:tcPr>
                  <w:tcW w:w="373" w:type="pct"/>
                  <w:vMerge w:val="restart"/>
                  <w:vAlign w:val="center"/>
                </w:tcPr>
                <w:p w14:paraId="1A09F3D4">
                  <w:pPr>
                    <w:pStyle w:val="63"/>
                    <w:spacing w:before="24" w:after="24"/>
                    <w:rPr>
                      <w:rFonts w:hint="default" w:ascii="Times New Roman" w:hAnsi="Times New Roman" w:eastAsia="宋体" w:cs="Times New Roman"/>
                      <w:color w:val="000000" w:themeColor="text1"/>
                      <w:sz w:val="21"/>
                      <w:u w:val="wave"/>
                      <w:lang w:val="en-US" w:eastAsia="zh-CN"/>
                      <w14:textFill>
                        <w14:solidFill>
                          <w14:schemeClr w14:val="tx1"/>
                        </w14:solidFill>
                      </w14:textFill>
                    </w:rPr>
                  </w:pPr>
                  <w:r>
                    <w:rPr>
                      <w:rFonts w:hint="eastAsia" w:ascii="Times New Roman" w:hAnsi="Times New Roman" w:eastAsia="宋体" w:cs="Times New Roman"/>
                      <w:color w:val="000000" w:themeColor="text1"/>
                      <w:sz w:val="21"/>
                      <w:u w:val="wave"/>
                      <w:lang w:val="en-US" w:eastAsia="zh-CN"/>
                      <w14:textFill>
                        <w14:solidFill>
                          <w14:schemeClr w14:val="tx1"/>
                        </w14:solidFill>
                      </w14:textFill>
                    </w:rPr>
                    <w:t>平均时间</w:t>
                  </w:r>
                </w:p>
              </w:tc>
              <w:tc>
                <w:tcPr>
                  <w:tcW w:w="551" w:type="pct"/>
                  <w:vMerge w:val="restart"/>
                  <w:vAlign w:val="center"/>
                </w:tcPr>
                <w:p w14:paraId="1154F440">
                  <w:pPr>
                    <w:pStyle w:val="63"/>
                    <w:spacing w:before="24" w:after="24"/>
                    <w:rPr>
                      <w:rFonts w:hint="eastAsia" w:ascii="Times New Roman" w:hAnsi="Times New Roman"/>
                      <w:color w:val="000000" w:themeColor="text1"/>
                      <w:sz w:val="21"/>
                      <w:u w:val="wave"/>
                      <w14:textFill>
                        <w14:solidFill>
                          <w14:schemeClr w14:val="tx1"/>
                        </w14:solidFill>
                      </w14:textFill>
                    </w:rPr>
                  </w:pPr>
                  <w:r>
                    <w:rPr>
                      <w:rFonts w:hint="eastAsia" w:ascii="Times New Roman" w:hAnsi="Times New Roman"/>
                      <w:color w:val="000000" w:themeColor="text1"/>
                      <w:sz w:val="21"/>
                      <w:u w:val="wave"/>
                      <w14:textFill>
                        <w14:solidFill>
                          <w14:schemeClr w14:val="tx1"/>
                        </w14:solidFill>
                      </w14:textFill>
                    </w:rPr>
                    <w:t>评价标准/</w:t>
                  </w:r>
                </w:p>
                <w:p w14:paraId="4AD38F77">
                  <w:pPr>
                    <w:pStyle w:val="63"/>
                    <w:spacing w:before="24" w:after="24"/>
                    <w:rPr>
                      <w:rFonts w:hint="default" w:ascii="Times New Roman" w:hAnsi="Times New Roman" w:eastAsia="宋体" w:cs="Times New Roman"/>
                      <w:color w:val="000000" w:themeColor="text1"/>
                      <w:sz w:val="21"/>
                      <w:u w:val="wave"/>
                      <w:lang w:val="en-US" w:eastAsia="zh-CN"/>
                      <w14:textFill>
                        <w14:solidFill>
                          <w14:schemeClr w14:val="tx1"/>
                        </w14:solidFill>
                      </w14:textFill>
                    </w:rPr>
                  </w:pPr>
                  <w:r>
                    <w:rPr>
                      <w:rFonts w:hint="eastAsia" w:ascii="Times New Roman" w:hAnsi="Times New Roman"/>
                      <w:color w:val="000000" w:themeColor="text1"/>
                      <w:sz w:val="21"/>
                      <w:u w:val="wave"/>
                      <w14:textFill>
                        <w14:solidFill>
                          <w14:schemeClr w14:val="tx1"/>
                        </w14:solidFill>
                      </w14:textFill>
                    </w:rPr>
                    <w:t>（ug/ m</w:t>
                  </w:r>
                  <w:r>
                    <w:rPr>
                      <w:rFonts w:hint="eastAsia" w:ascii="Times New Roman" w:hAnsi="Times New Roman"/>
                      <w:color w:val="000000" w:themeColor="text1"/>
                      <w:sz w:val="21"/>
                      <w:u w:val="wave"/>
                      <w:vertAlign w:val="superscript"/>
                      <w14:textFill>
                        <w14:solidFill>
                          <w14:schemeClr w14:val="tx1"/>
                        </w14:solidFill>
                      </w14:textFill>
                    </w:rPr>
                    <w:t>3</w:t>
                  </w:r>
                  <w:r>
                    <w:rPr>
                      <w:rFonts w:hint="eastAsia" w:ascii="Times New Roman" w:hAnsi="Times New Roman"/>
                      <w:color w:val="000000" w:themeColor="text1"/>
                      <w:sz w:val="21"/>
                      <w:u w:val="wave"/>
                      <w14:textFill>
                        <w14:solidFill>
                          <w14:schemeClr w14:val="tx1"/>
                        </w14:solidFill>
                      </w14:textFill>
                    </w:rPr>
                    <w:t>）</w:t>
                  </w:r>
                  <w:r>
                    <w:rPr>
                      <w:rFonts w:hint="eastAsia" w:ascii="Times New Roman" w:hAnsi="Times New Roman" w:eastAsia="宋体" w:cs="Times New Roman"/>
                      <w:color w:val="000000" w:themeColor="text1"/>
                      <w:sz w:val="21"/>
                      <w:u w:val="wave"/>
                      <w:lang w:val="en-US" w:eastAsia="zh-CN"/>
                      <w14:textFill>
                        <w14:solidFill>
                          <w14:schemeClr w14:val="tx1"/>
                        </w14:solidFill>
                      </w14:textFill>
                    </w:rPr>
                    <w:t xml:space="preserve"> </w:t>
                  </w:r>
                </w:p>
              </w:tc>
              <w:tc>
                <w:tcPr>
                  <w:tcW w:w="828" w:type="pct"/>
                  <w:vMerge w:val="restart"/>
                  <w:vAlign w:val="center"/>
                </w:tcPr>
                <w:p w14:paraId="19C082AF">
                  <w:pPr>
                    <w:pStyle w:val="63"/>
                    <w:spacing w:before="24" w:after="24"/>
                    <w:rPr>
                      <w:rFonts w:hint="eastAsia" w:ascii="Times New Roman" w:hAnsi="Times New Roman"/>
                      <w:color w:val="000000" w:themeColor="text1"/>
                      <w:sz w:val="21"/>
                      <w:u w:val="wave"/>
                      <w14:textFill>
                        <w14:solidFill>
                          <w14:schemeClr w14:val="tx1"/>
                        </w14:solidFill>
                      </w14:textFill>
                    </w:rPr>
                  </w:pPr>
                  <w:r>
                    <w:rPr>
                      <w:rFonts w:hint="eastAsia" w:ascii="Times New Roman" w:hAnsi="Times New Roman" w:eastAsia="宋体" w:cs="Times New Roman"/>
                      <w:color w:val="000000" w:themeColor="text1"/>
                      <w:sz w:val="21"/>
                      <w:u w:val="wave"/>
                      <w:lang w:val="en-US" w:eastAsia="zh-CN"/>
                      <w14:textFill>
                        <w14:solidFill>
                          <w14:schemeClr w14:val="tx1"/>
                        </w14:solidFill>
                      </w14:textFill>
                    </w:rPr>
                    <w:t>监</w:t>
                  </w:r>
                  <w:r>
                    <w:rPr>
                      <w:rFonts w:hint="eastAsia" w:ascii="Times New Roman" w:hAnsi="Times New Roman"/>
                      <w:color w:val="000000" w:themeColor="text1"/>
                      <w:sz w:val="21"/>
                      <w:u w:val="wave"/>
                      <w14:textFill>
                        <w14:solidFill>
                          <w14:schemeClr w14:val="tx1"/>
                        </w14:solidFill>
                      </w14:textFill>
                    </w:rPr>
                    <w:t>测浓度范围/</w:t>
                  </w:r>
                </w:p>
                <w:p w14:paraId="390F5176">
                  <w:pPr>
                    <w:pStyle w:val="63"/>
                    <w:spacing w:before="24" w:after="24"/>
                    <w:rPr>
                      <w:rFonts w:hint="default" w:ascii="Times New Roman" w:hAnsi="Times New Roman" w:eastAsia="宋体" w:cs="Times New Roman"/>
                      <w:color w:val="000000" w:themeColor="text1"/>
                      <w:sz w:val="21"/>
                      <w:u w:val="wave"/>
                      <w:lang w:val="en-US" w:eastAsia="zh-CN"/>
                      <w14:textFill>
                        <w14:solidFill>
                          <w14:schemeClr w14:val="tx1"/>
                        </w14:solidFill>
                      </w14:textFill>
                    </w:rPr>
                  </w:pPr>
                  <w:r>
                    <w:rPr>
                      <w:rFonts w:hint="eastAsia" w:ascii="Times New Roman" w:hAnsi="Times New Roman"/>
                      <w:color w:val="000000" w:themeColor="text1"/>
                      <w:sz w:val="21"/>
                      <w:u w:val="wave"/>
                      <w14:textFill>
                        <w14:solidFill>
                          <w14:schemeClr w14:val="tx1"/>
                        </w14:solidFill>
                      </w14:textFill>
                    </w:rPr>
                    <w:t>（ug/ m</w:t>
                  </w:r>
                  <w:r>
                    <w:rPr>
                      <w:rFonts w:hint="eastAsia" w:ascii="Times New Roman" w:hAnsi="Times New Roman"/>
                      <w:color w:val="000000" w:themeColor="text1"/>
                      <w:sz w:val="21"/>
                      <w:u w:val="wave"/>
                      <w:vertAlign w:val="superscript"/>
                      <w14:textFill>
                        <w14:solidFill>
                          <w14:schemeClr w14:val="tx1"/>
                        </w14:solidFill>
                      </w14:textFill>
                    </w:rPr>
                    <w:t>3</w:t>
                  </w:r>
                  <w:r>
                    <w:rPr>
                      <w:rFonts w:hint="eastAsia" w:ascii="Times New Roman" w:hAnsi="Times New Roman"/>
                      <w:color w:val="000000" w:themeColor="text1"/>
                      <w:sz w:val="21"/>
                      <w:u w:val="wave"/>
                      <w14:textFill>
                        <w14:solidFill>
                          <w14:schemeClr w14:val="tx1"/>
                        </w14:solidFill>
                      </w14:textFill>
                    </w:rPr>
                    <w:t>）</w:t>
                  </w:r>
                  <w:r>
                    <w:rPr>
                      <w:rFonts w:hint="default" w:ascii="Times New Roman" w:hAnsi="Times New Roman" w:eastAsia="宋体" w:cs="Times New Roman"/>
                      <w:color w:val="000000" w:themeColor="text1"/>
                      <w:sz w:val="21"/>
                      <w:u w:val="wave"/>
                      <w:lang w:val="en-US" w:eastAsia="zh-CN"/>
                      <w14:textFill>
                        <w14:solidFill>
                          <w14:schemeClr w14:val="tx1"/>
                        </w14:solidFill>
                      </w14:textFill>
                    </w:rPr>
                    <w:t xml:space="preserve"> </w:t>
                  </w:r>
                </w:p>
              </w:tc>
              <w:tc>
                <w:tcPr>
                  <w:tcW w:w="535" w:type="pct"/>
                  <w:vMerge w:val="restart"/>
                  <w:vAlign w:val="center"/>
                </w:tcPr>
                <w:p w14:paraId="1B157BE3">
                  <w:pPr>
                    <w:pStyle w:val="63"/>
                    <w:spacing w:before="24" w:after="24"/>
                    <w:rPr>
                      <w:rFonts w:hint="eastAsia" w:ascii="Times New Roman" w:hAnsi="Times New Roman"/>
                      <w:color w:val="000000" w:themeColor="text1"/>
                      <w:sz w:val="21"/>
                      <w:u w:val="wave"/>
                      <w14:textFill>
                        <w14:solidFill>
                          <w14:schemeClr w14:val="tx1"/>
                        </w14:solidFill>
                      </w14:textFill>
                    </w:rPr>
                  </w:pPr>
                  <w:r>
                    <w:rPr>
                      <w:rFonts w:hint="eastAsia" w:ascii="Times New Roman" w:hAnsi="Times New Roman" w:eastAsia="宋体" w:cs="Times New Roman"/>
                      <w:color w:val="000000" w:themeColor="text1"/>
                      <w:sz w:val="21"/>
                      <w:u w:val="wave"/>
                      <w:lang w:val="en-US" w:eastAsia="zh-CN"/>
                      <w14:textFill>
                        <w14:solidFill>
                          <w14:schemeClr w14:val="tx1"/>
                        </w14:solidFill>
                      </w14:textFill>
                    </w:rPr>
                    <w:t>最</w:t>
                  </w:r>
                  <w:r>
                    <w:rPr>
                      <w:rFonts w:hint="eastAsia" w:ascii="Times New Roman" w:hAnsi="Times New Roman"/>
                      <w:color w:val="000000" w:themeColor="text1"/>
                      <w:sz w:val="21"/>
                      <w:u w:val="wave"/>
                      <w14:textFill>
                        <w14:solidFill>
                          <w14:schemeClr w14:val="tx1"/>
                        </w14:solidFill>
                      </w14:textFill>
                    </w:rPr>
                    <w:t>大浓度</w:t>
                  </w:r>
                </w:p>
                <w:p w14:paraId="1A4F33FE">
                  <w:pPr>
                    <w:pStyle w:val="63"/>
                    <w:spacing w:before="24" w:after="24"/>
                    <w:rPr>
                      <w:rFonts w:hint="default" w:ascii="Times New Roman" w:hAnsi="Times New Roman" w:eastAsia="宋体" w:cs="Times New Roman"/>
                      <w:color w:val="000000" w:themeColor="text1"/>
                      <w:sz w:val="21"/>
                      <w:u w:val="wave"/>
                      <w:lang w:val="en-US" w:eastAsia="zh-CN"/>
                      <w14:textFill>
                        <w14:solidFill>
                          <w14:schemeClr w14:val="tx1"/>
                        </w14:solidFill>
                      </w14:textFill>
                    </w:rPr>
                  </w:pPr>
                  <w:r>
                    <w:rPr>
                      <w:rFonts w:hint="eastAsia" w:ascii="Times New Roman" w:hAnsi="Times New Roman"/>
                      <w:color w:val="000000" w:themeColor="text1"/>
                      <w:sz w:val="21"/>
                      <w:u w:val="wave"/>
                      <w14:textFill>
                        <w14:solidFill>
                          <w14:schemeClr w14:val="tx1"/>
                        </w14:solidFill>
                      </w14:textFill>
                    </w:rPr>
                    <w:t>占标率/%</w:t>
                  </w:r>
                </w:p>
              </w:tc>
              <w:tc>
                <w:tcPr>
                  <w:tcW w:w="535" w:type="pct"/>
                  <w:vMerge w:val="restart"/>
                  <w:vAlign w:val="center"/>
                </w:tcPr>
                <w:p w14:paraId="160D2AD1">
                  <w:pPr>
                    <w:pStyle w:val="63"/>
                    <w:spacing w:before="24" w:after="24"/>
                    <w:rPr>
                      <w:rFonts w:hint="default" w:ascii="Times New Roman" w:hAnsi="Times New Roman" w:eastAsia="宋体" w:cs="Times New Roman"/>
                      <w:color w:val="000000" w:themeColor="text1"/>
                      <w:sz w:val="21"/>
                      <w:u w:val="wave"/>
                      <w:lang w:val="en-US" w:eastAsia="zh-CN"/>
                      <w14:textFill>
                        <w14:solidFill>
                          <w14:schemeClr w14:val="tx1"/>
                        </w14:solidFill>
                      </w14:textFill>
                    </w:rPr>
                  </w:pPr>
                  <w:r>
                    <w:rPr>
                      <w:rFonts w:hint="eastAsia" w:ascii="Times New Roman" w:hAnsi="Times New Roman" w:eastAsia="宋体" w:cs="Times New Roman"/>
                      <w:color w:val="000000" w:themeColor="text1"/>
                      <w:sz w:val="21"/>
                      <w:u w:val="wave"/>
                      <w:lang w:val="en-US" w:eastAsia="zh-CN"/>
                      <w14:textFill>
                        <w14:solidFill>
                          <w14:schemeClr w14:val="tx1"/>
                        </w14:solidFill>
                      </w14:textFill>
                    </w:rPr>
                    <w:t>超标率</w:t>
                  </w:r>
                </w:p>
              </w:tc>
              <w:tc>
                <w:tcPr>
                  <w:tcW w:w="535" w:type="pct"/>
                  <w:vMerge w:val="restart"/>
                  <w:vAlign w:val="center"/>
                </w:tcPr>
                <w:p w14:paraId="39095025">
                  <w:pPr>
                    <w:pStyle w:val="63"/>
                    <w:spacing w:before="24" w:after="24"/>
                    <w:rPr>
                      <w:rFonts w:hint="default" w:ascii="Times New Roman" w:hAnsi="Times New Roman" w:eastAsia="宋体" w:cs="Times New Roman"/>
                      <w:color w:val="000000" w:themeColor="text1"/>
                      <w:sz w:val="21"/>
                      <w:u w:val="wave"/>
                      <w:lang w:val="en-US" w:eastAsia="zh-CN"/>
                      <w14:textFill>
                        <w14:solidFill>
                          <w14:schemeClr w14:val="tx1"/>
                        </w14:solidFill>
                      </w14:textFill>
                    </w:rPr>
                  </w:pPr>
                  <w:r>
                    <w:rPr>
                      <w:rFonts w:hint="eastAsia" w:ascii="Times New Roman" w:hAnsi="Times New Roman" w:eastAsia="宋体" w:cs="Times New Roman"/>
                      <w:color w:val="000000" w:themeColor="text1"/>
                      <w:sz w:val="21"/>
                      <w:u w:val="wave"/>
                      <w:lang w:val="en-US" w:eastAsia="zh-CN"/>
                      <w14:textFill>
                        <w14:solidFill>
                          <w14:schemeClr w14:val="tx1"/>
                        </w14:solidFill>
                      </w14:textFill>
                    </w:rPr>
                    <w:t>达标情况</w:t>
                  </w:r>
                </w:p>
              </w:tc>
            </w:tr>
            <w:tr w14:paraId="31169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2" w:type="pct"/>
                  <w:vMerge w:val="continue"/>
                  <w:tcBorders>
                    <w:right w:val="single" w:color="000000" w:sz="6" w:space="0"/>
                  </w:tcBorders>
                  <w:vAlign w:val="center"/>
                </w:tcPr>
                <w:p w14:paraId="702515D3">
                  <w:pPr>
                    <w:pStyle w:val="63"/>
                    <w:spacing w:before="24" w:after="24"/>
                    <w:rPr>
                      <w:rFonts w:hint="default" w:ascii="Times New Roman" w:hAnsi="Times New Roman" w:eastAsia="宋体" w:cs="Times New Roman"/>
                      <w:color w:val="000000" w:themeColor="text1"/>
                      <w:sz w:val="21"/>
                      <w:u w:val="wave"/>
                      <w:lang w:val="en-US" w:eastAsia="zh-CN"/>
                      <w14:textFill>
                        <w14:solidFill>
                          <w14:schemeClr w14:val="tx1"/>
                        </w14:solidFill>
                      </w14:textFill>
                    </w:rPr>
                  </w:pPr>
                </w:p>
              </w:tc>
              <w:tc>
                <w:tcPr>
                  <w:tcW w:w="451" w:type="pct"/>
                  <w:tcBorders>
                    <w:right w:val="single" w:color="000000" w:sz="6" w:space="0"/>
                  </w:tcBorders>
                  <w:vAlign w:val="center"/>
                </w:tcPr>
                <w:p w14:paraId="0A559A67">
                  <w:pPr>
                    <w:pStyle w:val="63"/>
                    <w:spacing w:before="24" w:after="24"/>
                    <w:rPr>
                      <w:rFonts w:hint="default" w:ascii="Times New Roman" w:hAnsi="Times New Roman" w:eastAsia="宋体" w:cs="Times New Roman"/>
                      <w:color w:val="000000" w:themeColor="text1"/>
                      <w:sz w:val="21"/>
                      <w:u w:val="wave"/>
                      <w:lang w:val="en-US" w:eastAsia="zh-CN"/>
                      <w14:textFill>
                        <w14:solidFill>
                          <w14:schemeClr w14:val="tx1"/>
                        </w14:solidFill>
                      </w14:textFill>
                    </w:rPr>
                  </w:pPr>
                  <w:r>
                    <w:rPr>
                      <w:rFonts w:hint="eastAsia" w:ascii="Times New Roman" w:hAnsi="Times New Roman" w:eastAsia="宋体" w:cs="Times New Roman"/>
                      <w:color w:val="000000" w:themeColor="text1"/>
                      <w:sz w:val="21"/>
                      <w:u w:val="wave"/>
                      <w:lang w:val="en-US" w:eastAsia="zh-CN"/>
                      <w14:textFill>
                        <w14:solidFill>
                          <w14:schemeClr w14:val="tx1"/>
                        </w14:solidFill>
                      </w14:textFill>
                    </w:rPr>
                    <w:t>X</w:t>
                  </w:r>
                </w:p>
              </w:tc>
              <w:tc>
                <w:tcPr>
                  <w:tcW w:w="458" w:type="pct"/>
                  <w:tcBorders>
                    <w:left w:val="single" w:color="000000" w:sz="6" w:space="0"/>
                    <w:bottom w:val="single" w:color="000000" w:sz="6" w:space="0"/>
                  </w:tcBorders>
                  <w:vAlign w:val="center"/>
                </w:tcPr>
                <w:p w14:paraId="51481B71">
                  <w:pPr>
                    <w:pStyle w:val="63"/>
                    <w:spacing w:before="24" w:after="24"/>
                    <w:rPr>
                      <w:rFonts w:hint="default" w:ascii="Times New Roman" w:hAnsi="Times New Roman" w:eastAsia="宋体" w:cs="Times New Roman"/>
                      <w:color w:val="000000" w:themeColor="text1"/>
                      <w:sz w:val="21"/>
                      <w:u w:val="wave"/>
                      <w:lang w:val="en-US" w:eastAsia="zh-CN"/>
                      <w14:textFill>
                        <w14:solidFill>
                          <w14:schemeClr w14:val="tx1"/>
                        </w14:solidFill>
                      </w14:textFill>
                    </w:rPr>
                  </w:pPr>
                  <w:r>
                    <w:rPr>
                      <w:rFonts w:hint="eastAsia" w:ascii="Times New Roman" w:hAnsi="Times New Roman" w:eastAsia="宋体" w:cs="Times New Roman"/>
                      <w:color w:val="000000" w:themeColor="text1"/>
                      <w:sz w:val="21"/>
                      <w:u w:val="wave"/>
                      <w:lang w:val="en-US" w:eastAsia="zh-CN"/>
                      <w14:textFill>
                        <w14:solidFill>
                          <w14:schemeClr w14:val="tx1"/>
                        </w14:solidFill>
                      </w14:textFill>
                    </w:rPr>
                    <w:t>Y</w:t>
                  </w:r>
                </w:p>
              </w:tc>
              <w:tc>
                <w:tcPr>
                  <w:tcW w:w="407" w:type="pct"/>
                  <w:vMerge w:val="continue"/>
                  <w:tcBorders>
                    <w:bottom w:val="single" w:color="000000" w:sz="6" w:space="0"/>
                  </w:tcBorders>
                  <w:vAlign w:val="center"/>
                </w:tcPr>
                <w:p w14:paraId="26CB5D88">
                  <w:pPr>
                    <w:pStyle w:val="63"/>
                    <w:spacing w:before="24" w:after="24"/>
                    <w:rPr>
                      <w:rFonts w:hint="default" w:ascii="Times New Roman" w:hAnsi="Times New Roman" w:eastAsia="宋体" w:cs="Times New Roman"/>
                      <w:color w:val="000000" w:themeColor="text1"/>
                      <w:sz w:val="21"/>
                      <w:u w:val="wave"/>
                      <w:lang w:val="en-US" w:eastAsia="zh-CN"/>
                      <w14:textFill>
                        <w14:solidFill>
                          <w14:schemeClr w14:val="tx1"/>
                        </w14:solidFill>
                      </w14:textFill>
                    </w:rPr>
                  </w:pPr>
                </w:p>
              </w:tc>
              <w:tc>
                <w:tcPr>
                  <w:tcW w:w="373" w:type="pct"/>
                  <w:vMerge w:val="continue"/>
                  <w:tcBorders>
                    <w:bottom w:val="single" w:color="000000" w:sz="6" w:space="0"/>
                  </w:tcBorders>
                  <w:vAlign w:val="center"/>
                </w:tcPr>
                <w:p w14:paraId="345DF33F">
                  <w:pPr>
                    <w:pStyle w:val="63"/>
                    <w:spacing w:before="24" w:after="24"/>
                    <w:rPr>
                      <w:rFonts w:hint="default" w:ascii="Times New Roman" w:hAnsi="Times New Roman" w:eastAsia="宋体" w:cs="Times New Roman"/>
                      <w:color w:val="000000" w:themeColor="text1"/>
                      <w:sz w:val="21"/>
                      <w:u w:val="wave"/>
                      <w:lang w:val="en-US" w:eastAsia="zh-CN"/>
                      <w14:textFill>
                        <w14:solidFill>
                          <w14:schemeClr w14:val="tx1"/>
                        </w14:solidFill>
                      </w14:textFill>
                    </w:rPr>
                  </w:pPr>
                </w:p>
              </w:tc>
              <w:tc>
                <w:tcPr>
                  <w:tcW w:w="551" w:type="pct"/>
                  <w:vMerge w:val="continue"/>
                  <w:tcBorders>
                    <w:bottom w:val="single" w:color="000000" w:sz="6" w:space="0"/>
                  </w:tcBorders>
                  <w:vAlign w:val="center"/>
                </w:tcPr>
                <w:p w14:paraId="5BD852B5">
                  <w:pPr>
                    <w:pStyle w:val="63"/>
                    <w:spacing w:before="24" w:after="24"/>
                    <w:rPr>
                      <w:rFonts w:hint="default" w:ascii="Times New Roman" w:hAnsi="Times New Roman" w:eastAsia="宋体" w:cs="Times New Roman"/>
                      <w:color w:val="000000" w:themeColor="text1"/>
                      <w:sz w:val="21"/>
                      <w:u w:val="wave"/>
                      <w:lang w:val="en-US" w:eastAsia="zh-CN"/>
                      <w14:textFill>
                        <w14:solidFill>
                          <w14:schemeClr w14:val="tx1"/>
                        </w14:solidFill>
                      </w14:textFill>
                    </w:rPr>
                  </w:pPr>
                </w:p>
              </w:tc>
              <w:tc>
                <w:tcPr>
                  <w:tcW w:w="828" w:type="pct"/>
                  <w:vMerge w:val="continue"/>
                  <w:tcBorders>
                    <w:bottom w:val="single" w:color="000000" w:sz="6" w:space="0"/>
                  </w:tcBorders>
                  <w:vAlign w:val="center"/>
                </w:tcPr>
                <w:p w14:paraId="0A46A278">
                  <w:pPr>
                    <w:pStyle w:val="63"/>
                    <w:spacing w:before="24" w:after="24"/>
                    <w:rPr>
                      <w:rFonts w:hint="default" w:ascii="Times New Roman" w:hAnsi="Times New Roman" w:eastAsia="宋体" w:cs="Times New Roman"/>
                      <w:color w:val="000000" w:themeColor="text1"/>
                      <w:sz w:val="21"/>
                      <w:u w:val="wave"/>
                      <w:lang w:val="en-US" w:eastAsia="zh-CN"/>
                      <w14:textFill>
                        <w14:solidFill>
                          <w14:schemeClr w14:val="tx1"/>
                        </w14:solidFill>
                      </w14:textFill>
                    </w:rPr>
                  </w:pPr>
                </w:p>
              </w:tc>
              <w:tc>
                <w:tcPr>
                  <w:tcW w:w="535" w:type="pct"/>
                  <w:vMerge w:val="continue"/>
                  <w:tcBorders>
                    <w:bottom w:val="single" w:color="000000" w:sz="6" w:space="0"/>
                  </w:tcBorders>
                  <w:vAlign w:val="center"/>
                </w:tcPr>
                <w:p w14:paraId="33EE7C01">
                  <w:pPr>
                    <w:pStyle w:val="63"/>
                    <w:spacing w:before="24" w:after="24"/>
                    <w:rPr>
                      <w:rFonts w:hint="default" w:ascii="Times New Roman" w:hAnsi="Times New Roman" w:eastAsia="宋体" w:cs="Times New Roman"/>
                      <w:color w:val="000000" w:themeColor="text1"/>
                      <w:sz w:val="21"/>
                      <w:u w:val="wave"/>
                      <w:lang w:val="en-US" w:eastAsia="zh-CN"/>
                      <w14:textFill>
                        <w14:solidFill>
                          <w14:schemeClr w14:val="tx1"/>
                        </w14:solidFill>
                      </w14:textFill>
                    </w:rPr>
                  </w:pPr>
                </w:p>
              </w:tc>
              <w:tc>
                <w:tcPr>
                  <w:tcW w:w="535" w:type="pct"/>
                  <w:vMerge w:val="continue"/>
                  <w:tcBorders>
                    <w:bottom w:val="single" w:color="000000" w:sz="6" w:space="0"/>
                  </w:tcBorders>
                  <w:vAlign w:val="center"/>
                </w:tcPr>
                <w:p w14:paraId="2AD0FEE0">
                  <w:pPr>
                    <w:pStyle w:val="63"/>
                    <w:spacing w:before="24" w:after="24"/>
                    <w:rPr>
                      <w:rFonts w:hint="default" w:ascii="Times New Roman" w:hAnsi="Times New Roman" w:eastAsia="宋体" w:cs="Times New Roman"/>
                      <w:color w:val="000000" w:themeColor="text1"/>
                      <w:sz w:val="21"/>
                      <w:u w:val="wave"/>
                      <w:lang w:val="en-US" w:eastAsia="zh-CN"/>
                      <w14:textFill>
                        <w14:solidFill>
                          <w14:schemeClr w14:val="tx1"/>
                        </w14:solidFill>
                      </w14:textFill>
                    </w:rPr>
                  </w:pPr>
                </w:p>
              </w:tc>
              <w:tc>
                <w:tcPr>
                  <w:tcW w:w="535" w:type="pct"/>
                  <w:vMerge w:val="continue"/>
                  <w:tcBorders>
                    <w:bottom w:val="single" w:color="000000" w:sz="6" w:space="0"/>
                  </w:tcBorders>
                  <w:vAlign w:val="center"/>
                </w:tcPr>
                <w:p w14:paraId="5FF60E75">
                  <w:pPr>
                    <w:pStyle w:val="63"/>
                    <w:spacing w:before="24" w:after="24"/>
                    <w:rPr>
                      <w:rFonts w:hint="default" w:ascii="Times New Roman" w:hAnsi="Times New Roman" w:eastAsia="宋体" w:cs="Times New Roman"/>
                      <w:color w:val="000000" w:themeColor="text1"/>
                      <w:sz w:val="21"/>
                      <w:u w:val="wave"/>
                      <w:lang w:val="en-US" w:eastAsia="zh-CN"/>
                      <w14:textFill>
                        <w14:solidFill>
                          <w14:schemeClr w14:val="tx1"/>
                        </w14:solidFill>
                      </w14:textFill>
                    </w:rPr>
                  </w:pPr>
                </w:p>
              </w:tc>
            </w:tr>
            <w:tr w14:paraId="2341E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2" w:type="pct"/>
                  <w:tcBorders>
                    <w:right w:val="single" w:color="000000" w:sz="6" w:space="0"/>
                  </w:tcBorders>
                  <w:vAlign w:val="center"/>
                </w:tcPr>
                <w:p w14:paraId="17895ACF">
                  <w:pPr>
                    <w:pStyle w:val="63"/>
                    <w:spacing w:before="24" w:after="24"/>
                    <w:rPr>
                      <w:rFonts w:hint="default" w:ascii="Times New Roman" w:hAnsi="Times New Roman" w:eastAsia="宋体" w:cs="Times New Roman"/>
                      <w:color w:val="000000" w:themeColor="text1"/>
                      <w:sz w:val="21"/>
                      <w:u w:val="wave"/>
                      <w:lang w:val="en-US" w:eastAsia="zh-CN"/>
                      <w14:textFill>
                        <w14:solidFill>
                          <w14:schemeClr w14:val="tx1"/>
                        </w14:solidFill>
                      </w14:textFill>
                    </w:rPr>
                  </w:pPr>
                  <w:r>
                    <w:rPr>
                      <w:rFonts w:hint="eastAsia" w:ascii="Times New Roman" w:hAnsi="Times New Roman" w:eastAsia="宋体" w:cs="Times New Roman"/>
                      <w:color w:val="000000" w:themeColor="text1"/>
                      <w:sz w:val="21"/>
                      <w:u w:val="wave"/>
                      <w:lang w:val="en-US" w:eastAsia="zh-CN"/>
                      <w14:textFill>
                        <w14:solidFill>
                          <w14:schemeClr w14:val="tx1"/>
                        </w14:solidFill>
                      </w14:textFill>
                    </w:rPr>
                    <w:t>G1</w:t>
                  </w:r>
                </w:p>
              </w:tc>
              <w:tc>
                <w:tcPr>
                  <w:tcW w:w="451" w:type="pct"/>
                  <w:vAlign w:val="center"/>
                </w:tcPr>
                <w:p w14:paraId="7002AFD0">
                  <w:pPr>
                    <w:pStyle w:val="63"/>
                    <w:spacing w:before="24" w:after="24"/>
                    <w:rPr>
                      <w:rFonts w:hint="default" w:ascii="Times New Roman" w:hAnsi="Times New Roman" w:eastAsia="宋体" w:cs="Times New Roman"/>
                      <w:color w:val="000000" w:themeColor="text1"/>
                      <w:sz w:val="21"/>
                      <w:u w:val="wav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wave"/>
                      <w14:textFill>
                        <w14:solidFill>
                          <w14:schemeClr w14:val="tx1"/>
                        </w14:solidFill>
                      </w14:textFill>
                    </w:rPr>
                    <w:t>109.8 1589 4433</w:t>
                  </w:r>
                </w:p>
              </w:tc>
              <w:tc>
                <w:tcPr>
                  <w:tcW w:w="458" w:type="pct"/>
                  <w:tcBorders>
                    <w:top w:val="single" w:color="000000" w:sz="6" w:space="0"/>
                    <w:bottom w:val="single" w:color="000000" w:sz="6" w:space="0"/>
                  </w:tcBorders>
                  <w:vAlign w:val="center"/>
                </w:tcPr>
                <w:p w14:paraId="6598BEEC">
                  <w:pPr>
                    <w:pStyle w:val="63"/>
                    <w:spacing w:before="24" w:after="24"/>
                    <w:rPr>
                      <w:rFonts w:hint="eastAsia" w:ascii="Times New Roman" w:hAnsi="Times New Roman" w:eastAsia="宋体" w:cs="Times New Roman"/>
                      <w:color w:val="000000" w:themeColor="text1"/>
                      <w:sz w:val="21"/>
                      <w:u w:val="wave"/>
                      <w14:textFill>
                        <w14:solidFill>
                          <w14:schemeClr w14:val="tx1"/>
                        </w14:solidFill>
                      </w14:textFill>
                    </w:rPr>
                  </w:pPr>
                  <w:r>
                    <w:rPr>
                      <w:rFonts w:hint="eastAsia" w:ascii="Times New Roman" w:hAnsi="Times New Roman" w:eastAsia="宋体" w:cs="Times New Roman"/>
                      <w:color w:val="000000" w:themeColor="text1"/>
                      <w:sz w:val="21"/>
                      <w:szCs w:val="21"/>
                      <w:u w:val="wave"/>
                      <w14:textFill>
                        <w14:solidFill>
                          <w14:schemeClr w14:val="tx1"/>
                        </w14:solidFill>
                      </w14:textFill>
                    </w:rPr>
                    <w:t>26.1 8414 1572</w:t>
                  </w:r>
                </w:p>
              </w:tc>
              <w:tc>
                <w:tcPr>
                  <w:tcW w:w="407" w:type="pct"/>
                  <w:tcBorders>
                    <w:top w:val="single" w:color="000000" w:sz="6" w:space="0"/>
                    <w:bottom w:val="single" w:color="000000" w:sz="6" w:space="0"/>
                  </w:tcBorders>
                  <w:vAlign w:val="center"/>
                </w:tcPr>
                <w:p w14:paraId="31A2CCAF">
                  <w:pPr>
                    <w:pStyle w:val="63"/>
                    <w:spacing w:before="24" w:after="24"/>
                    <w:rPr>
                      <w:rFonts w:hint="default" w:ascii="Times New Roman" w:hAnsi="Times New Roman" w:eastAsia="宋体" w:cs="Times New Roman"/>
                      <w:color w:val="000000" w:themeColor="text1"/>
                      <w:sz w:val="21"/>
                      <w:u w:val="wave"/>
                      <w:lang w:val="en-US" w:eastAsia="zh-CN"/>
                      <w14:textFill>
                        <w14:solidFill>
                          <w14:schemeClr w14:val="tx1"/>
                        </w14:solidFill>
                      </w14:textFill>
                    </w:rPr>
                  </w:pPr>
                  <w:r>
                    <w:rPr>
                      <w:rFonts w:hint="eastAsia" w:ascii="Times New Roman" w:hAnsi="Times New Roman" w:eastAsia="宋体" w:cs="Times New Roman"/>
                      <w:color w:val="000000" w:themeColor="text1"/>
                      <w:sz w:val="21"/>
                      <w:u w:val="wave"/>
                      <w:lang w:val="en-US" w:eastAsia="zh-CN"/>
                      <w14:textFill>
                        <w14:solidFill>
                          <w14:schemeClr w14:val="tx1"/>
                        </w14:solidFill>
                      </w14:textFill>
                    </w:rPr>
                    <w:t>TSP</w:t>
                  </w:r>
                </w:p>
              </w:tc>
              <w:tc>
                <w:tcPr>
                  <w:tcW w:w="373" w:type="pct"/>
                  <w:tcBorders>
                    <w:top w:val="single" w:color="000000" w:sz="6" w:space="0"/>
                    <w:bottom w:val="single" w:color="000000" w:sz="6" w:space="0"/>
                  </w:tcBorders>
                  <w:vAlign w:val="center"/>
                </w:tcPr>
                <w:p w14:paraId="573D263B">
                  <w:pPr>
                    <w:pStyle w:val="63"/>
                    <w:spacing w:before="24" w:after="24"/>
                    <w:rPr>
                      <w:rFonts w:hint="default" w:ascii="Times New Roman" w:hAnsi="Times New Roman" w:eastAsia="宋体" w:cs="Times New Roman"/>
                      <w:color w:val="000000" w:themeColor="text1"/>
                      <w:sz w:val="21"/>
                      <w:u w:val="wave"/>
                      <w:lang w:val="en-US" w:eastAsia="zh-CN"/>
                      <w14:textFill>
                        <w14:solidFill>
                          <w14:schemeClr w14:val="tx1"/>
                        </w14:solidFill>
                      </w14:textFill>
                    </w:rPr>
                  </w:pPr>
                  <w:r>
                    <w:rPr>
                      <w:rFonts w:hint="eastAsia" w:ascii="Times New Roman" w:hAnsi="Times New Roman" w:eastAsia="宋体" w:cs="Times New Roman"/>
                      <w:color w:val="000000" w:themeColor="text1"/>
                      <w:sz w:val="21"/>
                      <w:u w:val="wave"/>
                      <w:lang w:val="en-US" w:eastAsia="zh-CN"/>
                      <w14:textFill>
                        <w14:solidFill>
                          <w14:schemeClr w14:val="tx1"/>
                        </w14:solidFill>
                      </w14:textFill>
                    </w:rPr>
                    <w:t>24小时</w:t>
                  </w:r>
                </w:p>
              </w:tc>
              <w:tc>
                <w:tcPr>
                  <w:tcW w:w="551" w:type="pct"/>
                  <w:tcBorders>
                    <w:top w:val="single" w:color="000000" w:sz="6" w:space="0"/>
                    <w:bottom w:val="single" w:color="000000" w:sz="6" w:space="0"/>
                  </w:tcBorders>
                  <w:vAlign w:val="center"/>
                </w:tcPr>
                <w:p w14:paraId="7CD7EBCE">
                  <w:pPr>
                    <w:pStyle w:val="63"/>
                    <w:spacing w:before="24" w:after="24"/>
                    <w:rPr>
                      <w:rFonts w:hint="default" w:ascii="Times New Roman" w:hAnsi="Times New Roman" w:eastAsia="宋体" w:cs="Times New Roman"/>
                      <w:color w:val="000000" w:themeColor="text1"/>
                      <w:sz w:val="21"/>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u w:val="wave"/>
                      <w14:textFill>
                        <w14:solidFill>
                          <w14:schemeClr w14:val="tx1"/>
                        </w14:solidFill>
                      </w14:textFill>
                    </w:rPr>
                    <w:t>西北</w:t>
                  </w:r>
                </w:p>
              </w:tc>
              <w:tc>
                <w:tcPr>
                  <w:tcW w:w="828" w:type="pct"/>
                  <w:tcBorders>
                    <w:top w:val="single" w:color="000000" w:sz="6" w:space="0"/>
                    <w:bottom w:val="single" w:color="000000" w:sz="6" w:space="0"/>
                  </w:tcBorders>
                  <w:vAlign w:val="center"/>
                </w:tcPr>
                <w:p w14:paraId="1BF96136">
                  <w:pPr>
                    <w:pStyle w:val="63"/>
                    <w:spacing w:before="24" w:after="24"/>
                    <w:rPr>
                      <w:rFonts w:hint="default" w:ascii="Times New Roman" w:hAnsi="Times New Roman" w:eastAsia="宋体" w:cs="Times New Roman"/>
                      <w:color w:val="000000" w:themeColor="text1"/>
                      <w:sz w:val="21"/>
                      <w:u w:val="wave"/>
                      <w:lang w:val="en-US" w:eastAsia="zh-CN"/>
                      <w14:textFill>
                        <w14:solidFill>
                          <w14:schemeClr w14:val="tx1"/>
                        </w14:solidFill>
                      </w14:textFill>
                    </w:rPr>
                  </w:pPr>
                  <w:r>
                    <w:rPr>
                      <w:rFonts w:hint="eastAsia" w:ascii="Times New Roman" w:hAnsi="Times New Roman" w:eastAsia="宋体" w:cs="Times New Roman"/>
                      <w:color w:val="000000" w:themeColor="text1"/>
                      <w:sz w:val="21"/>
                      <w:u w:val="wave"/>
                      <w:lang w:val="en-US" w:eastAsia="zh-CN"/>
                      <w14:textFill>
                        <w14:solidFill>
                          <w14:schemeClr w14:val="tx1"/>
                        </w14:solidFill>
                      </w14:textFill>
                    </w:rPr>
                    <w:t>90-95</w:t>
                  </w:r>
                </w:p>
              </w:tc>
              <w:tc>
                <w:tcPr>
                  <w:tcW w:w="535" w:type="pct"/>
                  <w:tcBorders>
                    <w:top w:val="single" w:color="000000" w:sz="6" w:space="0"/>
                    <w:bottom w:val="single" w:color="000000" w:sz="6" w:space="0"/>
                  </w:tcBorders>
                  <w:vAlign w:val="center"/>
                </w:tcPr>
                <w:p w14:paraId="648EBE5B">
                  <w:pPr>
                    <w:pStyle w:val="63"/>
                    <w:spacing w:before="24" w:after="24"/>
                    <w:rPr>
                      <w:rFonts w:hint="eastAsia" w:ascii="Times New Roman" w:hAnsi="Times New Roman" w:eastAsia="宋体" w:cs="Times New Roman"/>
                      <w:color w:val="000000" w:themeColor="text1"/>
                      <w:sz w:val="21"/>
                      <w:u w:val="wave"/>
                      <w:lang w:val="en-US" w:eastAsia="zh-CN"/>
                      <w14:textFill>
                        <w14:solidFill>
                          <w14:schemeClr w14:val="tx1"/>
                        </w14:solidFill>
                      </w14:textFill>
                    </w:rPr>
                  </w:pPr>
                  <w:r>
                    <w:rPr>
                      <w:rFonts w:hint="eastAsia" w:ascii="Times New Roman" w:hAnsi="Times New Roman" w:eastAsia="宋体" w:cs="Times New Roman"/>
                      <w:color w:val="000000" w:themeColor="text1"/>
                      <w:sz w:val="21"/>
                      <w:u w:val="wave"/>
                      <w:lang w:val="en-US" w:eastAsia="zh-CN"/>
                      <w14:textFill>
                        <w14:solidFill>
                          <w14:schemeClr w14:val="tx1"/>
                        </w14:solidFill>
                      </w14:textFill>
                    </w:rPr>
                    <w:t>/</w:t>
                  </w:r>
                </w:p>
              </w:tc>
              <w:tc>
                <w:tcPr>
                  <w:tcW w:w="535" w:type="pct"/>
                  <w:tcBorders>
                    <w:top w:val="single" w:color="000000" w:sz="6" w:space="0"/>
                    <w:bottom w:val="single" w:color="000000" w:sz="6" w:space="0"/>
                  </w:tcBorders>
                  <w:vAlign w:val="center"/>
                </w:tcPr>
                <w:p w14:paraId="0AB127D0">
                  <w:pPr>
                    <w:pStyle w:val="63"/>
                    <w:spacing w:before="24" w:after="24"/>
                    <w:rPr>
                      <w:rFonts w:hint="default" w:ascii="Times New Roman" w:hAnsi="Times New Roman" w:eastAsia="宋体" w:cs="Times New Roman"/>
                      <w:color w:val="000000" w:themeColor="text1"/>
                      <w:sz w:val="21"/>
                      <w:u w:val="wave"/>
                      <w:lang w:val="en-US" w:eastAsia="zh-CN"/>
                      <w14:textFill>
                        <w14:solidFill>
                          <w14:schemeClr w14:val="tx1"/>
                        </w14:solidFill>
                      </w14:textFill>
                    </w:rPr>
                  </w:pPr>
                  <w:r>
                    <w:rPr>
                      <w:rFonts w:hint="eastAsia" w:ascii="Times New Roman" w:hAnsi="Times New Roman" w:eastAsia="宋体" w:cs="Times New Roman"/>
                      <w:color w:val="000000" w:themeColor="text1"/>
                      <w:sz w:val="21"/>
                      <w:u w:val="wave"/>
                      <w:lang w:val="en-US" w:eastAsia="zh-CN"/>
                      <w14:textFill>
                        <w14:solidFill>
                          <w14:schemeClr w14:val="tx1"/>
                        </w14:solidFill>
                      </w14:textFill>
                    </w:rPr>
                    <w:t>0</w:t>
                  </w:r>
                </w:p>
              </w:tc>
              <w:tc>
                <w:tcPr>
                  <w:tcW w:w="535" w:type="pct"/>
                  <w:tcBorders>
                    <w:top w:val="single" w:color="000000" w:sz="6" w:space="0"/>
                    <w:bottom w:val="single" w:color="000000" w:sz="6" w:space="0"/>
                  </w:tcBorders>
                  <w:vAlign w:val="center"/>
                </w:tcPr>
                <w:p w14:paraId="48B6F961">
                  <w:pPr>
                    <w:pStyle w:val="63"/>
                    <w:spacing w:before="24" w:after="24"/>
                    <w:rPr>
                      <w:rFonts w:hint="default" w:ascii="Times New Roman" w:hAnsi="Times New Roman" w:eastAsia="宋体" w:cs="Times New Roman"/>
                      <w:color w:val="000000" w:themeColor="text1"/>
                      <w:sz w:val="21"/>
                      <w:u w:val="wave"/>
                      <w:lang w:val="en-US" w:eastAsia="zh-CN"/>
                      <w14:textFill>
                        <w14:solidFill>
                          <w14:schemeClr w14:val="tx1"/>
                        </w14:solidFill>
                      </w14:textFill>
                    </w:rPr>
                  </w:pPr>
                  <w:r>
                    <w:rPr>
                      <w:rFonts w:hint="eastAsia" w:ascii="Times New Roman" w:hAnsi="Times New Roman" w:eastAsia="宋体" w:cs="Times New Roman"/>
                      <w:color w:val="000000" w:themeColor="text1"/>
                      <w:sz w:val="21"/>
                      <w:u w:val="wave"/>
                      <w:lang w:val="en-US" w:eastAsia="zh-CN"/>
                      <w14:textFill>
                        <w14:solidFill>
                          <w14:schemeClr w14:val="tx1"/>
                        </w14:solidFill>
                      </w14:textFill>
                    </w:rPr>
                    <w:t>达标</w:t>
                  </w:r>
                </w:p>
              </w:tc>
            </w:tr>
          </w:tbl>
          <w:p w14:paraId="2ED1380F">
            <w:pPr>
              <w:adjustRightInd/>
              <w:snapToGrid/>
              <w:spacing w:before="0" w:beforeLines="-2147483648" w:line="360" w:lineRule="auto"/>
              <w:ind w:firstLine="480" w:firstLineChars="200"/>
              <w:jc w:val="both"/>
              <w:rPr>
                <w:color w:val="000000" w:themeColor="text1"/>
                <w:highlight w:val="none"/>
                <w:u w:val="wave"/>
                <w14:textFill>
                  <w14:solidFill>
                    <w14:schemeClr w14:val="tx1"/>
                  </w14:solidFill>
                </w14:textFill>
              </w:rPr>
            </w:pPr>
            <w:r>
              <w:rPr>
                <w:rFonts w:hint="eastAsia"/>
                <w:color w:val="000000" w:themeColor="text1"/>
                <w:highlight w:val="none"/>
                <w:u w:val="wave"/>
                <w14:textFill>
                  <w14:solidFill>
                    <w14:schemeClr w14:val="tx1"/>
                  </w14:solidFill>
                </w14:textFill>
              </w:rPr>
              <w:t>根据监测结果可知，总悬浮颗粒物满足《环境空气质量标准（GB3095-2012）表2环境空气污染物其他项目浓度限值中的二级标准要求，区域大气环境质量良好。</w:t>
            </w:r>
          </w:p>
          <w:p w14:paraId="3E00BB07">
            <w:pPr>
              <w:pStyle w:val="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3.3 声环境现状监测与评价</w:t>
            </w:r>
            <w:bookmarkEnd w:id="31"/>
            <w:bookmarkEnd w:id="32"/>
          </w:p>
          <w:p w14:paraId="19CDBDFC">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（1）声环境现状</w:t>
            </w:r>
          </w:p>
          <w:p w14:paraId="2D49BEDA">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风电场位于农村丘陵地区。声环境现状主要污染源主要来自居民生产生活及已有道路行车产生的声源。</w:t>
            </w:r>
          </w:p>
          <w:p w14:paraId="3104A8D5">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（2）声环境现状监测与评价</w:t>
            </w:r>
          </w:p>
          <w:p w14:paraId="7A06DB7C">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本次噪声监测由</w:t>
            </w:r>
            <w:r>
              <w:rPr>
                <w:rFonts w:hint="eastAsia"/>
                <w:color w:val="000000" w:themeColor="text1"/>
                <w:highlight w:val="none"/>
                <w14:textFill>
                  <w14:solidFill>
                    <w14:schemeClr w14:val="tx1"/>
                  </w14:solidFill>
                </w14:textFill>
              </w:rPr>
              <w:t>湖南瑾杰环保科技有限公司</w:t>
            </w:r>
            <w:r>
              <w:rPr>
                <w:color w:val="000000" w:themeColor="text1"/>
                <w:highlight w:val="none"/>
                <w14:textFill>
                  <w14:solidFill>
                    <w14:schemeClr w14:val="tx1"/>
                  </w14:solidFill>
                </w14:textFill>
              </w:rPr>
              <w:t>进行，监测时间为202</w:t>
            </w:r>
            <w:r>
              <w:rPr>
                <w:rFonts w:hint="eastAsia"/>
                <w:color w:val="000000" w:themeColor="text1"/>
                <w:highlight w:val="none"/>
                <w:lang w:val="en-US" w:eastAsia="zh-CN"/>
                <w14:textFill>
                  <w14:solidFill>
                    <w14:schemeClr w14:val="tx1"/>
                  </w14:solidFill>
                </w14:textFill>
              </w:rPr>
              <w:t>4</w:t>
            </w:r>
            <w:r>
              <w:rPr>
                <w:color w:val="000000" w:themeColor="text1"/>
                <w:highlight w:val="none"/>
                <w14:textFill>
                  <w14:solidFill>
                    <w14:schemeClr w14:val="tx1"/>
                  </w14:solidFill>
                </w14:textFill>
              </w:rPr>
              <w:t>年</w:t>
            </w:r>
            <w:r>
              <w:rPr>
                <w:rFonts w:hint="eastAsia"/>
                <w:color w:val="000000" w:themeColor="text1"/>
                <w:highlight w:val="none"/>
                <w:lang w:val="en-US" w:eastAsia="zh-CN"/>
                <w14:textFill>
                  <w14:solidFill>
                    <w14:schemeClr w14:val="tx1"/>
                  </w14:solidFill>
                </w14:textFill>
              </w:rPr>
              <w:t>1</w:t>
            </w:r>
            <w:r>
              <w:rPr>
                <w:color w:val="000000" w:themeColor="text1"/>
                <w:highlight w:val="none"/>
                <w14:textFill>
                  <w14:solidFill>
                    <w14:schemeClr w14:val="tx1"/>
                  </w14:solidFill>
                </w14:textFill>
              </w:rPr>
              <w:t>月</w:t>
            </w:r>
            <w:r>
              <w:rPr>
                <w:rFonts w:hint="eastAsia"/>
                <w:color w:val="000000" w:themeColor="text1"/>
                <w:highlight w:val="none"/>
                <w:lang w:val="en-US" w:eastAsia="zh-CN"/>
                <w14:textFill>
                  <w14:solidFill>
                    <w14:schemeClr w14:val="tx1"/>
                  </w14:solidFill>
                </w14:textFill>
              </w:rPr>
              <w:t>11</w:t>
            </w:r>
            <w:r>
              <w:rPr>
                <w:color w:val="000000" w:themeColor="text1"/>
                <w:highlight w:val="none"/>
                <w14:textFill>
                  <w14:solidFill>
                    <w14:schemeClr w14:val="tx1"/>
                  </w14:solidFill>
                </w14:textFill>
              </w:rPr>
              <w:t>日~</w:t>
            </w:r>
            <w:r>
              <w:rPr>
                <w:rFonts w:hint="eastAsia"/>
                <w:color w:val="000000" w:themeColor="text1"/>
                <w:highlight w:val="none"/>
                <w:lang w:val="en-US" w:eastAsia="zh-CN"/>
                <w14:textFill>
                  <w14:solidFill>
                    <w14:schemeClr w14:val="tx1"/>
                  </w14:solidFill>
                </w14:textFill>
              </w:rPr>
              <w:t>12</w:t>
            </w:r>
            <w:r>
              <w:rPr>
                <w:color w:val="000000" w:themeColor="text1"/>
                <w:highlight w:val="none"/>
                <w14:textFill>
                  <w14:solidFill>
                    <w14:schemeClr w14:val="tx1"/>
                  </w14:solidFill>
                </w14:textFill>
              </w:rPr>
              <w:t>日。</w:t>
            </w:r>
          </w:p>
          <w:p w14:paraId="7B9DE685">
            <w:pPr>
              <w:ind w:firstLine="480" w:firstLineChars="200"/>
              <w:rPr>
                <w:color w:val="000000" w:themeColor="text1"/>
                <w:highlight w:val="none"/>
                <w:u w:val="none"/>
                <w14:textFill>
                  <w14:solidFill>
                    <w14:schemeClr w14:val="tx1"/>
                  </w14:solidFill>
                </w14:textFill>
              </w:rPr>
            </w:pPr>
            <w:r>
              <w:rPr>
                <w:color w:val="000000" w:themeColor="text1"/>
                <w:highlight w:val="none"/>
                <w:u w:val="none"/>
                <w14:textFill>
                  <w14:solidFill>
                    <w14:schemeClr w14:val="tx1"/>
                  </w14:solidFill>
                </w14:textFill>
              </w:rPr>
              <w:t>（3）监测布点</w:t>
            </w:r>
          </w:p>
          <w:p w14:paraId="571AE359">
            <w:pPr>
              <w:ind w:firstLine="480" w:firstLineChars="200"/>
              <w:rPr>
                <w:color w:val="000000" w:themeColor="text1"/>
                <w:highlight w:val="none"/>
                <w:u w:val="none"/>
                <w14:textFill>
                  <w14:solidFill>
                    <w14:schemeClr w14:val="tx1"/>
                  </w14:solidFill>
                </w14:textFill>
              </w:rPr>
            </w:pPr>
            <w:r>
              <w:rPr>
                <w:color w:val="000000" w:themeColor="text1"/>
                <w:highlight w:val="none"/>
                <w:u w:val="none"/>
                <w14:textFill>
                  <w14:solidFill>
                    <w14:schemeClr w14:val="tx1"/>
                  </w14:solidFill>
                </w14:textFill>
              </w:rPr>
              <w:t>根据区域声污染源调查的结果，</w:t>
            </w:r>
            <w:bookmarkStart w:id="33" w:name="_Hlk29298917"/>
            <w:r>
              <w:rPr>
                <w:color w:val="000000" w:themeColor="text1"/>
                <w:highlight w:val="none"/>
                <w:u w:val="none"/>
                <w14:textFill>
                  <w14:solidFill>
                    <w14:schemeClr w14:val="tx1"/>
                  </w14:solidFill>
                </w14:textFill>
              </w:rPr>
              <w:t>本次声环境监测方案共布设</w:t>
            </w:r>
            <w:r>
              <w:rPr>
                <w:rFonts w:hint="eastAsia"/>
                <w:color w:val="000000" w:themeColor="text1"/>
                <w:highlight w:val="none"/>
                <w:u w:val="none"/>
                <w:lang w:val="en-US" w:eastAsia="zh-CN"/>
                <w14:textFill>
                  <w14:solidFill>
                    <w14:schemeClr w14:val="tx1"/>
                  </w14:solidFill>
                </w14:textFill>
              </w:rPr>
              <w:t>4</w:t>
            </w:r>
            <w:r>
              <w:rPr>
                <w:color w:val="000000" w:themeColor="text1"/>
                <w:highlight w:val="none"/>
                <w:u w:val="none"/>
                <w14:textFill>
                  <w14:solidFill>
                    <w14:schemeClr w14:val="tx1"/>
                  </w14:solidFill>
                </w14:textFill>
              </w:rPr>
              <w:t>个声环境监测点。</w:t>
            </w:r>
            <w:bookmarkEnd w:id="33"/>
          </w:p>
          <w:p w14:paraId="4488984B">
            <w:pPr>
              <w:pStyle w:val="89"/>
              <w:ind w:firstLine="2530" w:firstLineChars="1200"/>
              <w:jc w:val="both"/>
              <w:rPr>
                <w:color w:val="000000" w:themeColor="text1"/>
                <w:highlight w:val="none"/>
                <w:u w:val="none"/>
                <w14:textFill>
                  <w14:solidFill>
                    <w14:schemeClr w14:val="tx1"/>
                  </w14:solidFill>
                </w14:textFill>
              </w:rPr>
            </w:pPr>
            <w:r>
              <w:rPr>
                <w:color w:val="000000" w:themeColor="text1"/>
                <w:highlight w:val="none"/>
                <w:u w:val="none"/>
                <w14:textFill>
                  <w14:solidFill>
                    <w14:schemeClr w14:val="tx1"/>
                  </w14:solidFill>
                </w14:textFill>
              </w:rPr>
              <w:t>表3</w:t>
            </w:r>
            <w:r>
              <w:rPr>
                <w:rFonts w:hint="eastAsia"/>
                <w:color w:val="000000" w:themeColor="text1"/>
                <w:highlight w:val="none"/>
                <w:u w:val="none"/>
                <w14:textFill>
                  <w14:solidFill>
                    <w14:schemeClr w14:val="tx1"/>
                  </w14:solidFill>
                </w14:textFill>
              </w:rPr>
              <w:t>.3</w:t>
            </w:r>
            <w:r>
              <w:rPr>
                <w:color w:val="000000" w:themeColor="text1"/>
                <w:highlight w:val="none"/>
                <w:u w:val="none"/>
                <w14:textFill>
                  <w14:solidFill>
                    <w14:schemeClr w14:val="tx1"/>
                  </w14:solidFill>
                </w14:textFill>
              </w:rPr>
              <w:t>-</w:t>
            </w:r>
            <w:r>
              <w:rPr>
                <w:rFonts w:hint="eastAsia"/>
                <w:color w:val="000000" w:themeColor="text1"/>
                <w:highlight w:val="none"/>
                <w:u w:val="none"/>
                <w14:textFill>
                  <w14:solidFill>
                    <w14:schemeClr w14:val="tx1"/>
                  </w14:solidFill>
                </w14:textFill>
              </w:rPr>
              <w:t>1</w:t>
            </w:r>
            <w:r>
              <w:rPr>
                <w:color w:val="000000" w:themeColor="text1"/>
                <w:highlight w:val="none"/>
                <w:u w:val="none"/>
                <w14:textFill>
                  <w14:solidFill>
                    <w14:schemeClr w14:val="tx1"/>
                  </w14:solidFill>
                </w14:textFill>
              </w:rPr>
              <w:t xml:space="preserve">  声环境现状监测点位一览表</w:t>
            </w:r>
          </w:p>
          <w:tbl>
            <w:tblPr>
              <w:tblStyle w:val="26"/>
              <w:tblW w:w="75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0"/>
              <w:gridCol w:w="2487"/>
              <w:gridCol w:w="682"/>
              <w:gridCol w:w="3225"/>
              <w:gridCol w:w="761"/>
            </w:tblGrid>
            <w:tr w14:paraId="76794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07" w:type="dxa"/>
                  <w:gridSpan w:val="2"/>
                  <w:vAlign w:val="center"/>
                </w:tcPr>
                <w:p w14:paraId="7BCA85E6">
                  <w:pPr>
                    <w:pStyle w:val="63"/>
                    <w:spacing w:before="24" w:after="24"/>
                    <w:rPr>
                      <w:rFonts w:hint="default" w:ascii="Times New Roman" w:hAnsi="Times New Roman" w:eastAsia="宋体" w:cs="Times New Roman"/>
                      <w:color w:val="000000" w:themeColor="text1"/>
                      <w:sz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u w:val="none"/>
                      <w:lang w:val="en-US" w:eastAsia="zh-CN"/>
                      <w14:textFill>
                        <w14:solidFill>
                          <w14:schemeClr w14:val="tx1"/>
                        </w14:solidFill>
                      </w14:textFill>
                    </w:rPr>
                    <w:t>监测点位</w:t>
                  </w:r>
                </w:p>
              </w:tc>
              <w:tc>
                <w:tcPr>
                  <w:tcW w:w="682" w:type="dxa"/>
                  <w:vAlign w:val="center"/>
                </w:tcPr>
                <w:p w14:paraId="0216EDDD">
                  <w:pPr>
                    <w:pStyle w:val="63"/>
                    <w:spacing w:before="24" w:after="24"/>
                    <w:rPr>
                      <w:rFonts w:hint="default" w:ascii="Times New Roman" w:hAnsi="Times New Roman" w:eastAsia="宋体" w:cs="Times New Roman"/>
                      <w:color w:val="000000" w:themeColor="text1"/>
                      <w:sz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u w:val="none"/>
                      <w:lang w:val="en-US" w:eastAsia="zh-CN"/>
                      <w14:textFill>
                        <w14:solidFill>
                          <w14:schemeClr w14:val="tx1"/>
                        </w14:solidFill>
                      </w14:textFill>
                    </w:rPr>
                    <w:t>目标环境功能</w:t>
                  </w:r>
                </w:p>
              </w:tc>
              <w:tc>
                <w:tcPr>
                  <w:tcW w:w="3225" w:type="dxa"/>
                  <w:vAlign w:val="center"/>
                </w:tcPr>
                <w:p w14:paraId="69D4D5C4">
                  <w:pPr>
                    <w:pStyle w:val="63"/>
                    <w:spacing w:before="24" w:after="24"/>
                    <w:rPr>
                      <w:rFonts w:hint="default" w:ascii="Times New Roman" w:hAnsi="Times New Roman" w:eastAsia="宋体" w:cs="Times New Roman"/>
                      <w:color w:val="000000" w:themeColor="text1"/>
                      <w:sz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u w:val="none"/>
                      <w:lang w:val="en-US" w:eastAsia="zh-CN"/>
                      <w14:textFill>
                        <w14:solidFill>
                          <w14:schemeClr w14:val="tx1"/>
                        </w14:solidFill>
                      </w14:textFill>
                    </w:rPr>
                    <w:t>相对方位及距离</w:t>
                  </w:r>
                </w:p>
              </w:tc>
              <w:tc>
                <w:tcPr>
                  <w:tcW w:w="761" w:type="dxa"/>
                  <w:vAlign w:val="center"/>
                </w:tcPr>
                <w:p w14:paraId="615ED21E">
                  <w:pPr>
                    <w:pStyle w:val="63"/>
                    <w:spacing w:before="24" w:after="24"/>
                    <w:rPr>
                      <w:rFonts w:hint="default" w:ascii="Times New Roman" w:hAnsi="Times New Roman" w:eastAsia="宋体" w:cs="Times New Roman"/>
                      <w:color w:val="000000" w:themeColor="text1"/>
                      <w:sz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u w:val="none"/>
                      <w:lang w:val="en-US" w:eastAsia="zh-CN"/>
                      <w14:textFill>
                        <w14:solidFill>
                          <w14:schemeClr w14:val="tx1"/>
                        </w14:solidFill>
                      </w14:textFill>
                    </w:rPr>
                    <w:t>备注</w:t>
                  </w:r>
                </w:p>
              </w:tc>
            </w:tr>
            <w:tr w14:paraId="29BA1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0" w:type="dxa"/>
                  <w:vAlign w:val="center"/>
                </w:tcPr>
                <w:p w14:paraId="46AD21C5">
                  <w:pPr>
                    <w:pStyle w:val="63"/>
                    <w:spacing w:before="24" w:after="24"/>
                    <w:rPr>
                      <w:rFonts w:hint="default" w:ascii="Times New Roman" w:hAnsi="Times New Roman" w:eastAsia="宋体" w:cs="Times New Roman"/>
                      <w:color w:val="000000" w:themeColor="text1"/>
                      <w:sz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u w:val="none"/>
                      <w:lang w:val="en-US" w:eastAsia="zh-CN"/>
                      <w14:textFill>
                        <w14:solidFill>
                          <w14:schemeClr w14:val="tx1"/>
                        </w14:solidFill>
                      </w14:textFill>
                    </w:rPr>
                    <w:t>1</w:t>
                  </w:r>
                </w:p>
              </w:tc>
              <w:tc>
                <w:tcPr>
                  <w:tcW w:w="2487" w:type="dxa"/>
                  <w:vAlign w:val="center"/>
                </w:tcPr>
                <w:p w14:paraId="4BE84064">
                  <w:pPr>
                    <w:pStyle w:val="63"/>
                    <w:spacing w:before="24" w:after="24"/>
                    <w:rPr>
                      <w:rFonts w:hint="default" w:ascii="Times New Roman" w:hAnsi="Times New Roman" w:eastAsia="宋体" w:cs="Times New Roman"/>
                      <w:color w:val="000000" w:themeColor="text1"/>
                      <w:sz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u w:val="none"/>
                      <w:lang w:val="en-US" w:eastAsia="zh-CN"/>
                      <w14:textFill>
                        <w14:solidFill>
                          <w14:schemeClr w14:val="tx1"/>
                        </w14:solidFill>
                      </w14:textFill>
                    </w:rPr>
                    <w:t>升压站东面厂界</w:t>
                  </w:r>
                </w:p>
              </w:tc>
              <w:tc>
                <w:tcPr>
                  <w:tcW w:w="682" w:type="dxa"/>
                  <w:vMerge w:val="restart"/>
                  <w:vAlign w:val="center"/>
                </w:tcPr>
                <w:p w14:paraId="52962ADE">
                  <w:pPr>
                    <w:pStyle w:val="63"/>
                    <w:spacing w:before="24" w:after="24"/>
                    <w:rPr>
                      <w:rFonts w:hint="eastAsia" w:ascii="Times New Roman" w:hAnsi="Times New Roman" w:eastAsia="宋体" w:cs="Times New Roman"/>
                      <w:color w:val="000000" w:themeColor="text1"/>
                      <w:sz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u w:val="none"/>
                      <w:lang w:val="en-US" w:eastAsia="zh-CN"/>
                      <w14:textFill>
                        <w14:solidFill>
                          <w14:schemeClr w14:val="tx1"/>
                        </w14:solidFill>
                      </w14:textFill>
                    </w:rPr>
                    <w:t>居住</w:t>
                  </w:r>
                </w:p>
              </w:tc>
              <w:tc>
                <w:tcPr>
                  <w:tcW w:w="3225" w:type="dxa"/>
                  <w:vAlign w:val="center"/>
                </w:tcPr>
                <w:p w14:paraId="4C6BE1F1">
                  <w:pPr>
                    <w:pStyle w:val="63"/>
                    <w:spacing w:before="24" w:after="24"/>
                    <w:ind w:left="0" w:leftChars="0" w:firstLine="0" w:firstLineChars="0"/>
                    <w:rPr>
                      <w:rFonts w:hint="default" w:ascii="Times New Roman" w:hAnsi="Times New Roman" w:eastAsia="宋体" w:cs="Times New Roman"/>
                      <w:color w:val="000000" w:themeColor="text1"/>
                      <w:sz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u w:val="none"/>
                      <w:lang w:val="en-US" w:eastAsia="zh-CN"/>
                      <w14:textFill>
                        <w14:solidFill>
                          <w14:schemeClr w14:val="tx1"/>
                        </w14:solidFill>
                      </w14:textFill>
                    </w:rPr>
                    <w:t>升压站东面场界外1m处</w:t>
                  </w:r>
                </w:p>
              </w:tc>
              <w:tc>
                <w:tcPr>
                  <w:tcW w:w="761" w:type="dxa"/>
                  <w:vMerge w:val="restart"/>
                  <w:vAlign w:val="center"/>
                </w:tcPr>
                <w:p w14:paraId="4D342B24">
                  <w:pPr>
                    <w:pStyle w:val="63"/>
                    <w:spacing w:before="24" w:after="24"/>
                    <w:rPr>
                      <w:rFonts w:hint="default" w:ascii="Times New Roman" w:hAnsi="Times New Roman" w:eastAsia="宋体" w:cs="Times New Roman"/>
                      <w:color w:val="000000" w:themeColor="text1"/>
                      <w:sz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u w:val="none"/>
                      <w:lang w:val="en-US" w:eastAsia="zh-CN"/>
                      <w14:textFill>
                        <w14:solidFill>
                          <w14:schemeClr w14:val="tx1"/>
                        </w14:solidFill>
                      </w14:textFill>
                    </w:rPr>
                    <w:t>监测环境本底值</w:t>
                  </w:r>
                </w:p>
              </w:tc>
            </w:tr>
            <w:tr w14:paraId="0AFAA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0" w:type="dxa"/>
                  <w:vAlign w:val="center"/>
                </w:tcPr>
                <w:p w14:paraId="4794B593">
                  <w:pPr>
                    <w:pStyle w:val="63"/>
                    <w:spacing w:before="24" w:after="24"/>
                    <w:rPr>
                      <w:rFonts w:hint="default" w:ascii="Times New Roman" w:hAnsi="Times New Roman" w:eastAsia="宋体" w:cs="Times New Roman"/>
                      <w:color w:val="000000" w:themeColor="text1"/>
                      <w:sz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u w:val="none"/>
                      <w:lang w:val="en-US" w:eastAsia="zh-CN"/>
                      <w14:textFill>
                        <w14:solidFill>
                          <w14:schemeClr w14:val="tx1"/>
                        </w14:solidFill>
                      </w14:textFill>
                    </w:rPr>
                    <w:t>2</w:t>
                  </w:r>
                </w:p>
              </w:tc>
              <w:tc>
                <w:tcPr>
                  <w:tcW w:w="2487" w:type="dxa"/>
                  <w:vAlign w:val="center"/>
                </w:tcPr>
                <w:p w14:paraId="023D5A90">
                  <w:pPr>
                    <w:pStyle w:val="63"/>
                    <w:spacing w:before="24" w:after="24"/>
                    <w:rPr>
                      <w:rFonts w:hint="default" w:ascii="Times New Roman" w:hAnsi="Times New Roman" w:eastAsia="宋体" w:cs="Times New Roman"/>
                      <w:color w:val="000000" w:themeColor="text1"/>
                      <w:sz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u w:val="none"/>
                      <w:lang w:val="en-US" w:eastAsia="zh-CN"/>
                      <w14:textFill>
                        <w14:solidFill>
                          <w14:schemeClr w14:val="tx1"/>
                        </w14:solidFill>
                      </w14:textFill>
                    </w:rPr>
                    <w:t>升压站南面厂界</w:t>
                  </w:r>
                </w:p>
              </w:tc>
              <w:tc>
                <w:tcPr>
                  <w:tcW w:w="682" w:type="dxa"/>
                  <w:vMerge w:val="continue"/>
                  <w:vAlign w:val="center"/>
                </w:tcPr>
                <w:p w14:paraId="25BDBC3E">
                  <w:pPr>
                    <w:pStyle w:val="63"/>
                    <w:spacing w:before="24" w:after="24"/>
                    <w:rPr>
                      <w:rFonts w:hint="default" w:ascii="Times New Roman" w:hAnsi="Times New Roman" w:eastAsia="宋体" w:cs="Times New Roman"/>
                      <w:color w:val="000000" w:themeColor="text1"/>
                      <w:sz w:val="21"/>
                      <w:u w:val="none"/>
                      <w:lang w:val="en-US" w:eastAsia="zh-CN"/>
                      <w14:textFill>
                        <w14:solidFill>
                          <w14:schemeClr w14:val="tx1"/>
                        </w14:solidFill>
                      </w14:textFill>
                    </w:rPr>
                  </w:pPr>
                </w:p>
              </w:tc>
              <w:tc>
                <w:tcPr>
                  <w:tcW w:w="3225" w:type="dxa"/>
                  <w:vAlign w:val="center"/>
                </w:tcPr>
                <w:p w14:paraId="058BAD9C">
                  <w:pPr>
                    <w:pStyle w:val="63"/>
                    <w:spacing w:before="24" w:after="24"/>
                    <w:ind w:left="0" w:leftChars="0" w:firstLine="0" w:firstLineChars="0"/>
                    <w:rPr>
                      <w:rFonts w:hint="default" w:ascii="Times New Roman" w:hAnsi="Times New Roman" w:eastAsia="宋体" w:cs="Times New Roman"/>
                      <w:color w:val="000000" w:themeColor="text1"/>
                      <w:sz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u w:val="none"/>
                      <w:lang w:val="en-US" w:eastAsia="zh-CN"/>
                      <w14:textFill>
                        <w14:solidFill>
                          <w14:schemeClr w14:val="tx1"/>
                        </w14:solidFill>
                      </w14:textFill>
                    </w:rPr>
                    <w:t>升压站南面场界外1m处</w:t>
                  </w:r>
                </w:p>
              </w:tc>
              <w:tc>
                <w:tcPr>
                  <w:tcW w:w="761" w:type="dxa"/>
                  <w:vMerge w:val="continue"/>
                  <w:vAlign w:val="center"/>
                </w:tcPr>
                <w:p w14:paraId="1793EE3F">
                  <w:pPr>
                    <w:pStyle w:val="63"/>
                    <w:spacing w:before="0" w:beforeLines="0" w:after="0" w:afterLines="0"/>
                    <w:rPr>
                      <w:color w:val="000000" w:themeColor="text1"/>
                      <w:highlight w:val="none"/>
                      <w:u w:val="none"/>
                      <w14:textFill>
                        <w14:solidFill>
                          <w14:schemeClr w14:val="tx1"/>
                        </w14:solidFill>
                      </w14:textFill>
                    </w:rPr>
                  </w:pPr>
                </w:p>
              </w:tc>
            </w:tr>
            <w:tr w14:paraId="4B6CA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0" w:type="dxa"/>
                  <w:vAlign w:val="center"/>
                </w:tcPr>
                <w:p w14:paraId="483892CC">
                  <w:pPr>
                    <w:pStyle w:val="63"/>
                    <w:spacing w:before="24" w:after="24"/>
                    <w:rPr>
                      <w:rFonts w:hint="default" w:ascii="Times New Roman" w:hAnsi="Times New Roman" w:eastAsia="宋体" w:cs="Times New Roman"/>
                      <w:color w:val="000000" w:themeColor="text1"/>
                      <w:sz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u w:val="none"/>
                      <w:lang w:val="en-US" w:eastAsia="zh-CN"/>
                      <w14:textFill>
                        <w14:solidFill>
                          <w14:schemeClr w14:val="tx1"/>
                        </w14:solidFill>
                      </w14:textFill>
                    </w:rPr>
                    <w:t>3</w:t>
                  </w:r>
                </w:p>
              </w:tc>
              <w:tc>
                <w:tcPr>
                  <w:tcW w:w="2487" w:type="dxa"/>
                  <w:vAlign w:val="center"/>
                </w:tcPr>
                <w:p w14:paraId="5E8B1533">
                  <w:pPr>
                    <w:pStyle w:val="63"/>
                    <w:spacing w:before="24" w:after="24"/>
                    <w:rPr>
                      <w:rFonts w:hint="default" w:ascii="Times New Roman" w:hAnsi="Times New Roman" w:eastAsia="宋体" w:cs="Times New Roman"/>
                      <w:color w:val="000000" w:themeColor="text1"/>
                      <w:sz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u w:val="none"/>
                      <w:lang w:val="en-US" w:eastAsia="zh-CN"/>
                      <w14:textFill>
                        <w14:solidFill>
                          <w14:schemeClr w14:val="tx1"/>
                        </w14:solidFill>
                      </w14:textFill>
                    </w:rPr>
                    <w:t>升压站西面厂界</w:t>
                  </w:r>
                </w:p>
              </w:tc>
              <w:tc>
                <w:tcPr>
                  <w:tcW w:w="682" w:type="dxa"/>
                  <w:vMerge w:val="continue"/>
                  <w:vAlign w:val="center"/>
                </w:tcPr>
                <w:p w14:paraId="36EF8C2E">
                  <w:pPr>
                    <w:pStyle w:val="63"/>
                    <w:spacing w:before="24" w:after="24"/>
                    <w:rPr>
                      <w:rFonts w:hint="default" w:ascii="Times New Roman" w:hAnsi="Times New Roman" w:eastAsia="宋体" w:cs="Times New Roman"/>
                      <w:color w:val="000000" w:themeColor="text1"/>
                      <w:sz w:val="21"/>
                      <w:u w:val="none"/>
                      <w:lang w:val="en-US" w:eastAsia="zh-CN"/>
                      <w14:textFill>
                        <w14:solidFill>
                          <w14:schemeClr w14:val="tx1"/>
                        </w14:solidFill>
                      </w14:textFill>
                    </w:rPr>
                  </w:pPr>
                </w:p>
              </w:tc>
              <w:tc>
                <w:tcPr>
                  <w:tcW w:w="3225" w:type="dxa"/>
                  <w:vAlign w:val="center"/>
                </w:tcPr>
                <w:p w14:paraId="3774030A">
                  <w:pPr>
                    <w:pStyle w:val="63"/>
                    <w:spacing w:before="24" w:after="24"/>
                    <w:ind w:left="0" w:leftChars="0" w:firstLine="0" w:firstLineChars="0"/>
                    <w:rPr>
                      <w:rFonts w:hint="default" w:ascii="Times New Roman" w:hAnsi="Times New Roman" w:eastAsia="宋体" w:cs="Times New Roman"/>
                      <w:color w:val="000000" w:themeColor="text1"/>
                      <w:sz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u w:val="none"/>
                      <w:lang w:val="en-US" w:eastAsia="zh-CN"/>
                      <w14:textFill>
                        <w14:solidFill>
                          <w14:schemeClr w14:val="tx1"/>
                        </w14:solidFill>
                      </w14:textFill>
                    </w:rPr>
                    <w:t>升压站西面场界外1m处</w:t>
                  </w:r>
                </w:p>
              </w:tc>
              <w:tc>
                <w:tcPr>
                  <w:tcW w:w="761" w:type="dxa"/>
                  <w:vMerge w:val="continue"/>
                  <w:vAlign w:val="center"/>
                </w:tcPr>
                <w:p w14:paraId="3AAB522B">
                  <w:pPr>
                    <w:pStyle w:val="63"/>
                    <w:spacing w:before="0" w:beforeLines="0" w:after="0" w:afterLines="0"/>
                    <w:rPr>
                      <w:color w:val="000000" w:themeColor="text1"/>
                      <w:highlight w:val="none"/>
                      <w:u w:val="none"/>
                      <w14:textFill>
                        <w14:solidFill>
                          <w14:schemeClr w14:val="tx1"/>
                        </w14:solidFill>
                      </w14:textFill>
                    </w:rPr>
                  </w:pPr>
                </w:p>
              </w:tc>
            </w:tr>
            <w:tr w14:paraId="35E28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0" w:type="dxa"/>
                  <w:vAlign w:val="center"/>
                </w:tcPr>
                <w:p w14:paraId="01D6CDB9">
                  <w:pPr>
                    <w:pStyle w:val="63"/>
                    <w:spacing w:before="24" w:after="24"/>
                    <w:rPr>
                      <w:rFonts w:hint="default" w:ascii="Times New Roman" w:hAnsi="Times New Roman" w:eastAsia="宋体" w:cs="Times New Roman"/>
                      <w:color w:val="000000" w:themeColor="text1"/>
                      <w:sz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u w:val="none"/>
                      <w:lang w:val="en-US" w:eastAsia="zh-CN"/>
                      <w14:textFill>
                        <w14:solidFill>
                          <w14:schemeClr w14:val="tx1"/>
                        </w14:solidFill>
                      </w14:textFill>
                    </w:rPr>
                    <w:t>4</w:t>
                  </w:r>
                </w:p>
              </w:tc>
              <w:tc>
                <w:tcPr>
                  <w:tcW w:w="2487" w:type="dxa"/>
                  <w:vAlign w:val="center"/>
                </w:tcPr>
                <w:p w14:paraId="6B7BF55E">
                  <w:pPr>
                    <w:pStyle w:val="63"/>
                    <w:spacing w:before="24" w:after="24"/>
                    <w:rPr>
                      <w:rFonts w:hint="default" w:ascii="Times New Roman" w:hAnsi="Times New Roman" w:eastAsia="宋体" w:cs="Times New Roman"/>
                      <w:color w:val="000000" w:themeColor="text1"/>
                      <w:sz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u w:val="none"/>
                      <w:lang w:val="en-US" w:eastAsia="zh-CN"/>
                      <w14:textFill>
                        <w14:solidFill>
                          <w14:schemeClr w14:val="tx1"/>
                        </w14:solidFill>
                      </w14:textFill>
                    </w:rPr>
                    <w:t>升压站北面厂界</w:t>
                  </w:r>
                </w:p>
              </w:tc>
              <w:tc>
                <w:tcPr>
                  <w:tcW w:w="682" w:type="dxa"/>
                  <w:vMerge w:val="continue"/>
                  <w:vAlign w:val="center"/>
                </w:tcPr>
                <w:p w14:paraId="7EED0A92">
                  <w:pPr>
                    <w:pStyle w:val="63"/>
                    <w:spacing w:before="24" w:after="24"/>
                    <w:rPr>
                      <w:rFonts w:hint="default" w:ascii="Times New Roman" w:hAnsi="Times New Roman" w:eastAsia="宋体" w:cs="Times New Roman"/>
                      <w:color w:val="000000" w:themeColor="text1"/>
                      <w:sz w:val="21"/>
                      <w:u w:val="none"/>
                      <w:lang w:val="en-US" w:eastAsia="zh-CN"/>
                      <w14:textFill>
                        <w14:solidFill>
                          <w14:schemeClr w14:val="tx1"/>
                        </w14:solidFill>
                      </w14:textFill>
                    </w:rPr>
                  </w:pPr>
                </w:p>
              </w:tc>
              <w:tc>
                <w:tcPr>
                  <w:tcW w:w="3225" w:type="dxa"/>
                  <w:vAlign w:val="center"/>
                </w:tcPr>
                <w:p w14:paraId="3C9F762F">
                  <w:pPr>
                    <w:pStyle w:val="63"/>
                    <w:spacing w:before="24" w:after="24"/>
                    <w:ind w:left="0" w:leftChars="0" w:firstLine="0" w:firstLineChars="0"/>
                    <w:rPr>
                      <w:rFonts w:hint="default" w:ascii="Times New Roman" w:hAnsi="Times New Roman" w:eastAsia="宋体" w:cs="Times New Roman"/>
                      <w:color w:val="000000" w:themeColor="text1"/>
                      <w:sz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u w:val="none"/>
                      <w:lang w:val="en-US" w:eastAsia="zh-CN"/>
                      <w14:textFill>
                        <w14:solidFill>
                          <w14:schemeClr w14:val="tx1"/>
                        </w14:solidFill>
                      </w14:textFill>
                    </w:rPr>
                    <w:t>升压站北面场界外1m处</w:t>
                  </w:r>
                </w:p>
              </w:tc>
              <w:tc>
                <w:tcPr>
                  <w:tcW w:w="761" w:type="dxa"/>
                  <w:vMerge w:val="continue"/>
                  <w:vAlign w:val="center"/>
                </w:tcPr>
                <w:p w14:paraId="2427B860">
                  <w:pPr>
                    <w:pStyle w:val="63"/>
                    <w:spacing w:before="0" w:beforeLines="0" w:after="0" w:afterLines="0"/>
                    <w:rPr>
                      <w:color w:val="000000" w:themeColor="text1"/>
                      <w:highlight w:val="none"/>
                      <w:u w:val="none"/>
                      <w14:textFill>
                        <w14:solidFill>
                          <w14:schemeClr w14:val="tx1"/>
                        </w14:solidFill>
                      </w14:textFill>
                    </w:rPr>
                  </w:pPr>
                </w:p>
              </w:tc>
            </w:tr>
          </w:tbl>
          <w:p w14:paraId="61EA9B30">
            <w:pPr>
              <w:spacing w:before="120" w:beforeLines="50"/>
              <w:ind w:firstLine="480" w:firstLineChars="200"/>
              <w:rPr>
                <w:color w:val="000000" w:themeColor="text1"/>
                <w:highlight w:val="none"/>
                <w:u w:val="none"/>
                <w14:textFill>
                  <w14:solidFill>
                    <w14:schemeClr w14:val="tx1"/>
                  </w14:solidFill>
                </w14:textFill>
              </w:rPr>
            </w:pPr>
            <w:r>
              <w:rPr>
                <w:color w:val="000000" w:themeColor="text1"/>
                <w:highlight w:val="none"/>
                <w:u w:val="none"/>
                <w14:textFill>
                  <w14:solidFill>
                    <w14:schemeClr w14:val="tx1"/>
                  </w14:solidFill>
                </w14:textFill>
              </w:rPr>
              <w:t>（4）监测方法及频率</w:t>
            </w:r>
          </w:p>
          <w:p w14:paraId="36F6F900">
            <w:pPr>
              <w:ind w:firstLine="480" w:firstLineChars="200"/>
              <w:rPr>
                <w:color w:val="000000" w:themeColor="text1"/>
                <w:highlight w:val="none"/>
                <w:u w:val="none"/>
                <w14:textFill>
                  <w14:solidFill>
                    <w14:schemeClr w14:val="tx1"/>
                  </w14:solidFill>
                </w14:textFill>
              </w:rPr>
            </w:pPr>
            <w:r>
              <w:rPr>
                <w:color w:val="000000" w:themeColor="text1"/>
                <w:highlight w:val="none"/>
                <w:u w:val="none"/>
                <w14:textFill>
                  <w14:solidFill>
                    <w14:schemeClr w14:val="tx1"/>
                  </w14:solidFill>
                </w14:textFill>
              </w:rPr>
              <w:t>按照《声环境质量标准》（GB3096</w:t>
            </w:r>
            <w:r>
              <w:rPr>
                <w:rFonts w:hint="eastAsia"/>
                <w:color w:val="000000" w:themeColor="text1"/>
                <w:highlight w:val="none"/>
                <w:u w:val="none"/>
                <w14:textFill>
                  <w14:solidFill>
                    <w14:schemeClr w14:val="tx1"/>
                  </w14:solidFill>
                </w14:textFill>
              </w:rPr>
              <w:t>-</w:t>
            </w:r>
            <w:r>
              <w:rPr>
                <w:color w:val="000000" w:themeColor="text1"/>
                <w:highlight w:val="none"/>
                <w:u w:val="none"/>
                <w14:textFill>
                  <w14:solidFill>
                    <w14:schemeClr w14:val="tx1"/>
                  </w14:solidFill>
                </w14:textFill>
              </w:rPr>
              <w:t>2008）中有关规定进行。各监测点按昼夜分段监测，昼间：6</w:t>
            </w:r>
            <w:r>
              <w:rPr>
                <w:rFonts w:hint="eastAsia"/>
                <w:color w:val="000000" w:themeColor="text1"/>
                <w:highlight w:val="none"/>
                <w:u w:val="none"/>
                <w:lang w:eastAsia="zh-CN"/>
                <w14:textFill>
                  <w14:solidFill>
                    <w14:schemeClr w14:val="tx1"/>
                  </w14:solidFill>
                </w14:textFill>
              </w:rPr>
              <w:t>：</w:t>
            </w:r>
            <w:r>
              <w:rPr>
                <w:color w:val="000000" w:themeColor="text1"/>
                <w:highlight w:val="none"/>
                <w:u w:val="none"/>
                <w14:textFill>
                  <w14:solidFill>
                    <w14:schemeClr w14:val="tx1"/>
                  </w14:solidFill>
                </w14:textFill>
              </w:rPr>
              <w:t>00～22</w:t>
            </w:r>
            <w:r>
              <w:rPr>
                <w:rFonts w:hint="eastAsia"/>
                <w:color w:val="000000" w:themeColor="text1"/>
                <w:highlight w:val="none"/>
                <w:u w:val="none"/>
                <w:lang w:eastAsia="zh-CN"/>
                <w14:textFill>
                  <w14:solidFill>
                    <w14:schemeClr w14:val="tx1"/>
                  </w14:solidFill>
                </w14:textFill>
              </w:rPr>
              <w:t>：</w:t>
            </w:r>
            <w:r>
              <w:rPr>
                <w:color w:val="000000" w:themeColor="text1"/>
                <w:highlight w:val="none"/>
                <w:u w:val="none"/>
                <w14:textFill>
                  <w14:solidFill>
                    <w14:schemeClr w14:val="tx1"/>
                  </w14:solidFill>
                </w14:textFill>
              </w:rPr>
              <w:t>00；夜间：22</w:t>
            </w:r>
            <w:r>
              <w:rPr>
                <w:rFonts w:hint="eastAsia"/>
                <w:color w:val="000000" w:themeColor="text1"/>
                <w:highlight w:val="none"/>
                <w:u w:val="none"/>
                <w:lang w:eastAsia="zh-CN"/>
                <w14:textFill>
                  <w14:solidFill>
                    <w14:schemeClr w14:val="tx1"/>
                  </w14:solidFill>
                </w14:textFill>
              </w:rPr>
              <w:t>：</w:t>
            </w:r>
            <w:r>
              <w:rPr>
                <w:color w:val="000000" w:themeColor="text1"/>
                <w:highlight w:val="none"/>
                <w:u w:val="none"/>
                <w14:textFill>
                  <w14:solidFill>
                    <w14:schemeClr w14:val="tx1"/>
                  </w14:solidFill>
                </w14:textFill>
              </w:rPr>
              <w:t>00～次日6</w:t>
            </w:r>
            <w:r>
              <w:rPr>
                <w:rFonts w:hint="eastAsia"/>
                <w:color w:val="000000" w:themeColor="text1"/>
                <w:highlight w:val="none"/>
                <w:u w:val="none"/>
                <w:lang w:eastAsia="zh-CN"/>
                <w14:textFill>
                  <w14:solidFill>
                    <w14:schemeClr w14:val="tx1"/>
                  </w14:solidFill>
                </w14:textFill>
              </w:rPr>
              <w:t>：</w:t>
            </w:r>
            <w:r>
              <w:rPr>
                <w:color w:val="000000" w:themeColor="text1"/>
                <w:highlight w:val="none"/>
                <w:u w:val="none"/>
                <w14:textFill>
                  <w14:solidFill>
                    <w14:schemeClr w14:val="tx1"/>
                  </w14:solidFill>
                </w14:textFill>
              </w:rPr>
              <w:t>:00。连续监测2天。</w:t>
            </w:r>
          </w:p>
          <w:p w14:paraId="743B0370">
            <w:pPr>
              <w:ind w:firstLine="480" w:firstLineChars="200"/>
              <w:rPr>
                <w:color w:val="000000" w:themeColor="text1"/>
                <w:highlight w:val="none"/>
                <w:u w:val="none"/>
                <w14:textFill>
                  <w14:solidFill>
                    <w14:schemeClr w14:val="tx1"/>
                  </w14:solidFill>
                </w14:textFill>
              </w:rPr>
            </w:pPr>
            <w:r>
              <w:rPr>
                <w:color w:val="000000" w:themeColor="text1"/>
                <w:highlight w:val="none"/>
                <w:u w:val="none"/>
                <w14:textFill>
                  <w14:solidFill>
                    <w14:schemeClr w14:val="tx1"/>
                  </w14:solidFill>
                </w14:textFill>
              </w:rPr>
              <w:t>（5）监测结果及评价</w:t>
            </w:r>
          </w:p>
          <w:p w14:paraId="6978DCC1">
            <w:pPr>
              <w:ind w:firstLine="480" w:firstLineChars="200"/>
              <w:rPr>
                <w:color w:val="000000" w:themeColor="text1"/>
                <w:highlight w:val="none"/>
                <w:u w:val="none"/>
                <w14:textFill>
                  <w14:solidFill>
                    <w14:schemeClr w14:val="tx1"/>
                  </w14:solidFill>
                </w14:textFill>
              </w:rPr>
            </w:pPr>
            <w:r>
              <w:rPr>
                <w:color w:val="000000" w:themeColor="text1"/>
                <w:highlight w:val="none"/>
                <w:u w:val="none"/>
                <w14:textFill>
                  <w14:solidFill>
                    <w14:schemeClr w14:val="tx1"/>
                  </w14:solidFill>
                </w14:textFill>
              </w:rPr>
              <w:t>本次声环境评价标准执行《声环境质量标准》（GB3096-2008）中2类标准，即昼间≤60dB（A）、夜间≤50dB（A）。各监测点噪声现状值及评价结果见下表。</w:t>
            </w:r>
          </w:p>
          <w:p w14:paraId="23589866">
            <w:pPr>
              <w:pStyle w:val="89"/>
              <w:rPr>
                <w:color w:val="000000" w:themeColor="text1"/>
                <w:highlight w:val="none"/>
                <w:u w:val="none"/>
                <w14:textFill>
                  <w14:solidFill>
                    <w14:schemeClr w14:val="tx1"/>
                  </w14:solidFill>
                </w14:textFill>
              </w:rPr>
            </w:pPr>
            <w:r>
              <w:rPr>
                <w:color w:val="000000" w:themeColor="text1"/>
                <w:highlight w:val="none"/>
                <w:u w:val="none"/>
                <w14:textFill>
                  <w14:solidFill>
                    <w14:schemeClr w14:val="tx1"/>
                  </w14:solidFill>
                </w14:textFill>
              </w:rPr>
              <w:t>表3</w:t>
            </w:r>
            <w:r>
              <w:rPr>
                <w:rFonts w:hint="eastAsia"/>
                <w:color w:val="000000" w:themeColor="text1"/>
                <w:highlight w:val="none"/>
                <w:u w:val="none"/>
                <w:lang w:val="en-US" w:eastAsia="zh-CN"/>
                <w14:textFill>
                  <w14:solidFill>
                    <w14:schemeClr w14:val="tx1"/>
                  </w14:solidFill>
                </w14:textFill>
              </w:rPr>
              <w:t>.</w:t>
            </w:r>
            <w:r>
              <w:rPr>
                <w:rFonts w:hint="eastAsia"/>
                <w:color w:val="000000" w:themeColor="text1"/>
                <w:highlight w:val="none"/>
                <w:u w:val="none"/>
                <w14:textFill>
                  <w14:solidFill>
                    <w14:schemeClr w14:val="tx1"/>
                  </w14:solidFill>
                </w14:textFill>
              </w:rPr>
              <w:t>3-2</w:t>
            </w:r>
            <w:r>
              <w:rPr>
                <w:color w:val="000000" w:themeColor="text1"/>
                <w:highlight w:val="none"/>
                <w:u w:val="none"/>
                <w14:textFill>
                  <w14:solidFill>
                    <w14:schemeClr w14:val="tx1"/>
                  </w14:solidFill>
                </w14:textFill>
              </w:rPr>
              <w:t xml:space="preserve">  声环境现状评价结果统计表    单位dB(A)</w:t>
            </w:r>
          </w:p>
          <w:tbl>
            <w:tblPr>
              <w:tblStyle w:val="26"/>
              <w:tblW w:w="7572"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432"/>
              <w:gridCol w:w="2223"/>
              <w:gridCol w:w="680"/>
              <w:gridCol w:w="729"/>
              <w:gridCol w:w="726"/>
              <w:gridCol w:w="703"/>
              <w:gridCol w:w="680"/>
              <w:gridCol w:w="674"/>
              <w:gridCol w:w="725"/>
            </w:tblGrid>
            <w:tr w14:paraId="732F8C6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432" w:type="dxa"/>
                  <w:vMerge w:val="restart"/>
                  <w:vAlign w:val="center"/>
                </w:tcPr>
                <w:p w14:paraId="57D215D2">
                  <w:pPr>
                    <w:pStyle w:val="63"/>
                    <w:spacing w:before="24" w:after="24"/>
                    <w:rPr>
                      <w:rFonts w:hint="default" w:ascii="Times New Roman" w:hAnsi="Times New Roman" w:eastAsia="宋体" w:cs="Times New Roman"/>
                      <w:color w:val="000000" w:themeColor="text1"/>
                      <w:sz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u w:val="none"/>
                      <w:lang w:val="en-US" w:eastAsia="zh-CN"/>
                      <w14:textFill>
                        <w14:solidFill>
                          <w14:schemeClr w14:val="tx1"/>
                        </w14:solidFill>
                      </w14:textFill>
                    </w:rPr>
                    <w:t>序号</w:t>
                  </w:r>
                </w:p>
              </w:tc>
              <w:tc>
                <w:tcPr>
                  <w:tcW w:w="2223" w:type="dxa"/>
                  <w:vMerge w:val="restart"/>
                  <w:vAlign w:val="center"/>
                </w:tcPr>
                <w:p w14:paraId="32AF6A46">
                  <w:pPr>
                    <w:pStyle w:val="63"/>
                    <w:spacing w:before="24" w:after="24"/>
                    <w:rPr>
                      <w:rFonts w:hint="default" w:ascii="Times New Roman" w:hAnsi="Times New Roman" w:eastAsia="宋体" w:cs="Times New Roman"/>
                      <w:color w:val="000000" w:themeColor="text1"/>
                      <w:sz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u w:val="none"/>
                      <w:lang w:val="en-US" w:eastAsia="zh-CN"/>
                      <w14:textFill>
                        <w14:solidFill>
                          <w14:schemeClr w14:val="tx1"/>
                        </w14:solidFill>
                      </w14:textFill>
                    </w:rPr>
                    <w:t>监测点位</w:t>
                  </w:r>
                </w:p>
              </w:tc>
              <w:tc>
                <w:tcPr>
                  <w:tcW w:w="1409" w:type="dxa"/>
                  <w:gridSpan w:val="2"/>
                  <w:vAlign w:val="center"/>
                </w:tcPr>
                <w:p w14:paraId="10A4B462">
                  <w:pPr>
                    <w:pStyle w:val="63"/>
                    <w:spacing w:before="24" w:after="24"/>
                    <w:rPr>
                      <w:rFonts w:hint="default" w:ascii="Times New Roman" w:hAnsi="Times New Roman" w:eastAsia="宋体" w:cs="Times New Roman"/>
                      <w:color w:val="000000" w:themeColor="text1"/>
                      <w:sz w:val="21"/>
                      <w:u w:val="none"/>
                      <w:lang w:val="en-US" w:eastAsia="zh-CN"/>
                      <w14:textFill>
                        <w14:solidFill>
                          <w14:schemeClr w14:val="tx1"/>
                        </w14:solidFill>
                      </w14:textFill>
                    </w:rPr>
                  </w:pPr>
                  <w:r>
                    <w:rPr>
                      <w:rFonts w:hint="eastAsia" w:ascii="Times New Roman" w:hAnsi="Times New Roman" w:cs="Times New Roman"/>
                      <w:color w:val="000000" w:themeColor="text1"/>
                      <w:sz w:val="21"/>
                      <w:u w:val="none"/>
                      <w:lang w:val="en-US" w:eastAsia="zh-CN"/>
                      <w14:textFill>
                        <w14:solidFill>
                          <w14:schemeClr w14:val="tx1"/>
                        </w14:solidFill>
                      </w14:textFill>
                    </w:rPr>
                    <w:t>1</w:t>
                  </w:r>
                  <w:r>
                    <w:rPr>
                      <w:rFonts w:hint="default" w:ascii="Times New Roman" w:hAnsi="Times New Roman" w:eastAsia="宋体" w:cs="Times New Roman"/>
                      <w:color w:val="000000" w:themeColor="text1"/>
                      <w:sz w:val="21"/>
                      <w:u w:val="none"/>
                      <w:lang w:val="en-US" w:eastAsia="zh-CN"/>
                      <w14:textFill>
                        <w14:solidFill>
                          <w14:schemeClr w14:val="tx1"/>
                        </w14:solidFill>
                      </w14:textFill>
                    </w:rPr>
                    <w:t>月</w:t>
                  </w:r>
                  <w:r>
                    <w:rPr>
                      <w:rFonts w:hint="eastAsia" w:ascii="Times New Roman" w:hAnsi="Times New Roman" w:cs="Times New Roman"/>
                      <w:color w:val="000000" w:themeColor="text1"/>
                      <w:sz w:val="21"/>
                      <w:u w:val="none"/>
                      <w:lang w:val="en-US" w:eastAsia="zh-CN"/>
                      <w14:textFill>
                        <w14:solidFill>
                          <w14:schemeClr w14:val="tx1"/>
                        </w14:solidFill>
                      </w14:textFill>
                    </w:rPr>
                    <w:t>30</w:t>
                  </w:r>
                  <w:r>
                    <w:rPr>
                      <w:rFonts w:hint="default" w:ascii="Times New Roman" w:hAnsi="Times New Roman" w:eastAsia="宋体" w:cs="Times New Roman"/>
                      <w:color w:val="000000" w:themeColor="text1"/>
                      <w:sz w:val="21"/>
                      <w:u w:val="none"/>
                      <w:lang w:val="en-US" w:eastAsia="zh-CN"/>
                      <w14:textFill>
                        <w14:solidFill>
                          <w14:schemeClr w14:val="tx1"/>
                        </w14:solidFill>
                      </w14:textFill>
                    </w:rPr>
                    <w:t>日</w:t>
                  </w:r>
                </w:p>
              </w:tc>
              <w:tc>
                <w:tcPr>
                  <w:tcW w:w="1429" w:type="dxa"/>
                  <w:gridSpan w:val="2"/>
                  <w:vAlign w:val="center"/>
                </w:tcPr>
                <w:p w14:paraId="1491008F">
                  <w:pPr>
                    <w:pStyle w:val="63"/>
                    <w:spacing w:before="24" w:after="24"/>
                    <w:rPr>
                      <w:rFonts w:hint="default" w:ascii="Times New Roman" w:hAnsi="Times New Roman" w:eastAsia="宋体" w:cs="Times New Roman"/>
                      <w:color w:val="000000" w:themeColor="text1"/>
                      <w:sz w:val="21"/>
                      <w:u w:val="none"/>
                      <w:lang w:val="en-US" w:eastAsia="zh-CN"/>
                      <w14:textFill>
                        <w14:solidFill>
                          <w14:schemeClr w14:val="tx1"/>
                        </w14:solidFill>
                      </w14:textFill>
                    </w:rPr>
                  </w:pPr>
                  <w:r>
                    <w:rPr>
                      <w:rFonts w:hint="eastAsia" w:ascii="Times New Roman" w:hAnsi="Times New Roman" w:cs="Times New Roman"/>
                      <w:color w:val="000000" w:themeColor="text1"/>
                      <w:sz w:val="21"/>
                      <w:u w:val="none"/>
                      <w:lang w:val="en-US" w:eastAsia="zh-CN"/>
                      <w14:textFill>
                        <w14:solidFill>
                          <w14:schemeClr w14:val="tx1"/>
                        </w14:solidFill>
                      </w14:textFill>
                    </w:rPr>
                    <w:t>1</w:t>
                  </w:r>
                  <w:r>
                    <w:rPr>
                      <w:rFonts w:hint="default" w:ascii="Times New Roman" w:hAnsi="Times New Roman" w:eastAsia="宋体" w:cs="Times New Roman"/>
                      <w:color w:val="000000" w:themeColor="text1"/>
                      <w:sz w:val="21"/>
                      <w:u w:val="none"/>
                      <w:lang w:val="en-US" w:eastAsia="zh-CN"/>
                      <w14:textFill>
                        <w14:solidFill>
                          <w14:schemeClr w14:val="tx1"/>
                        </w14:solidFill>
                      </w14:textFill>
                    </w:rPr>
                    <w:t>月</w:t>
                  </w:r>
                  <w:r>
                    <w:rPr>
                      <w:rFonts w:hint="eastAsia" w:ascii="Times New Roman" w:hAnsi="Times New Roman" w:cs="Times New Roman"/>
                      <w:color w:val="000000" w:themeColor="text1"/>
                      <w:sz w:val="21"/>
                      <w:u w:val="none"/>
                      <w:lang w:val="en-US" w:eastAsia="zh-CN"/>
                      <w14:textFill>
                        <w14:solidFill>
                          <w14:schemeClr w14:val="tx1"/>
                        </w14:solidFill>
                      </w14:textFill>
                    </w:rPr>
                    <w:t>31</w:t>
                  </w:r>
                  <w:r>
                    <w:rPr>
                      <w:rFonts w:hint="default" w:ascii="Times New Roman" w:hAnsi="Times New Roman" w:eastAsia="宋体" w:cs="Times New Roman"/>
                      <w:color w:val="000000" w:themeColor="text1"/>
                      <w:sz w:val="21"/>
                      <w:u w:val="none"/>
                      <w:lang w:val="en-US" w:eastAsia="zh-CN"/>
                      <w14:textFill>
                        <w14:solidFill>
                          <w14:schemeClr w14:val="tx1"/>
                        </w14:solidFill>
                      </w14:textFill>
                    </w:rPr>
                    <w:t>日</w:t>
                  </w:r>
                </w:p>
              </w:tc>
              <w:tc>
                <w:tcPr>
                  <w:tcW w:w="1354" w:type="dxa"/>
                  <w:gridSpan w:val="2"/>
                  <w:vAlign w:val="center"/>
                </w:tcPr>
                <w:p w14:paraId="5F6FCFA5">
                  <w:pPr>
                    <w:pStyle w:val="63"/>
                    <w:spacing w:before="24" w:after="24"/>
                    <w:rPr>
                      <w:rFonts w:hint="default" w:ascii="Times New Roman" w:hAnsi="Times New Roman" w:eastAsia="宋体" w:cs="Times New Roman"/>
                      <w:color w:val="000000" w:themeColor="text1"/>
                      <w:sz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u w:val="none"/>
                      <w:lang w:val="en-US" w:eastAsia="zh-CN"/>
                      <w14:textFill>
                        <w14:solidFill>
                          <w14:schemeClr w14:val="tx1"/>
                        </w14:solidFill>
                      </w14:textFill>
                    </w:rPr>
                    <w:t>评价标准</w:t>
                  </w:r>
                </w:p>
              </w:tc>
              <w:tc>
                <w:tcPr>
                  <w:tcW w:w="725" w:type="dxa"/>
                  <w:vMerge w:val="restart"/>
                  <w:vAlign w:val="center"/>
                </w:tcPr>
                <w:p w14:paraId="4D713F0C">
                  <w:pPr>
                    <w:pStyle w:val="63"/>
                    <w:spacing w:before="24" w:after="24"/>
                    <w:rPr>
                      <w:rFonts w:hint="default" w:ascii="Times New Roman" w:hAnsi="Times New Roman" w:eastAsia="宋体" w:cs="Times New Roman"/>
                      <w:color w:val="000000" w:themeColor="text1"/>
                      <w:sz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u w:val="none"/>
                      <w:lang w:val="en-US" w:eastAsia="zh-CN"/>
                      <w14:textFill>
                        <w14:solidFill>
                          <w14:schemeClr w14:val="tx1"/>
                        </w14:solidFill>
                      </w14:textFill>
                    </w:rPr>
                    <w:t>是否</w:t>
                  </w:r>
                </w:p>
                <w:p w14:paraId="1788FAB0">
                  <w:pPr>
                    <w:pStyle w:val="63"/>
                    <w:spacing w:before="24" w:after="24"/>
                    <w:rPr>
                      <w:rFonts w:hint="default" w:ascii="Times New Roman" w:hAnsi="Times New Roman" w:eastAsia="宋体" w:cs="Times New Roman"/>
                      <w:color w:val="000000" w:themeColor="text1"/>
                      <w:sz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u w:val="none"/>
                      <w:lang w:val="en-US" w:eastAsia="zh-CN"/>
                      <w14:textFill>
                        <w14:solidFill>
                          <w14:schemeClr w14:val="tx1"/>
                        </w14:solidFill>
                      </w14:textFill>
                    </w:rPr>
                    <w:t>达标</w:t>
                  </w:r>
                </w:p>
              </w:tc>
            </w:tr>
            <w:tr w14:paraId="6DE53FC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432" w:type="dxa"/>
                  <w:vMerge w:val="continue"/>
                  <w:vAlign w:val="center"/>
                </w:tcPr>
                <w:p w14:paraId="2745D4F0">
                  <w:pPr>
                    <w:pStyle w:val="63"/>
                    <w:spacing w:before="24" w:after="24"/>
                    <w:rPr>
                      <w:rFonts w:hint="default" w:ascii="Times New Roman" w:hAnsi="Times New Roman" w:eastAsia="宋体" w:cs="Times New Roman"/>
                      <w:color w:val="000000" w:themeColor="text1"/>
                      <w:sz w:val="21"/>
                      <w:u w:val="none"/>
                      <w:lang w:val="en-US" w:eastAsia="zh-CN"/>
                      <w14:textFill>
                        <w14:solidFill>
                          <w14:schemeClr w14:val="tx1"/>
                        </w14:solidFill>
                      </w14:textFill>
                    </w:rPr>
                  </w:pPr>
                </w:p>
              </w:tc>
              <w:tc>
                <w:tcPr>
                  <w:tcW w:w="2223" w:type="dxa"/>
                  <w:vMerge w:val="continue"/>
                  <w:vAlign w:val="center"/>
                </w:tcPr>
                <w:p w14:paraId="1A1828BC">
                  <w:pPr>
                    <w:pStyle w:val="63"/>
                    <w:spacing w:before="24" w:after="24"/>
                    <w:rPr>
                      <w:rFonts w:hint="default" w:ascii="Times New Roman" w:hAnsi="Times New Roman" w:eastAsia="宋体" w:cs="Times New Roman"/>
                      <w:color w:val="000000" w:themeColor="text1"/>
                      <w:sz w:val="21"/>
                      <w:u w:val="none"/>
                      <w:lang w:val="en-US" w:eastAsia="zh-CN"/>
                      <w14:textFill>
                        <w14:solidFill>
                          <w14:schemeClr w14:val="tx1"/>
                        </w14:solidFill>
                      </w14:textFill>
                    </w:rPr>
                  </w:pPr>
                </w:p>
              </w:tc>
              <w:tc>
                <w:tcPr>
                  <w:tcW w:w="680" w:type="dxa"/>
                  <w:vAlign w:val="center"/>
                </w:tcPr>
                <w:p w14:paraId="61033B69">
                  <w:pPr>
                    <w:pStyle w:val="63"/>
                    <w:spacing w:before="24" w:after="24"/>
                    <w:rPr>
                      <w:rFonts w:hint="default" w:ascii="Times New Roman" w:hAnsi="Times New Roman" w:eastAsia="宋体" w:cs="Times New Roman"/>
                      <w:color w:val="000000" w:themeColor="text1"/>
                      <w:sz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u w:val="none"/>
                      <w:lang w:val="en-US" w:eastAsia="zh-CN"/>
                      <w14:textFill>
                        <w14:solidFill>
                          <w14:schemeClr w14:val="tx1"/>
                        </w14:solidFill>
                      </w14:textFill>
                    </w:rPr>
                    <w:t>昼间</w:t>
                  </w:r>
                </w:p>
              </w:tc>
              <w:tc>
                <w:tcPr>
                  <w:tcW w:w="729" w:type="dxa"/>
                  <w:vAlign w:val="center"/>
                </w:tcPr>
                <w:p w14:paraId="096A61C2">
                  <w:pPr>
                    <w:pStyle w:val="63"/>
                    <w:spacing w:before="24" w:after="24"/>
                    <w:rPr>
                      <w:rFonts w:hint="default" w:ascii="Times New Roman" w:hAnsi="Times New Roman" w:eastAsia="宋体" w:cs="Times New Roman"/>
                      <w:color w:val="000000" w:themeColor="text1"/>
                      <w:sz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u w:val="none"/>
                      <w:lang w:val="en-US" w:eastAsia="zh-CN"/>
                      <w14:textFill>
                        <w14:solidFill>
                          <w14:schemeClr w14:val="tx1"/>
                        </w14:solidFill>
                      </w14:textFill>
                    </w:rPr>
                    <w:t>夜间</w:t>
                  </w:r>
                </w:p>
              </w:tc>
              <w:tc>
                <w:tcPr>
                  <w:tcW w:w="726" w:type="dxa"/>
                  <w:vAlign w:val="center"/>
                </w:tcPr>
                <w:p w14:paraId="6F368FAB">
                  <w:pPr>
                    <w:pStyle w:val="63"/>
                    <w:spacing w:before="24" w:after="24"/>
                    <w:rPr>
                      <w:rFonts w:hint="default" w:ascii="Times New Roman" w:hAnsi="Times New Roman" w:eastAsia="宋体" w:cs="Times New Roman"/>
                      <w:color w:val="000000" w:themeColor="text1"/>
                      <w:sz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u w:val="none"/>
                      <w:lang w:val="en-US" w:eastAsia="zh-CN"/>
                      <w14:textFill>
                        <w14:solidFill>
                          <w14:schemeClr w14:val="tx1"/>
                        </w14:solidFill>
                      </w14:textFill>
                    </w:rPr>
                    <w:t>昼间</w:t>
                  </w:r>
                </w:p>
              </w:tc>
              <w:tc>
                <w:tcPr>
                  <w:tcW w:w="703" w:type="dxa"/>
                  <w:vAlign w:val="center"/>
                </w:tcPr>
                <w:p w14:paraId="68352979">
                  <w:pPr>
                    <w:pStyle w:val="63"/>
                    <w:spacing w:before="24" w:after="24"/>
                    <w:rPr>
                      <w:rFonts w:hint="default" w:ascii="Times New Roman" w:hAnsi="Times New Roman" w:eastAsia="宋体" w:cs="Times New Roman"/>
                      <w:color w:val="000000" w:themeColor="text1"/>
                      <w:sz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u w:val="none"/>
                      <w:lang w:val="en-US" w:eastAsia="zh-CN"/>
                      <w14:textFill>
                        <w14:solidFill>
                          <w14:schemeClr w14:val="tx1"/>
                        </w14:solidFill>
                      </w14:textFill>
                    </w:rPr>
                    <w:t>夜间</w:t>
                  </w:r>
                </w:p>
              </w:tc>
              <w:tc>
                <w:tcPr>
                  <w:tcW w:w="680" w:type="dxa"/>
                  <w:vAlign w:val="center"/>
                </w:tcPr>
                <w:p w14:paraId="4F42C40F">
                  <w:pPr>
                    <w:pStyle w:val="63"/>
                    <w:spacing w:before="24" w:after="24"/>
                    <w:rPr>
                      <w:rFonts w:hint="default" w:ascii="Times New Roman" w:hAnsi="Times New Roman" w:eastAsia="宋体" w:cs="Times New Roman"/>
                      <w:color w:val="000000" w:themeColor="text1"/>
                      <w:sz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u w:val="none"/>
                      <w:lang w:val="en-US" w:eastAsia="zh-CN"/>
                      <w14:textFill>
                        <w14:solidFill>
                          <w14:schemeClr w14:val="tx1"/>
                        </w14:solidFill>
                      </w14:textFill>
                    </w:rPr>
                    <w:t>昼间</w:t>
                  </w:r>
                </w:p>
              </w:tc>
              <w:tc>
                <w:tcPr>
                  <w:tcW w:w="674" w:type="dxa"/>
                  <w:vAlign w:val="center"/>
                </w:tcPr>
                <w:p w14:paraId="36460C50">
                  <w:pPr>
                    <w:pStyle w:val="63"/>
                    <w:spacing w:before="24" w:after="24"/>
                    <w:rPr>
                      <w:rFonts w:hint="default" w:ascii="Times New Roman" w:hAnsi="Times New Roman" w:eastAsia="宋体" w:cs="Times New Roman"/>
                      <w:color w:val="000000" w:themeColor="text1"/>
                      <w:sz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u w:val="none"/>
                      <w:lang w:val="en-US" w:eastAsia="zh-CN"/>
                      <w14:textFill>
                        <w14:solidFill>
                          <w14:schemeClr w14:val="tx1"/>
                        </w14:solidFill>
                      </w14:textFill>
                    </w:rPr>
                    <w:t>夜间</w:t>
                  </w:r>
                </w:p>
              </w:tc>
              <w:tc>
                <w:tcPr>
                  <w:tcW w:w="725" w:type="dxa"/>
                  <w:vMerge w:val="continue"/>
                  <w:vAlign w:val="center"/>
                </w:tcPr>
                <w:p w14:paraId="170FCCDC">
                  <w:pPr>
                    <w:pStyle w:val="63"/>
                    <w:spacing w:before="24" w:after="24"/>
                    <w:rPr>
                      <w:rFonts w:hint="default" w:ascii="Times New Roman" w:hAnsi="Times New Roman" w:eastAsia="宋体" w:cs="Times New Roman"/>
                      <w:color w:val="000000" w:themeColor="text1"/>
                      <w:sz w:val="21"/>
                      <w:u w:val="none"/>
                      <w:lang w:val="en-US" w:eastAsia="zh-CN"/>
                      <w14:textFill>
                        <w14:solidFill>
                          <w14:schemeClr w14:val="tx1"/>
                        </w14:solidFill>
                      </w14:textFill>
                    </w:rPr>
                  </w:pPr>
                </w:p>
              </w:tc>
            </w:tr>
            <w:tr w14:paraId="5C4A664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32" w:type="dxa"/>
                  <w:vAlign w:val="center"/>
                </w:tcPr>
                <w:p w14:paraId="3E7D9DEF">
                  <w:pPr>
                    <w:pStyle w:val="63"/>
                    <w:spacing w:before="24" w:after="24"/>
                    <w:rPr>
                      <w:rFonts w:hint="default" w:ascii="Times New Roman" w:hAnsi="Times New Roman" w:eastAsia="宋体" w:cs="Times New Roman"/>
                      <w:color w:val="000000" w:themeColor="text1"/>
                      <w:sz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u w:val="none"/>
                      <w:lang w:val="en-US" w:eastAsia="zh-CN"/>
                      <w14:textFill>
                        <w14:solidFill>
                          <w14:schemeClr w14:val="tx1"/>
                        </w14:solidFill>
                      </w14:textFill>
                    </w:rPr>
                    <w:t>1</w:t>
                  </w:r>
                </w:p>
              </w:tc>
              <w:tc>
                <w:tcPr>
                  <w:tcW w:w="2223" w:type="dxa"/>
                  <w:vAlign w:val="center"/>
                </w:tcPr>
                <w:p w14:paraId="65E6648C">
                  <w:pPr>
                    <w:pStyle w:val="63"/>
                    <w:spacing w:before="24" w:after="24"/>
                    <w:ind w:left="0" w:leftChars="0" w:firstLine="0" w:firstLineChars="0"/>
                    <w:rPr>
                      <w:rFonts w:hint="eastAsia" w:ascii="Times New Roman" w:hAnsi="Times New Roman" w:eastAsia="宋体" w:cs="Times New Roman"/>
                      <w:color w:val="000000" w:themeColor="text1"/>
                      <w:sz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u w:val="none"/>
                      <w:lang w:val="en-US" w:eastAsia="zh-CN"/>
                      <w14:textFill>
                        <w14:solidFill>
                          <w14:schemeClr w14:val="tx1"/>
                        </w14:solidFill>
                      </w14:textFill>
                    </w:rPr>
                    <w:t>升压站东面厂界</w:t>
                  </w:r>
                </w:p>
              </w:tc>
              <w:tc>
                <w:tcPr>
                  <w:tcW w:w="680" w:type="dxa"/>
                  <w:vAlign w:val="center"/>
                </w:tcPr>
                <w:p w14:paraId="7A3DD6E7">
                  <w:pPr>
                    <w:pStyle w:val="63"/>
                    <w:spacing w:before="24" w:after="24"/>
                    <w:rPr>
                      <w:rFonts w:hint="default" w:ascii="Times New Roman" w:hAnsi="Times New Roman" w:eastAsia="宋体" w:cs="Times New Roman"/>
                      <w:color w:val="000000" w:themeColor="text1"/>
                      <w:sz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u w:val="none"/>
                      <w:lang w:val="en-US" w:eastAsia="zh-CN"/>
                      <w14:textFill>
                        <w14:solidFill>
                          <w14:schemeClr w14:val="tx1"/>
                        </w14:solidFill>
                      </w14:textFill>
                    </w:rPr>
                    <w:t>38.5</w:t>
                  </w:r>
                </w:p>
              </w:tc>
              <w:tc>
                <w:tcPr>
                  <w:tcW w:w="729" w:type="dxa"/>
                  <w:vAlign w:val="center"/>
                </w:tcPr>
                <w:p w14:paraId="1D987ED5">
                  <w:pPr>
                    <w:pStyle w:val="63"/>
                    <w:spacing w:before="24" w:after="24"/>
                    <w:rPr>
                      <w:rFonts w:hint="default" w:ascii="Times New Roman" w:hAnsi="Times New Roman" w:eastAsia="宋体" w:cs="Times New Roman"/>
                      <w:color w:val="000000" w:themeColor="text1"/>
                      <w:sz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u w:val="none"/>
                      <w:lang w:val="en-US" w:eastAsia="zh-CN"/>
                      <w14:textFill>
                        <w14:solidFill>
                          <w14:schemeClr w14:val="tx1"/>
                        </w14:solidFill>
                      </w14:textFill>
                    </w:rPr>
                    <w:t>35.9</w:t>
                  </w:r>
                </w:p>
              </w:tc>
              <w:tc>
                <w:tcPr>
                  <w:tcW w:w="726" w:type="dxa"/>
                  <w:vAlign w:val="center"/>
                </w:tcPr>
                <w:p w14:paraId="43B67BD7">
                  <w:pPr>
                    <w:pStyle w:val="63"/>
                    <w:spacing w:before="24" w:after="24"/>
                    <w:rPr>
                      <w:rFonts w:hint="default" w:ascii="Times New Roman" w:hAnsi="Times New Roman" w:eastAsia="宋体" w:cs="Times New Roman"/>
                      <w:color w:val="000000" w:themeColor="text1"/>
                      <w:sz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u w:val="none"/>
                      <w:lang w:val="en-US" w:eastAsia="zh-CN"/>
                      <w14:textFill>
                        <w14:solidFill>
                          <w14:schemeClr w14:val="tx1"/>
                        </w14:solidFill>
                      </w14:textFill>
                    </w:rPr>
                    <w:t>37.5</w:t>
                  </w:r>
                </w:p>
              </w:tc>
              <w:tc>
                <w:tcPr>
                  <w:tcW w:w="703" w:type="dxa"/>
                  <w:vAlign w:val="center"/>
                </w:tcPr>
                <w:p w14:paraId="6082BD78">
                  <w:pPr>
                    <w:pStyle w:val="63"/>
                    <w:spacing w:before="24" w:after="24"/>
                    <w:rPr>
                      <w:rFonts w:hint="default" w:ascii="Times New Roman" w:hAnsi="Times New Roman" w:eastAsia="宋体" w:cs="Times New Roman"/>
                      <w:color w:val="000000" w:themeColor="text1"/>
                      <w:sz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u w:val="none"/>
                      <w:lang w:val="en-US" w:eastAsia="zh-CN"/>
                      <w14:textFill>
                        <w14:solidFill>
                          <w14:schemeClr w14:val="tx1"/>
                        </w14:solidFill>
                      </w14:textFill>
                    </w:rPr>
                    <w:t>34.5</w:t>
                  </w:r>
                </w:p>
              </w:tc>
              <w:tc>
                <w:tcPr>
                  <w:tcW w:w="680" w:type="dxa"/>
                  <w:vAlign w:val="center"/>
                </w:tcPr>
                <w:p w14:paraId="0A8AB03A">
                  <w:pPr>
                    <w:pStyle w:val="63"/>
                    <w:spacing w:before="24" w:after="24"/>
                    <w:rPr>
                      <w:rFonts w:hint="default" w:ascii="Times New Roman" w:hAnsi="Times New Roman" w:eastAsia="宋体" w:cs="Times New Roman"/>
                      <w:color w:val="000000" w:themeColor="text1"/>
                      <w:sz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u w:val="none"/>
                      <w:lang w:val="en-US" w:eastAsia="zh-CN"/>
                      <w14:textFill>
                        <w14:solidFill>
                          <w14:schemeClr w14:val="tx1"/>
                        </w14:solidFill>
                      </w14:textFill>
                    </w:rPr>
                    <w:t>60</w:t>
                  </w:r>
                </w:p>
              </w:tc>
              <w:tc>
                <w:tcPr>
                  <w:tcW w:w="674" w:type="dxa"/>
                  <w:vAlign w:val="center"/>
                </w:tcPr>
                <w:p w14:paraId="799FFAAB">
                  <w:pPr>
                    <w:pStyle w:val="63"/>
                    <w:spacing w:before="24" w:after="24"/>
                    <w:rPr>
                      <w:rFonts w:hint="default" w:ascii="Times New Roman" w:hAnsi="Times New Roman" w:eastAsia="宋体" w:cs="Times New Roman"/>
                      <w:color w:val="000000" w:themeColor="text1"/>
                      <w:sz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u w:val="none"/>
                      <w:lang w:val="en-US" w:eastAsia="zh-CN"/>
                      <w14:textFill>
                        <w14:solidFill>
                          <w14:schemeClr w14:val="tx1"/>
                        </w14:solidFill>
                      </w14:textFill>
                    </w:rPr>
                    <w:t>50</w:t>
                  </w:r>
                </w:p>
              </w:tc>
              <w:tc>
                <w:tcPr>
                  <w:tcW w:w="725" w:type="dxa"/>
                  <w:vAlign w:val="center"/>
                </w:tcPr>
                <w:p w14:paraId="20B977BD">
                  <w:pPr>
                    <w:pStyle w:val="63"/>
                    <w:spacing w:before="24" w:after="24"/>
                    <w:rPr>
                      <w:rFonts w:hint="default" w:ascii="Times New Roman" w:hAnsi="Times New Roman" w:eastAsia="宋体" w:cs="Times New Roman"/>
                      <w:color w:val="000000" w:themeColor="text1"/>
                      <w:sz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u w:val="none"/>
                      <w:lang w:val="en-US" w:eastAsia="zh-CN"/>
                      <w14:textFill>
                        <w14:solidFill>
                          <w14:schemeClr w14:val="tx1"/>
                        </w14:solidFill>
                      </w14:textFill>
                    </w:rPr>
                    <w:t>达标</w:t>
                  </w:r>
                </w:p>
              </w:tc>
            </w:tr>
            <w:tr w14:paraId="041D591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32" w:type="dxa"/>
                  <w:vAlign w:val="center"/>
                </w:tcPr>
                <w:p w14:paraId="6C8162D1">
                  <w:pPr>
                    <w:pStyle w:val="63"/>
                    <w:spacing w:before="24" w:after="24"/>
                    <w:rPr>
                      <w:rFonts w:hint="default" w:ascii="Times New Roman" w:hAnsi="Times New Roman" w:eastAsia="宋体" w:cs="Times New Roman"/>
                      <w:color w:val="000000" w:themeColor="text1"/>
                      <w:sz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u w:val="none"/>
                      <w:lang w:val="en-US" w:eastAsia="zh-CN"/>
                      <w14:textFill>
                        <w14:solidFill>
                          <w14:schemeClr w14:val="tx1"/>
                        </w14:solidFill>
                      </w14:textFill>
                    </w:rPr>
                    <w:t>2</w:t>
                  </w:r>
                </w:p>
              </w:tc>
              <w:tc>
                <w:tcPr>
                  <w:tcW w:w="2223" w:type="dxa"/>
                  <w:vAlign w:val="center"/>
                </w:tcPr>
                <w:p w14:paraId="3891C9BF">
                  <w:pPr>
                    <w:pStyle w:val="63"/>
                    <w:spacing w:before="24" w:after="24"/>
                    <w:ind w:left="0" w:leftChars="0" w:firstLine="0" w:firstLineChars="0"/>
                    <w:rPr>
                      <w:rFonts w:hint="eastAsia" w:ascii="Times New Roman" w:hAnsi="Times New Roman" w:eastAsia="宋体" w:cs="Times New Roman"/>
                      <w:color w:val="000000" w:themeColor="text1"/>
                      <w:sz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u w:val="none"/>
                      <w:lang w:val="en-US" w:eastAsia="zh-CN"/>
                      <w14:textFill>
                        <w14:solidFill>
                          <w14:schemeClr w14:val="tx1"/>
                        </w14:solidFill>
                      </w14:textFill>
                    </w:rPr>
                    <w:t>升压站南面厂界</w:t>
                  </w:r>
                </w:p>
              </w:tc>
              <w:tc>
                <w:tcPr>
                  <w:tcW w:w="680" w:type="dxa"/>
                  <w:vAlign w:val="center"/>
                </w:tcPr>
                <w:p w14:paraId="78551168">
                  <w:pPr>
                    <w:pStyle w:val="63"/>
                    <w:spacing w:before="24" w:after="24"/>
                    <w:rPr>
                      <w:rFonts w:hint="default" w:ascii="Times New Roman" w:hAnsi="Times New Roman" w:eastAsia="宋体" w:cs="Times New Roman"/>
                      <w:color w:val="000000" w:themeColor="text1"/>
                      <w:sz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u w:val="none"/>
                      <w:lang w:val="en-US" w:eastAsia="zh-CN"/>
                      <w14:textFill>
                        <w14:solidFill>
                          <w14:schemeClr w14:val="tx1"/>
                        </w14:solidFill>
                      </w14:textFill>
                    </w:rPr>
                    <w:t>39.1</w:t>
                  </w:r>
                </w:p>
              </w:tc>
              <w:tc>
                <w:tcPr>
                  <w:tcW w:w="729" w:type="dxa"/>
                  <w:vAlign w:val="center"/>
                </w:tcPr>
                <w:p w14:paraId="5F2AFCB5">
                  <w:pPr>
                    <w:pStyle w:val="63"/>
                    <w:spacing w:before="24" w:after="24"/>
                    <w:rPr>
                      <w:rFonts w:hint="default" w:ascii="Times New Roman" w:hAnsi="Times New Roman" w:eastAsia="宋体" w:cs="Times New Roman"/>
                      <w:color w:val="000000" w:themeColor="text1"/>
                      <w:sz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u w:val="none"/>
                      <w:lang w:val="en-US" w:eastAsia="zh-CN"/>
                      <w14:textFill>
                        <w14:solidFill>
                          <w14:schemeClr w14:val="tx1"/>
                        </w14:solidFill>
                      </w14:textFill>
                    </w:rPr>
                    <w:t>36.1</w:t>
                  </w:r>
                </w:p>
              </w:tc>
              <w:tc>
                <w:tcPr>
                  <w:tcW w:w="726" w:type="dxa"/>
                  <w:vAlign w:val="center"/>
                </w:tcPr>
                <w:p w14:paraId="2739C8DE">
                  <w:pPr>
                    <w:pStyle w:val="63"/>
                    <w:spacing w:before="24" w:after="24"/>
                    <w:rPr>
                      <w:rFonts w:hint="default" w:ascii="Times New Roman" w:hAnsi="Times New Roman" w:eastAsia="宋体" w:cs="Times New Roman"/>
                      <w:color w:val="000000" w:themeColor="text1"/>
                      <w:sz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u w:val="none"/>
                      <w:lang w:val="en-US" w:eastAsia="zh-CN"/>
                      <w14:textFill>
                        <w14:solidFill>
                          <w14:schemeClr w14:val="tx1"/>
                        </w14:solidFill>
                      </w14:textFill>
                    </w:rPr>
                    <w:t>40.1</w:t>
                  </w:r>
                </w:p>
              </w:tc>
              <w:tc>
                <w:tcPr>
                  <w:tcW w:w="703" w:type="dxa"/>
                  <w:vAlign w:val="center"/>
                </w:tcPr>
                <w:p w14:paraId="210FBBBF">
                  <w:pPr>
                    <w:pStyle w:val="63"/>
                    <w:spacing w:before="24" w:after="24"/>
                    <w:rPr>
                      <w:rFonts w:hint="default" w:ascii="Times New Roman" w:hAnsi="Times New Roman" w:eastAsia="宋体" w:cs="Times New Roman"/>
                      <w:color w:val="000000" w:themeColor="text1"/>
                      <w:sz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u w:val="none"/>
                      <w:lang w:val="en-US" w:eastAsia="zh-CN"/>
                      <w14:textFill>
                        <w14:solidFill>
                          <w14:schemeClr w14:val="tx1"/>
                        </w14:solidFill>
                      </w14:textFill>
                    </w:rPr>
                    <w:t>36.1</w:t>
                  </w:r>
                </w:p>
              </w:tc>
              <w:tc>
                <w:tcPr>
                  <w:tcW w:w="680" w:type="dxa"/>
                  <w:vAlign w:val="center"/>
                </w:tcPr>
                <w:p w14:paraId="029F06AD">
                  <w:pPr>
                    <w:pStyle w:val="63"/>
                    <w:spacing w:before="24" w:after="24"/>
                    <w:rPr>
                      <w:rFonts w:hint="default" w:ascii="Times New Roman" w:hAnsi="Times New Roman" w:eastAsia="宋体" w:cs="Times New Roman"/>
                      <w:color w:val="000000" w:themeColor="text1"/>
                      <w:sz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u w:val="none"/>
                      <w:lang w:val="en-US" w:eastAsia="zh-CN"/>
                      <w14:textFill>
                        <w14:solidFill>
                          <w14:schemeClr w14:val="tx1"/>
                        </w14:solidFill>
                      </w14:textFill>
                    </w:rPr>
                    <w:t>60</w:t>
                  </w:r>
                </w:p>
              </w:tc>
              <w:tc>
                <w:tcPr>
                  <w:tcW w:w="674" w:type="dxa"/>
                  <w:vAlign w:val="center"/>
                </w:tcPr>
                <w:p w14:paraId="53739517">
                  <w:pPr>
                    <w:pStyle w:val="63"/>
                    <w:spacing w:before="24" w:after="24"/>
                    <w:rPr>
                      <w:rFonts w:hint="default" w:ascii="Times New Roman" w:hAnsi="Times New Roman" w:eastAsia="宋体" w:cs="Times New Roman"/>
                      <w:color w:val="000000" w:themeColor="text1"/>
                      <w:sz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u w:val="none"/>
                      <w:lang w:val="en-US" w:eastAsia="zh-CN"/>
                      <w14:textFill>
                        <w14:solidFill>
                          <w14:schemeClr w14:val="tx1"/>
                        </w14:solidFill>
                      </w14:textFill>
                    </w:rPr>
                    <w:t>50</w:t>
                  </w:r>
                </w:p>
              </w:tc>
              <w:tc>
                <w:tcPr>
                  <w:tcW w:w="725" w:type="dxa"/>
                  <w:vAlign w:val="center"/>
                </w:tcPr>
                <w:p w14:paraId="392E923A">
                  <w:pPr>
                    <w:pStyle w:val="63"/>
                    <w:spacing w:before="24" w:after="24"/>
                    <w:rPr>
                      <w:rFonts w:hint="default" w:ascii="Times New Roman" w:hAnsi="Times New Roman" w:eastAsia="宋体" w:cs="Times New Roman"/>
                      <w:color w:val="000000" w:themeColor="text1"/>
                      <w:sz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u w:val="none"/>
                      <w:lang w:val="en-US" w:eastAsia="zh-CN"/>
                      <w14:textFill>
                        <w14:solidFill>
                          <w14:schemeClr w14:val="tx1"/>
                        </w14:solidFill>
                      </w14:textFill>
                    </w:rPr>
                    <w:t>达标</w:t>
                  </w:r>
                </w:p>
              </w:tc>
            </w:tr>
            <w:tr w14:paraId="6277E9F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32" w:type="dxa"/>
                  <w:vAlign w:val="center"/>
                </w:tcPr>
                <w:p w14:paraId="60592ED9">
                  <w:pPr>
                    <w:pStyle w:val="63"/>
                    <w:spacing w:before="24" w:after="24"/>
                    <w:rPr>
                      <w:rFonts w:hint="default" w:ascii="Times New Roman" w:hAnsi="Times New Roman" w:eastAsia="宋体" w:cs="Times New Roman"/>
                      <w:color w:val="000000" w:themeColor="text1"/>
                      <w:sz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u w:val="none"/>
                      <w:lang w:val="en-US" w:eastAsia="zh-CN"/>
                      <w14:textFill>
                        <w14:solidFill>
                          <w14:schemeClr w14:val="tx1"/>
                        </w14:solidFill>
                      </w14:textFill>
                    </w:rPr>
                    <w:t>3</w:t>
                  </w:r>
                </w:p>
              </w:tc>
              <w:tc>
                <w:tcPr>
                  <w:tcW w:w="2223" w:type="dxa"/>
                  <w:vAlign w:val="center"/>
                </w:tcPr>
                <w:p w14:paraId="67DE2AD4">
                  <w:pPr>
                    <w:pStyle w:val="63"/>
                    <w:spacing w:before="24" w:after="24"/>
                    <w:ind w:left="0" w:leftChars="0" w:firstLine="0" w:firstLineChars="0"/>
                    <w:rPr>
                      <w:rFonts w:hint="eastAsia" w:ascii="Times New Roman" w:hAnsi="Times New Roman" w:eastAsia="宋体" w:cs="Times New Roman"/>
                      <w:color w:val="000000" w:themeColor="text1"/>
                      <w:sz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u w:val="none"/>
                      <w:lang w:val="en-US" w:eastAsia="zh-CN"/>
                      <w14:textFill>
                        <w14:solidFill>
                          <w14:schemeClr w14:val="tx1"/>
                        </w14:solidFill>
                      </w14:textFill>
                    </w:rPr>
                    <w:t>升压站西面厂界</w:t>
                  </w:r>
                </w:p>
              </w:tc>
              <w:tc>
                <w:tcPr>
                  <w:tcW w:w="680" w:type="dxa"/>
                  <w:vAlign w:val="center"/>
                </w:tcPr>
                <w:p w14:paraId="61BDEF45">
                  <w:pPr>
                    <w:pStyle w:val="63"/>
                    <w:spacing w:before="24" w:after="24"/>
                    <w:rPr>
                      <w:rFonts w:hint="default" w:ascii="Times New Roman" w:hAnsi="Times New Roman" w:eastAsia="宋体" w:cs="Times New Roman"/>
                      <w:color w:val="000000" w:themeColor="text1"/>
                      <w:sz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u w:val="none"/>
                      <w:lang w:val="en-US" w:eastAsia="zh-CN"/>
                      <w14:textFill>
                        <w14:solidFill>
                          <w14:schemeClr w14:val="tx1"/>
                        </w14:solidFill>
                      </w14:textFill>
                    </w:rPr>
                    <w:t>38.9</w:t>
                  </w:r>
                </w:p>
              </w:tc>
              <w:tc>
                <w:tcPr>
                  <w:tcW w:w="729" w:type="dxa"/>
                  <w:vAlign w:val="center"/>
                </w:tcPr>
                <w:p w14:paraId="109C816D">
                  <w:pPr>
                    <w:pStyle w:val="63"/>
                    <w:spacing w:before="24" w:after="24"/>
                    <w:rPr>
                      <w:rFonts w:hint="default" w:ascii="Times New Roman" w:hAnsi="Times New Roman" w:eastAsia="宋体" w:cs="Times New Roman"/>
                      <w:color w:val="000000" w:themeColor="text1"/>
                      <w:sz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u w:val="none"/>
                      <w:lang w:val="en-US" w:eastAsia="zh-CN"/>
                      <w14:textFill>
                        <w14:solidFill>
                          <w14:schemeClr w14:val="tx1"/>
                        </w14:solidFill>
                      </w14:textFill>
                    </w:rPr>
                    <w:t>34.0</w:t>
                  </w:r>
                </w:p>
              </w:tc>
              <w:tc>
                <w:tcPr>
                  <w:tcW w:w="726" w:type="dxa"/>
                  <w:vAlign w:val="center"/>
                </w:tcPr>
                <w:p w14:paraId="63FAE32D">
                  <w:pPr>
                    <w:pStyle w:val="63"/>
                    <w:spacing w:before="24" w:after="24"/>
                    <w:rPr>
                      <w:rFonts w:hint="default" w:ascii="Times New Roman" w:hAnsi="Times New Roman" w:eastAsia="宋体" w:cs="Times New Roman"/>
                      <w:color w:val="000000" w:themeColor="text1"/>
                      <w:sz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u w:val="none"/>
                      <w:lang w:val="en-US" w:eastAsia="zh-CN"/>
                      <w14:textFill>
                        <w14:solidFill>
                          <w14:schemeClr w14:val="tx1"/>
                        </w14:solidFill>
                      </w14:textFill>
                    </w:rPr>
                    <w:t>39.4</w:t>
                  </w:r>
                </w:p>
              </w:tc>
              <w:tc>
                <w:tcPr>
                  <w:tcW w:w="703" w:type="dxa"/>
                  <w:vAlign w:val="center"/>
                </w:tcPr>
                <w:p w14:paraId="39F03CF9">
                  <w:pPr>
                    <w:pStyle w:val="63"/>
                    <w:spacing w:before="24" w:after="24"/>
                    <w:rPr>
                      <w:rFonts w:hint="default" w:ascii="Times New Roman" w:hAnsi="Times New Roman" w:eastAsia="宋体" w:cs="Times New Roman"/>
                      <w:color w:val="000000" w:themeColor="text1"/>
                      <w:sz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u w:val="none"/>
                      <w:lang w:val="en-US" w:eastAsia="zh-CN"/>
                      <w14:textFill>
                        <w14:solidFill>
                          <w14:schemeClr w14:val="tx1"/>
                        </w14:solidFill>
                      </w14:textFill>
                    </w:rPr>
                    <w:t>35.6</w:t>
                  </w:r>
                </w:p>
              </w:tc>
              <w:tc>
                <w:tcPr>
                  <w:tcW w:w="680" w:type="dxa"/>
                  <w:vAlign w:val="center"/>
                </w:tcPr>
                <w:p w14:paraId="71D5B8F4">
                  <w:pPr>
                    <w:pStyle w:val="63"/>
                    <w:spacing w:before="24" w:after="24"/>
                    <w:rPr>
                      <w:rFonts w:hint="default" w:ascii="Times New Roman" w:hAnsi="Times New Roman" w:eastAsia="宋体" w:cs="Times New Roman"/>
                      <w:color w:val="000000" w:themeColor="text1"/>
                      <w:sz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u w:val="none"/>
                      <w:lang w:val="en-US" w:eastAsia="zh-CN"/>
                      <w14:textFill>
                        <w14:solidFill>
                          <w14:schemeClr w14:val="tx1"/>
                        </w14:solidFill>
                      </w14:textFill>
                    </w:rPr>
                    <w:t>60</w:t>
                  </w:r>
                </w:p>
              </w:tc>
              <w:tc>
                <w:tcPr>
                  <w:tcW w:w="674" w:type="dxa"/>
                  <w:vAlign w:val="center"/>
                </w:tcPr>
                <w:p w14:paraId="611B6E1F">
                  <w:pPr>
                    <w:pStyle w:val="63"/>
                    <w:spacing w:before="24" w:after="24"/>
                    <w:rPr>
                      <w:rFonts w:hint="default" w:ascii="Times New Roman" w:hAnsi="Times New Roman" w:eastAsia="宋体" w:cs="Times New Roman"/>
                      <w:color w:val="000000" w:themeColor="text1"/>
                      <w:sz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u w:val="none"/>
                      <w:lang w:val="en-US" w:eastAsia="zh-CN"/>
                      <w14:textFill>
                        <w14:solidFill>
                          <w14:schemeClr w14:val="tx1"/>
                        </w14:solidFill>
                      </w14:textFill>
                    </w:rPr>
                    <w:t>50</w:t>
                  </w:r>
                </w:p>
              </w:tc>
              <w:tc>
                <w:tcPr>
                  <w:tcW w:w="725" w:type="dxa"/>
                  <w:vAlign w:val="center"/>
                </w:tcPr>
                <w:p w14:paraId="3E2847C0">
                  <w:pPr>
                    <w:pStyle w:val="63"/>
                    <w:spacing w:before="24" w:after="24"/>
                    <w:rPr>
                      <w:rFonts w:hint="default" w:ascii="Times New Roman" w:hAnsi="Times New Roman" w:eastAsia="宋体" w:cs="Times New Roman"/>
                      <w:color w:val="000000" w:themeColor="text1"/>
                      <w:sz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u w:val="none"/>
                      <w:lang w:val="en-US" w:eastAsia="zh-CN"/>
                      <w14:textFill>
                        <w14:solidFill>
                          <w14:schemeClr w14:val="tx1"/>
                        </w14:solidFill>
                      </w14:textFill>
                    </w:rPr>
                    <w:t>达标</w:t>
                  </w:r>
                </w:p>
              </w:tc>
            </w:tr>
            <w:tr w14:paraId="0FADB83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32" w:type="dxa"/>
                  <w:vAlign w:val="center"/>
                </w:tcPr>
                <w:p w14:paraId="50F206B7">
                  <w:pPr>
                    <w:pStyle w:val="63"/>
                    <w:spacing w:before="24" w:after="24"/>
                    <w:rPr>
                      <w:rFonts w:hint="default" w:ascii="Times New Roman" w:hAnsi="Times New Roman" w:eastAsia="宋体" w:cs="Times New Roman"/>
                      <w:color w:val="000000" w:themeColor="text1"/>
                      <w:sz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u w:val="none"/>
                      <w:lang w:val="en-US" w:eastAsia="zh-CN"/>
                      <w14:textFill>
                        <w14:solidFill>
                          <w14:schemeClr w14:val="tx1"/>
                        </w14:solidFill>
                      </w14:textFill>
                    </w:rPr>
                    <w:t>4</w:t>
                  </w:r>
                </w:p>
              </w:tc>
              <w:tc>
                <w:tcPr>
                  <w:tcW w:w="2223" w:type="dxa"/>
                  <w:vAlign w:val="center"/>
                </w:tcPr>
                <w:p w14:paraId="168A561D">
                  <w:pPr>
                    <w:pStyle w:val="63"/>
                    <w:spacing w:before="24" w:after="24"/>
                    <w:ind w:left="0" w:leftChars="0" w:firstLine="0" w:firstLineChars="0"/>
                    <w:rPr>
                      <w:rFonts w:hint="eastAsia" w:ascii="Times New Roman" w:hAnsi="Times New Roman" w:eastAsia="宋体" w:cs="Times New Roman"/>
                      <w:color w:val="000000" w:themeColor="text1"/>
                      <w:sz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u w:val="none"/>
                      <w:lang w:val="en-US" w:eastAsia="zh-CN"/>
                      <w14:textFill>
                        <w14:solidFill>
                          <w14:schemeClr w14:val="tx1"/>
                        </w14:solidFill>
                      </w14:textFill>
                    </w:rPr>
                    <w:t>升压站北面厂界</w:t>
                  </w:r>
                </w:p>
              </w:tc>
              <w:tc>
                <w:tcPr>
                  <w:tcW w:w="680" w:type="dxa"/>
                  <w:vAlign w:val="center"/>
                </w:tcPr>
                <w:p w14:paraId="6324EEAF">
                  <w:pPr>
                    <w:pStyle w:val="63"/>
                    <w:spacing w:before="24" w:after="24"/>
                    <w:rPr>
                      <w:rFonts w:hint="default" w:ascii="Times New Roman" w:hAnsi="Times New Roman" w:eastAsia="宋体" w:cs="Times New Roman"/>
                      <w:color w:val="000000" w:themeColor="text1"/>
                      <w:sz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u w:val="none"/>
                      <w:lang w:val="en-US" w:eastAsia="zh-CN"/>
                      <w14:textFill>
                        <w14:solidFill>
                          <w14:schemeClr w14:val="tx1"/>
                        </w14:solidFill>
                      </w14:textFill>
                    </w:rPr>
                    <w:t>37.5</w:t>
                  </w:r>
                </w:p>
              </w:tc>
              <w:tc>
                <w:tcPr>
                  <w:tcW w:w="729" w:type="dxa"/>
                  <w:vAlign w:val="center"/>
                </w:tcPr>
                <w:p w14:paraId="6129DF41">
                  <w:pPr>
                    <w:pStyle w:val="63"/>
                    <w:spacing w:before="24" w:after="24"/>
                    <w:rPr>
                      <w:rFonts w:hint="default" w:ascii="Times New Roman" w:hAnsi="Times New Roman" w:eastAsia="宋体" w:cs="Times New Roman"/>
                      <w:color w:val="000000" w:themeColor="text1"/>
                      <w:sz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u w:val="none"/>
                      <w:lang w:val="en-US" w:eastAsia="zh-CN"/>
                      <w14:textFill>
                        <w14:solidFill>
                          <w14:schemeClr w14:val="tx1"/>
                        </w14:solidFill>
                      </w14:textFill>
                    </w:rPr>
                    <w:t>34.4</w:t>
                  </w:r>
                </w:p>
              </w:tc>
              <w:tc>
                <w:tcPr>
                  <w:tcW w:w="726" w:type="dxa"/>
                  <w:vAlign w:val="center"/>
                </w:tcPr>
                <w:p w14:paraId="229E941A">
                  <w:pPr>
                    <w:pStyle w:val="63"/>
                    <w:spacing w:before="24" w:after="24"/>
                    <w:rPr>
                      <w:rFonts w:hint="default" w:ascii="Times New Roman" w:hAnsi="Times New Roman" w:eastAsia="宋体" w:cs="Times New Roman"/>
                      <w:color w:val="000000" w:themeColor="text1"/>
                      <w:sz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u w:val="none"/>
                      <w:lang w:val="en-US" w:eastAsia="zh-CN"/>
                      <w14:textFill>
                        <w14:solidFill>
                          <w14:schemeClr w14:val="tx1"/>
                        </w14:solidFill>
                      </w14:textFill>
                    </w:rPr>
                    <w:t>38.3</w:t>
                  </w:r>
                </w:p>
              </w:tc>
              <w:tc>
                <w:tcPr>
                  <w:tcW w:w="703" w:type="dxa"/>
                  <w:vAlign w:val="center"/>
                </w:tcPr>
                <w:p w14:paraId="40F86699">
                  <w:pPr>
                    <w:pStyle w:val="63"/>
                    <w:spacing w:before="24" w:after="24"/>
                    <w:rPr>
                      <w:rFonts w:hint="default" w:ascii="Times New Roman" w:hAnsi="Times New Roman" w:eastAsia="宋体" w:cs="Times New Roman"/>
                      <w:color w:val="000000" w:themeColor="text1"/>
                      <w:sz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u w:val="none"/>
                      <w:lang w:val="en-US" w:eastAsia="zh-CN"/>
                      <w14:textFill>
                        <w14:solidFill>
                          <w14:schemeClr w14:val="tx1"/>
                        </w14:solidFill>
                      </w14:textFill>
                    </w:rPr>
                    <w:t>34.8</w:t>
                  </w:r>
                </w:p>
              </w:tc>
              <w:tc>
                <w:tcPr>
                  <w:tcW w:w="680" w:type="dxa"/>
                  <w:vAlign w:val="center"/>
                </w:tcPr>
                <w:p w14:paraId="2EF6F8C9">
                  <w:pPr>
                    <w:pStyle w:val="63"/>
                    <w:spacing w:before="24" w:after="24"/>
                    <w:rPr>
                      <w:rFonts w:hint="default" w:ascii="Times New Roman" w:hAnsi="Times New Roman" w:eastAsia="宋体" w:cs="Times New Roman"/>
                      <w:color w:val="000000" w:themeColor="text1"/>
                      <w:sz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u w:val="none"/>
                      <w:lang w:val="en-US" w:eastAsia="zh-CN"/>
                      <w14:textFill>
                        <w14:solidFill>
                          <w14:schemeClr w14:val="tx1"/>
                        </w14:solidFill>
                      </w14:textFill>
                    </w:rPr>
                    <w:t>60</w:t>
                  </w:r>
                </w:p>
              </w:tc>
              <w:tc>
                <w:tcPr>
                  <w:tcW w:w="674" w:type="dxa"/>
                  <w:vAlign w:val="center"/>
                </w:tcPr>
                <w:p w14:paraId="34113BE6">
                  <w:pPr>
                    <w:pStyle w:val="63"/>
                    <w:spacing w:before="24" w:after="24"/>
                    <w:rPr>
                      <w:rFonts w:hint="default" w:ascii="Times New Roman" w:hAnsi="Times New Roman" w:eastAsia="宋体" w:cs="Times New Roman"/>
                      <w:color w:val="000000" w:themeColor="text1"/>
                      <w:sz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u w:val="none"/>
                      <w:lang w:val="en-US" w:eastAsia="zh-CN"/>
                      <w14:textFill>
                        <w14:solidFill>
                          <w14:schemeClr w14:val="tx1"/>
                        </w14:solidFill>
                      </w14:textFill>
                    </w:rPr>
                    <w:t>50</w:t>
                  </w:r>
                </w:p>
              </w:tc>
              <w:tc>
                <w:tcPr>
                  <w:tcW w:w="725" w:type="dxa"/>
                  <w:vAlign w:val="center"/>
                </w:tcPr>
                <w:p w14:paraId="07B266AC">
                  <w:pPr>
                    <w:pStyle w:val="63"/>
                    <w:spacing w:before="24" w:after="24"/>
                    <w:rPr>
                      <w:rFonts w:hint="default" w:ascii="Times New Roman" w:hAnsi="Times New Roman" w:eastAsia="宋体" w:cs="Times New Roman"/>
                      <w:color w:val="000000" w:themeColor="text1"/>
                      <w:sz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u w:val="none"/>
                      <w:lang w:val="en-US" w:eastAsia="zh-CN"/>
                      <w14:textFill>
                        <w14:solidFill>
                          <w14:schemeClr w14:val="tx1"/>
                        </w14:solidFill>
                      </w14:textFill>
                    </w:rPr>
                    <w:t>达标</w:t>
                  </w:r>
                </w:p>
              </w:tc>
            </w:tr>
          </w:tbl>
          <w:p w14:paraId="5EACBF6B">
            <w:pPr>
              <w:spacing w:before="120" w:beforeLines="50"/>
              <w:ind w:firstLine="480" w:firstLineChars="200"/>
              <w:rPr>
                <w:color w:val="000000" w:themeColor="text1"/>
                <w:highlight w:val="none"/>
                <w:u w:val="none"/>
                <w14:textFill>
                  <w14:solidFill>
                    <w14:schemeClr w14:val="tx1"/>
                  </w14:solidFill>
                </w14:textFill>
              </w:rPr>
            </w:pPr>
            <w:r>
              <w:rPr>
                <w:color w:val="000000" w:themeColor="text1"/>
                <w:highlight w:val="none"/>
                <w:u w:val="none"/>
                <w14:textFill>
                  <w14:solidFill>
                    <w14:schemeClr w14:val="tx1"/>
                  </w14:solidFill>
                </w14:textFill>
              </w:rPr>
              <w:t>从上表可知，</w:t>
            </w:r>
            <w:bookmarkStart w:id="34" w:name="_Hlk29298955"/>
            <w:r>
              <w:rPr>
                <w:color w:val="000000" w:themeColor="text1"/>
                <w:highlight w:val="none"/>
                <w:u w:val="none"/>
                <w14:textFill>
                  <w14:solidFill>
                    <w14:schemeClr w14:val="tx1"/>
                  </w14:solidFill>
                </w14:textFill>
              </w:rPr>
              <w:t>各噪声监测点声环境现状监测点均可满足《声环境质量标准》（GB3096-2008）中2类标准（昼间60 dB(A)，夜间50 dB(A)）要求。</w:t>
            </w:r>
            <w:bookmarkEnd w:id="34"/>
          </w:p>
          <w:p w14:paraId="3BDA66E7">
            <w:pPr>
              <w:pStyle w:val="3"/>
              <w:numPr>
                <w:ilvl w:val="0"/>
                <w:numId w:val="0"/>
              </w:numPr>
              <w:tabs>
                <w:tab w:val="left" w:pos="425"/>
                <w:tab w:val="clear" w:pos="420"/>
              </w:tabs>
              <w:rPr>
                <w:color w:val="000000" w:themeColor="text1"/>
                <w:highlight w:val="none"/>
                <w14:textFill>
                  <w14:solidFill>
                    <w14:schemeClr w14:val="tx1"/>
                  </w14:solidFill>
                </w14:textFill>
              </w:rPr>
            </w:pPr>
            <w:bookmarkStart w:id="35" w:name="_Toc16737"/>
            <w:bookmarkStart w:id="36" w:name="_Toc30532225"/>
            <w:bookmarkStart w:id="37" w:name="_Toc19371"/>
            <w:bookmarkStart w:id="38" w:name="_Toc322531286"/>
            <w:bookmarkStart w:id="39" w:name="_Toc22100"/>
            <w:bookmarkStart w:id="40" w:name="_Toc469994046"/>
            <w:bookmarkStart w:id="41" w:name="_Toc12733"/>
            <w:r>
              <w:rPr>
                <w:color w:val="000000" w:themeColor="text1"/>
                <w:highlight w:val="none"/>
                <w14:textFill>
                  <w14:solidFill>
                    <w14:schemeClr w14:val="tx1"/>
                  </w14:solidFill>
                </w14:textFill>
              </w:rPr>
              <w:t>3.4 电磁辐射质量现状</w:t>
            </w:r>
            <w:bookmarkEnd w:id="35"/>
            <w:bookmarkEnd w:id="36"/>
            <w:bookmarkEnd w:id="37"/>
            <w:bookmarkEnd w:id="38"/>
            <w:bookmarkEnd w:id="39"/>
            <w:bookmarkEnd w:id="40"/>
            <w:bookmarkEnd w:id="41"/>
          </w:p>
          <w:p w14:paraId="24AFC81A">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（1）监测时间和频率</w:t>
            </w:r>
          </w:p>
          <w:p w14:paraId="7C6FD5F3">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202</w:t>
            </w:r>
            <w:r>
              <w:rPr>
                <w:rFonts w:hint="eastAsia"/>
                <w:color w:val="000000" w:themeColor="text1"/>
                <w:highlight w:val="none"/>
                <w:lang w:val="en-US" w:eastAsia="zh-CN"/>
                <w14:textFill>
                  <w14:solidFill>
                    <w14:schemeClr w14:val="tx1"/>
                  </w14:solidFill>
                </w14:textFill>
              </w:rPr>
              <w:t>4</w:t>
            </w:r>
            <w:r>
              <w:rPr>
                <w:color w:val="000000" w:themeColor="text1"/>
                <w:highlight w:val="none"/>
                <w14:textFill>
                  <w14:solidFill>
                    <w14:schemeClr w14:val="tx1"/>
                  </w14:solidFill>
                </w14:textFill>
              </w:rPr>
              <w:t>年</w:t>
            </w:r>
            <w:r>
              <w:rPr>
                <w:rFonts w:hint="eastAsia"/>
                <w:color w:val="000000" w:themeColor="text1"/>
                <w:highlight w:val="none"/>
                <w:lang w:val="en-US" w:eastAsia="zh-CN"/>
                <w14:textFill>
                  <w14:solidFill>
                    <w14:schemeClr w14:val="tx1"/>
                  </w14:solidFill>
                </w14:textFill>
              </w:rPr>
              <w:t>1</w:t>
            </w:r>
            <w:r>
              <w:rPr>
                <w:color w:val="000000" w:themeColor="text1"/>
                <w:highlight w:val="none"/>
                <w14:textFill>
                  <w14:solidFill>
                    <w14:schemeClr w14:val="tx1"/>
                  </w14:solidFill>
                </w14:textFill>
              </w:rPr>
              <w:t>月</w:t>
            </w:r>
            <w:r>
              <w:rPr>
                <w:rFonts w:hint="eastAsia"/>
                <w:color w:val="000000" w:themeColor="text1"/>
                <w:highlight w:val="none"/>
                <w:lang w:val="en-US" w:eastAsia="zh-CN"/>
                <w14:textFill>
                  <w14:solidFill>
                    <w14:schemeClr w14:val="tx1"/>
                  </w14:solidFill>
                </w14:textFill>
              </w:rPr>
              <w:t>11</w:t>
            </w:r>
            <w:r>
              <w:rPr>
                <w:color w:val="000000" w:themeColor="text1"/>
                <w:highlight w:val="none"/>
                <w14:textFill>
                  <w14:solidFill>
                    <w14:schemeClr w14:val="tx1"/>
                  </w14:solidFill>
                </w14:textFill>
              </w:rPr>
              <w:t>日，</w:t>
            </w:r>
            <w:r>
              <w:rPr>
                <w:rFonts w:hint="eastAsia"/>
                <w:color w:val="000000" w:themeColor="text1"/>
                <w:highlight w:val="none"/>
                <w14:textFill>
                  <w14:solidFill>
                    <w14:schemeClr w14:val="tx1"/>
                  </w14:solidFill>
                </w14:textFill>
              </w:rPr>
              <w:t>湖南瑾杰环保科技有限公司</w:t>
            </w:r>
            <w:r>
              <w:rPr>
                <w:color w:val="000000" w:themeColor="text1"/>
                <w:highlight w:val="none"/>
                <w14:textFill>
                  <w14:solidFill>
                    <w14:schemeClr w14:val="tx1"/>
                  </w14:solidFill>
                </w14:textFill>
              </w:rPr>
              <w:t>对项目建设现场进行了勘查，并对场址及周边电磁环境质量现状进行现场监测。</w:t>
            </w:r>
          </w:p>
          <w:p w14:paraId="4189D433">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（2）监测方法和监测仪器</w:t>
            </w:r>
          </w:p>
          <w:p w14:paraId="1F1D7C56">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电磁环境现状监测按《交流输变电工程电磁环境监测方法》（HJ 681-2013）和《环境影响评价技术导则 输变电》（HJ24-2020）中相关规定执行。监测仪器采用工频场强仪</w:t>
            </w:r>
            <w:r>
              <w:rPr>
                <w:rFonts w:hint="eastAsia"/>
                <w:color w:val="000000" w:themeColor="text1"/>
                <w:highlight w:val="none"/>
                <w:lang w:val="en-US" w:eastAsia="zh-CN"/>
                <w14:textFill>
                  <w14:solidFill>
                    <w14:schemeClr w14:val="tx1"/>
                  </w14:solidFill>
                </w14:textFill>
              </w:rPr>
              <w:t>NBM-550/EHP-50F</w:t>
            </w:r>
            <w:r>
              <w:rPr>
                <w:color w:val="000000" w:themeColor="text1"/>
                <w:highlight w:val="none"/>
                <w14:textFill>
                  <w14:solidFill>
                    <w14:schemeClr w14:val="tx1"/>
                  </w14:solidFill>
                </w14:textFill>
              </w:rPr>
              <w:t>。上述设备均在有效检定期内。</w:t>
            </w:r>
          </w:p>
          <w:p w14:paraId="044199B5">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（3）监测结果</w:t>
            </w:r>
          </w:p>
          <w:p w14:paraId="23DB2860">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本次现状监测共布设4个测点，监测结果详见下表。</w:t>
            </w:r>
          </w:p>
          <w:p w14:paraId="043402F6">
            <w:pPr>
              <w:pStyle w:val="89"/>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表3</w:t>
            </w:r>
            <w:r>
              <w:rPr>
                <w:rFonts w:hint="eastAsia"/>
                <w:color w:val="000000" w:themeColor="text1"/>
                <w:highlight w:val="none"/>
                <w14:textFill>
                  <w14:solidFill>
                    <w14:schemeClr w14:val="tx1"/>
                  </w14:solidFill>
                </w14:textFill>
              </w:rPr>
              <w:t>.4</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14:textFill>
                  <w14:solidFill>
                    <w14:schemeClr w14:val="tx1"/>
                  </w14:solidFill>
                </w14:textFill>
              </w:rPr>
              <w:t xml:space="preserve"> </w:t>
            </w:r>
            <w:r>
              <w:rPr>
                <w:color w:val="000000" w:themeColor="text1"/>
                <w:highlight w:val="none"/>
                <w14:textFill>
                  <w14:solidFill>
                    <w14:schemeClr w14:val="tx1"/>
                  </w14:solidFill>
                </w14:textFill>
              </w:rPr>
              <w:t>工频电磁场现状监测结果表</w:t>
            </w:r>
          </w:p>
          <w:tbl>
            <w:tblPr>
              <w:tblStyle w:val="26"/>
              <w:tblW w:w="7576"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57" w:type="dxa"/>
                <w:bottom w:w="0" w:type="dxa"/>
                <w:right w:w="57" w:type="dxa"/>
              </w:tblCellMar>
            </w:tblPr>
            <w:tblGrid>
              <w:gridCol w:w="747"/>
              <w:gridCol w:w="2149"/>
              <w:gridCol w:w="2378"/>
              <w:gridCol w:w="2302"/>
            </w:tblGrid>
            <w:tr w14:paraId="6135D5F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97" w:hRule="atLeast"/>
                <w:jc w:val="center"/>
              </w:trPr>
              <w:tc>
                <w:tcPr>
                  <w:tcW w:w="747" w:type="dxa"/>
                  <w:vAlign w:val="center"/>
                </w:tcPr>
                <w:p w14:paraId="780EA8B7">
                  <w:pPr>
                    <w:pStyle w:val="63"/>
                    <w:spacing w:before="24" w:after="24"/>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序号</w:t>
                  </w:r>
                </w:p>
              </w:tc>
              <w:tc>
                <w:tcPr>
                  <w:tcW w:w="2149" w:type="dxa"/>
                  <w:vAlign w:val="center"/>
                </w:tcPr>
                <w:p w14:paraId="1C4E733B">
                  <w:pPr>
                    <w:pStyle w:val="63"/>
                    <w:spacing w:before="24" w:after="24"/>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监测位置</w:t>
                  </w:r>
                </w:p>
              </w:tc>
              <w:tc>
                <w:tcPr>
                  <w:tcW w:w="2378" w:type="dxa"/>
                  <w:vAlign w:val="center"/>
                </w:tcPr>
                <w:p w14:paraId="42E260DD">
                  <w:pPr>
                    <w:pStyle w:val="63"/>
                    <w:spacing w:before="24" w:after="24"/>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工频电场强度（V/m）</w:t>
                  </w:r>
                </w:p>
              </w:tc>
              <w:tc>
                <w:tcPr>
                  <w:tcW w:w="2302" w:type="dxa"/>
                  <w:vAlign w:val="center"/>
                </w:tcPr>
                <w:p w14:paraId="65D0EB4D">
                  <w:pPr>
                    <w:pStyle w:val="63"/>
                    <w:spacing w:before="24" w:after="24"/>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工频磁感应强度（μT）</w:t>
                  </w:r>
                </w:p>
              </w:tc>
            </w:tr>
            <w:tr w14:paraId="790E88A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747" w:type="dxa"/>
                  <w:vAlign w:val="center"/>
                </w:tcPr>
                <w:p w14:paraId="19F414FD">
                  <w:pPr>
                    <w:pStyle w:val="63"/>
                    <w:spacing w:before="24" w:after="24"/>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1</w:t>
                  </w:r>
                </w:p>
              </w:tc>
              <w:tc>
                <w:tcPr>
                  <w:tcW w:w="2149" w:type="dxa"/>
                  <w:vAlign w:val="center"/>
                </w:tcPr>
                <w:p w14:paraId="562B211B">
                  <w:pPr>
                    <w:pStyle w:val="63"/>
                    <w:spacing w:before="24" w:after="24"/>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升压站站址东面场界</w:t>
                  </w:r>
                </w:p>
              </w:tc>
              <w:tc>
                <w:tcPr>
                  <w:tcW w:w="2378" w:type="dxa"/>
                  <w:vAlign w:val="center"/>
                </w:tcPr>
                <w:p w14:paraId="6A29340D">
                  <w:pPr>
                    <w:pStyle w:val="63"/>
                    <w:spacing w:before="24" w:after="24"/>
                    <w:rPr>
                      <w:rFonts w:hint="default" w:ascii="Times New Roman" w:hAnsi="Times New Roman" w:cs="Times New Roman"/>
                      <w:color w:val="000000" w:themeColor="text1"/>
                      <w:sz w:val="21"/>
                      <w:lang w:val="en-US" w:eastAsia="zh-CN"/>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0.4</w:t>
                  </w:r>
                </w:p>
              </w:tc>
              <w:tc>
                <w:tcPr>
                  <w:tcW w:w="2302" w:type="dxa"/>
                  <w:vAlign w:val="center"/>
                </w:tcPr>
                <w:p w14:paraId="12A6EFF8">
                  <w:pPr>
                    <w:pStyle w:val="63"/>
                    <w:spacing w:before="24" w:after="24"/>
                    <w:rPr>
                      <w:rFonts w:hint="default" w:ascii="Times New Roman" w:hAnsi="Times New Roman" w:cs="Times New Roman"/>
                      <w:color w:val="000000" w:themeColor="text1"/>
                      <w:sz w:val="21"/>
                      <w:lang w:val="en-US" w:eastAsia="zh-CN"/>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0.004</w:t>
                  </w:r>
                </w:p>
              </w:tc>
            </w:tr>
            <w:tr w14:paraId="35CF414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747" w:type="dxa"/>
                  <w:vAlign w:val="center"/>
                </w:tcPr>
                <w:p w14:paraId="524F0832">
                  <w:pPr>
                    <w:pStyle w:val="63"/>
                    <w:spacing w:before="24" w:after="24"/>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2</w:t>
                  </w:r>
                </w:p>
              </w:tc>
              <w:tc>
                <w:tcPr>
                  <w:tcW w:w="2149" w:type="dxa"/>
                  <w:vAlign w:val="center"/>
                </w:tcPr>
                <w:p w14:paraId="74F4DF6E">
                  <w:pPr>
                    <w:pStyle w:val="63"/>
                    <w:spacing w:before="24" w:after="24"/>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升压站站址南面场界</w:t>
                  </w:r>
                </w:p>
              </w:tc>
              <w:tc>
                <w:tcPr>
                  <w:tcW w:w="2378" w:type="dxa"/>
                  <w:vAlign w:val="center"/>
                </w:tcPr>
                <w:p w14:paraId="6AD817B8">
                  <w:pPr>
                    <w:pStyle w:val="63"/>
                    <w:spacing w:before="24" w:after="24"/>
                    <w:rPr>
                      <w:rFonts w:hint="default" w:ascii="Times New Roman" w:hAnsi="Times New Roman" w:cs="Times New Roman"/>
                      <w:color w:val="000000" w:themeColor="text1"/>
                      <w:sz w:val="21"/>
                      <w:lang w:val="en-US" w:eastAsia="zh-CN"/>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0.3</w:t>
                  </w:r>
                </w:p>
              </w:tc>
              <w:tc>
                <w:tcPr>
                  <w:tcW w:w="2302" w:type="dxa"/>
                  <w:vAlign w:val="center"/>
                </w:tcPr>
                <w:p w14:paraId="0BDB7EAC">
                  <w:pPr>
                    <w:pStyle w:val="63"/>
                    <w:spacing w:before="24" w:after="24"/>
                    <w:rPr>
                      <w:rFonts w:hint="default" w:ascii="Times New Roman" w:hAnsi="Times New Roman" w:cs="Times New Roman"/>
                      <w:color w:val="000000" w:themeColor="text1"/>
                      <w:sz w:val="21"/>
                      <w:lang w:val="en-US" w:eastAsia="zh-CN"/>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0.005</w:t>
                  </w:r>
                </w:p>
              </w:tc>
            </w:tr>
            <w:tr w14:paraId="6EF9F40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747" w:type="dxa"/>
                  <w:vAlign w:val="center"/>
                </w:tcPr>
                <w:p w14:paraId="15E8D906">
                  <w:pPr>
                    <w:pStyle w:val="63"/>
                    <w:spacing w:before="24" w:after="24"/>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3</w:t>
                  </w:r>
                </w:p>
              </w:tc>
              <w:tc>
                <w:tcPr>
                  <w:tcW w:w="2149" w:type="dxa"/>
                  <w:vAlign w:val="center"/>
                </w:tcPr>
                <w:p w14:paraId="190A7094">
                  <w:pPr>
                    <w:pStyle w:val="63"/>
                    <w:spacing w:before="24" w:after="24"/>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升压站站址西面场界</w:t>
                  </w:r>
                </w:p>
              </w:tc>
              <w:tc>
                <w:tcPr>
                  <w:tcW w:w="2378" w:type="dxa"/>
                  <w:vAlign w:val="center"/>
                </w:tcPr>
                <w:p w14:paraId="38855BC1">
                  <w:pPr>
                    <w:pStyle w:val="63"/>
                    <w:spacing w:before="24" w:after="24"/>
                    <w:rPr>
                      <w:rFonts w:hint="default" w:ascii="Times New Roman" w:hAnsi="Times New Roman" w:cs="Times New Roman"/>
                      <w:color w:val="000000" w:themeColor="text1"/>
                      <w:sz w:val="21"/>
                      <w:lang w:val="en-US" w:eastAsia="zh-CN"/>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0.4</w:t>
                  </w:r>
                </w:p>
              </w:tc>
              <w:tc>
                <w:tcPr>
                  <w:tcW w:w="2302" w:type="dxa"/>
                  <w:vAlign w:val="center"/>
                </w:tcPr>
                <w:p w14:paraId="11590642">
                  <w:pPr>
                    <w:pStyle w:val="63"/>
                    <w:spacing w:before="24" w:after="24"/>
                    <w:rPr>
                      <w:rFonts w:hint="default" w:ascii="Times New Roman" w:hAnsi="Times New Roman" w:cs="Times New Roman"/>
                      <w:color w:val="000000" w:themeColor="text1"/>
                      <w:sz w:val="21"/>
                      <w:lang w:val="en-US" w:eastAsia="zh-CN"/>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0.004</w:t>
                  </w:r>
                </w:p>
              </w:tc>
            </w:tr>
            <w:tr w14:paraId="1A9E00E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747" w:type="dxa"/>
                  <w:vAlign w:val="center"/>
                </w:tcPr>
                <w:p w14:paraId="4C316402">
                  <w:pPr>
                    <w:pStyle w:val="63"/>
                    <w:spacing w:before="24" w:after="24"/>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4</w:t>
                  </w:r>
                </w:p>
              </w:tc>
              <w:tc>
                <w:tcPr>
                  <w:tcW w:w="2149" w:type="dxa"/>
                  <w:vAlign w:val="center"/>
                </w:tcPr>
                <w:p w14:paraId="70658976">
                  <w:pPr>
                    <w:pStyle w:val="63"/>
                    <w:spacing w:before="24" w:after="24"/>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升压站站址北面场界</w:t>
                  </w:r>
                </w:p>
              </w:tc>
              <w:tc>
                <w:tcPr>
                  <w:tcW w:w="2378" w:type="dxa"/>
                  <w:vAlign w:val="center"/>
                </w:tcPr>
                <w:p w14:paraId="75D8C9C0">
                  <w:pPr>
                    <w:pStyle w:val="63"/>
                    <w:spacing w:before="24" w:after="24"/>
                    <w:rPr>
                      <w:rFonts w:hint="default" w:ascii="Times New Roman" w:hAnsi="Times New Roman" w:cs="Times New Roman"/>
                      <w:color w:val="000000" w:themeColor="text1"/>
                      <w:sz w:val="21"/>
                      <w:lang w:val="en-US" w:eastAsia="zh-CN"/>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0.5</w:t>
                  </w:r>
                </w:p>
              </w:tc>
              <w:tc>
                <w:tcPr>
                  <w:tcW w:w="2302" w:type="dxa"/>
                  <w:vAlign w:val="center"/>
                </w:tcPr>
                <w:p w14:paraId="4F7D7095">
                  <w:pPr>
                    <w:pStyle w:val="63"/>
                    <w:spacing w:before="24" w:after="24"/>
                    <w:rPr>
                      <w:rFonts w:hint="default" w:ascii="Times New Roman" w:hAnsi="Times New Roman" w:cs="Times New Roman"/>
                      <w:color w:val="000000" w:themeColor="text1"/>
                      <w:sz w:val="21"/>
                      <w:lang w:val="en-US" w:eastAsia="zh-CN"/>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0.006</w:t>
                  </w:r>
                </w:p>
              </w:tc>
            </w:tr>
            <w:tr w14:paraId="79CAE72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747" w:type="dxa"/>
                  <w:vAlign w:val="center"/>
                </w:tcPr>
                <w:p w14:paraId="78805000">
                  <w:pPr>
                    <w:pStyle w:val="63"/>
                    <w:spacing w:before="24" w:after="24"/>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5</w:t>
                  </w:r>
                </w:p>
              </w:tc>
              <w:tc>
                <w:tcPr>
                  <w:tcW w:w="2149" w:type="dxa"/>
                  <w:vAlign w:val="center"/>
                </w:tcPr>
                <w:p w14:paraId="55E75B1F">
                  <w:pPr>
                    <w:pStyle w:val="63"/>
                    <w:spacing w:before="24" w:after="24"/>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评价标准</w:t>
                  </w:r>
                </w:p>
              </w:tc>
              <w:tc>
                <w:tcPr>
                  <w:tcW w:w="2378" w:type="dxa"/>
                  <w:vAlign w:val="center"/>
                </w:tcPr>
                <w:p w14:paraId="3C017C42">
                  <w:pPr>
                    <w:pStyle w:val="63"/>
                    <w:spacing w:before="24" w:after="24"/>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4000</w:t>
                  </w:r>
                </w:p>
              </w:tc>
              <w:tc>
                <w:tcPr>
                  <w:tcW w:w="2302" w:type="dxa"/>
                  <w:vAlign w:val="center"/>
                </w:tcPr>
                <w:p w14:paraId="4414229C">
                  <w:pPr>
                    <w:pStyle w:val="63"/>
                    <w:spacing w:before="24" w:after="24"/>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100</w:t>
                  </w:r>
                </w:p>
              </w:tc>
            </w:tr>
          </w:tbl>
          <w:p w14:paraId="223CB9A8">
            <w:pPr>
              <w:spacing w:before="120" w:beforeLines="50"/>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由上表可知，</w:t>
            </w:r>
            <w:bookmarkStart w:id="42" w:name="_Toc467060338"/>
            <w:r>
              <w:rPr>
                <w:color w:val="000000" w:themeColor="text1"/>
                <w:highlight w:val="none"/>
                <w14:textFill>
                  <w14:solidFill>
                    <w14:schemeClr w14:val="tx1"/>
                  </w14:solidFill>
                </w14:textFill>
              </w:rPr>
              <w:t>拟建升压站场址四周监测点均满足《电磁环境控制限值》（GB8702-2014）中频率为50Hz对应的工频电场强度4000V/m、工频磁感应强度100μT的限值标准要求。</w:t>
            </w:r>
          </w:p>
          <w:p w14:paraId="5F61B2F8">
            <w:pPr>
              <w:pStyle w:val="3"/>
              <w:numPr>
                <w:ilvl w:val="0"/>
                <w:numId w:val="0"/>
              </w:numPr>
              <w:tabs>
                <w:tab w:val="left" w:pos="425"/>
                <w:tab w:val="clear" w:pos="420"/>
              </w:tabs>
              <w:rPr>
                <w:color w:val="000000" w:themeColor="text1"/>
                <w:highlight w:val="none"/>
                <w14:textFill>
                  <w14:solidFill>
                    <w14:schemeClr w14:val="tx1"/>
                  </w14:solidFill>
                </w14:textFill>
              </w:rPr>
            </w:pPr>
            <w:bookmarkStart w:id="43" w:name="_Toc18755"/>
            <w:bookmarkStart w:id="44" w:name="_Toc30532226"/>
            <w:bookmarkStart w:id="45" w:name="_Toc21177"/>
            <w:r>
              <w:rPr>
                <w:color w:val="000000" w:themeColor="text1"/>
                <w:highlight w:val="none"/>
                <w14:textFill>
                  <w14:solidFill>
                    <w14:schemeClr w14:val="tx1"/>
                  </w14:solidFill>
                </w14:textFill>
              </w:rPr>
              <w:t>3.5 生态环境现状评价</w:t>
            </w:r>
            <w:bookmarkEnd w:id="42"/>
            <w:bookmarkEnd w:id="43"/>
            <w:bookmarkEnd w:id="44"/>
            <w:bookmarkEnd w:id="45"/>
          </w:p>
          <w:p w14:paraId="30F7999C">
            <w:pPr>
              <w:pStyle w:val="34"/>
              <w:rPr>
                <w:rFonts w:hint="eastAsia" w:ascii="Times New Roman" w:hAnsi="Times New Roman" w:cs="Times New Roman"/>
                <w:bCs/>
                <w:color w:val="000000" w:themeColor="text1"/>
                <w:sz w:val="24"/>
                <w:highlight w:val="none"/>
                <w:u w:val="none"/>
                <w14:textFill>
                  <w14:solidFill>
                    <w14:schemeClr w14:val="tx1"/>
                  </w14:solidFill>
                </w14:textFill>
              </w:rPr>
            </w:pPr>
            <w:r>
              <w:rPr>
                <w:rFonts w:hint="eastAsia" w:ascii="Times New Roman" w:hAnsi="Times New Roman" w:cs="Times New Roman"/>
                <w:bCs/>
                <w:color w:val="000000" w:themeColor="text1"/>
                <w:sz w:val="24"/>
                <w:highlight w:val="none"/>
                <w:u w:val="none"/>
                <w14:textFill>
                  <w14:solidFill>
                    <w14:schemeClr w14:val="tx1"/>
                  </w14:solidFill>
                </w14:textFill>
              </w:rPr>
              <w:t>工程所在区域植被较简单，以针叶林和灌草丛为主，施工区域无珍稀动、植物分布，也不在鸟类通道，生态敏感性为一般区域。按照《环境影响评价技术导则─生态影响》</w:t>
            </w:r>
            <w:r>
              <w:rPr>
                <w:rFonts w:hint="eastAsia" w:cs="Times New Roman"/>
                <w:bCs/>
                <w:color w:val="000000" w:themeColor="text1"/>
                <w:sz w:val="24"/>
                <w:highlight w:val="none"/>
                <w:u w:val="none"/>
                <w:lang w:eastAsia="zh-CN"/>
                <w14:textFill>
                  <w14:solidFill>
                    <w14:schemeClr w14:val="tx1"/>
                  </w14:solidFill>
                </w14:textFill>
              </w:rPr>
              <w:t>（</w:t>
            </w:r>
            <w:r>
              <w:rPr>
                <w:rFonts w:hint="eastAsia" w:ascii="Times New Roman" w:hAnsi="Times New Roman" w:cs="Times New Roman"/>
                <w:bCs/>
                <w:color w:val="000000" w:themeColor="text1"/>
                <w:sz w:val="24"/>
                <w:highlight w:val="none"/>
                <w:u w:val="none"/>
                <w14:textFill>
                  <w14:solidFill>
                    <w14:schemeClr w14:val="tx1"/>
                  </w14:solidFill>
                </w14:textFill>
              </w:rPr>
              <w:t>HJ 19-20</w:t>
            </w:r>
            <w:r>
              <w:rPr>
                <w:rFonts w:hint="eastAsia" w:cs="Times New Roman"/>
                <w:bCs/>
                <w:color w:val="000000" w:themeColor="text1"/>
                <w:sz w:val="24"/>
                <w:highlight w:val="none"/>
                <w:u w:val="none"/>
                <w:lang w:val="en-US" w:eastAsia="zh-CN"/>
                <w14:textFill>
                  <w14:solidFill>
                    <w14:schemeClr w14:val="tx1"/>
                  </w14:solidFill>
                </w14:textFill>
              </w:rPr>
              <w:t>22</w:t>
            </w:r>
            <w:r>
              <w:rPr>
                <w:rFonts w:hint="eastAsia" w:cs="Times New Roman"/>
                <w:bCs/>
                <w:color w:val="000000" w:themeColor="text1"/>
                <w:sz w:val="24"/>
                <w:highlight w:val="none"/>
                <w:u w:val="none"/>
                <w:lang w:eastAsia="zh-CN"/>
                <w14:textFill>
                  <w14:solidFill>
                    <w14:schemeClr w14:val="tx1"/>
                  </w14:solidFill>
                </w14:textFill>
              </w:rPr>
              <w:t>）</w:t>
            </w:r>
            <w:r>
              <w:rPr>
                <w:rFonts w:hint="eastAsia" w:ascii="Times New Roman" w:hAnsi="Times New Roman" w:cs="Times New Roman"/>
                <w:bCs/>
                <w:color w:val="000000" w:themeColor="text1"/>
                <w:sz w:val="24"/>
                <w:highlight w:val="none"/>
                <w:u w:val="none"/>
                <w14:textFill>
                  <w14:solidFill>
                    <w14:schemeClr w14:val="tx1"/>
                  </w14:solidFill>
                </w14:textFill>
              </w:rPr>
              <w:t>评价范围应依据评价项目对生态因子的影响方式、影响程度和生态因子之间的相互影响和相互依存关系确定。”经过实地现场踏勘，项目建设主要是在施工期对场内道路、风机平台施工时，会对周边的植物、动物栖息地造成直接影响，造成定量的植物量减少和动物生境的破坏；施工期产生的扬尘和噪声会对较远距离的植物和动物产生一定的影响，但影响范围在50m范围内。结合《湖南省风电场项目建设管理办法》第20条，“场址距离最近的建筑物原则上应不小于300米”，本次评价确定风机基础、施工道路区、施工生产区、弃渣场区占地区及周边300m范围区域内。</w:t>
            </w:r>
          </w:p>
          <w:p w14:paraId="45F2AABC">
            <w:pPr>
              <w:pStyle w:val="34"/>
              <w:rPr>
                <w:rFonts w:hint="eastAsia" w:ascii="Times New Roman" w:hAnsi="Times New Roman" w:eastAsia="宋体" w:cs="Times New Roman"/>
                <w:bCs/>
                <w:color w:val="000000" w:themeColor="text1"/>
                <w:sz w:val="24"/>
                <w:highlight w:val="none"/>
                <w:lang w:eastAsia="zh-CN"/>
                <w14:textFill>
                  <w14:solidFill>
                    <w14:schemeClr w14:val="tx1"/>
                  </w14:solidFill>
                </w14:textFill>
              </w:rPr>
            </w:pPr>
            <w:r>
              <w:rPr>
                <w:rFonts w:hint="eastAsia" w:ascii="Times New Roman" w:hAnsi="Times New Roman" w:cs="Times New Roman"/>
                <w:bCs/>
                <w:color w:val="000000" w:themeColor="text1"/>
                <w:sz w:val="24"/>
                <w:highlight w:val="none"/>
                <w14:textFill>
                  <w14:solidFill>
                    <w14:schemeClr w14:val="tx1"/>
                  </w14:solidFill>
                </w14:textFill>
              </w:rPr>
              <w:t>生态环境现状调查和评价</w:t>
            </w:r>
            <w:r>
              <w:rPr>
                <w:rFonts w:hint="eastAsia" w:cs="Times New Roman"/>
                <w:bCs/>
                <w:color w:val="000000" w:themeColor="text1"/>
                <w:sz w:val="24"/>
                <w:highlight w:val="none"/>
                <w:lang w:val="en-US" w:eastAsia="zh-CN"/>
                <w14:textFill>
                  <w14:solidFill>
                    <w14:schemeClr w14:val="tx1"/>
                  </w14:solidFill>
                </w14:textFill>
              </w:rPr>
              <w:t>如下</w:t>
            </w:r>
            <w:r>
              <w:rPr>
                <w:rFonts w:hint="eastAsia" w:cs="Times New Roman"/>
                <w:bCs/>
                <w:color w:val="000000" w:themeColor="text1"/>
                <w:sz w:val="24"/>
                <w:highlight w:val="none"/>
                <w:lang w:eastAsia="zh-CN"/>
                <w14:textFill>
                  <w14:solidFill>
                    <w14:schemeClr w14:val="tx1"/>
                  </w14:solidFill>
                </w14:textFill>
              </w:rPr>
              <w:t>：</w:t>
            </w:r>
          </w:p>
          <w:p w14:paraId="25E22828">
            <w:pPr>
              <w:pStyle w:val="34"/>
              <w:jc w:val="both"/>
              <w:rPr>
                <w:rFonts w:hint="eastAsia" w:ascii="Times New Roman" w:hAnsi="Times New Roman" w:cs="Times New Roman"/>
                <w:bCs/>
                <w:color w:val="000000" w:themeColor="text1"/>
                <w:sz w:val="24"/>
                <w:highlight w:val="none"/>
                <w14:textFill>
                  <w14:solidFill>
                    <w14:schemeClr w14:val="tx1"/>
                  </w14:solidFill>
                </w14:textFill>
              </w:rPr>
            </w:pPr>
            <w:r>
              <w:rPr>
                <w:rFonts w:hint="eastAsia" w:ascii="Times New Roman" w:hAnsi="Times New Roman" w:cs="Times New Roman"/>
                <w:bCs/>
                <w:color w:val="000000" w:themeColor="text1"/>
                <w:sz w:val="24"/>
                <w:highlight w:val="none"/>
                <w14:textFill>
                  <w14:solidFill>
                    <w14:schemeClr w14:val="tx1"/>
                  </w14:solidFill>
                </w14:textFill>
              </w:rPr>
              <w:t>①拟建</w:t>
            </w:r>
            <w:r>
              <w:rPr>
                <w:rFonts w:hint="eastAsia" w:cs="Times New Roman"/>
                <w:bCs/>
                <w:color w:val="000000" w:themeColor="text1"/>
                <w:sz w:val="24"/>
                <w:highlight w:val="none"/>
                <w:lang w:val="en-US" w:eastAsia="zh-CN"/>
                <w14:textFill>
                  <w14:solidFill>
                    <w14:schemeClr w14:val="tx1"/>
                  </w14:solidFill>
                </w14:textFill>
              </w:rPr>
              <w:t>太平山</w:t>
            </w:r>
            <w:r>
              <w:rPr>
                <w:rFonts w:hint="eastAsia" w:ascii="Times New Roman" w:hAnsi="Times New Roman" w:cs="Times New Roman"/>
                <w:bCs/>
                <w:color w:val="000000" w:themeColor="text1"/>
                <w:sz w:val="24"/>
                <w:highlight w:val="none"/>
                <w14:textFill>
                  <w14:solidFill>
                    <w14:schemeClr w14:val="tx1"/>
                  </w14:solidFill>
                </w14:textFill>
              </w:rPr>
              <w:t>风电场位于怀化市</w:t>
            </w:r>
            <w:r>
              <w:rPr>
                <w:rFonts w:hint="eastAsia" w:cs="Times New Roman"/>
                <w:bCs/>
                <w:color w:val="000000" w:themeColor="text1"/>
                <w:sz w:val="24"/>
                <w:highlight w:val="none"/>
                <w:lang w:val="en-US" w:eastAsia="zh-CN"/>
                <w14:textFill>
                  <w14:solidFill>
                    <w14:schemeClr w14:val="tx1"/>
                  </w14:solidFill>
                </w14:textFill>
              </w:rPr>
              <w:t>通道县</w:t>
            </w:r>
            <w:r>
              <w:rPr>
                <w:rFonts w:hint="eastAsia" w:ascii="Times New Roman" w:hAnsi="Times New Roman" w:cs="Times New Roman"/>
                <w:bCs/>
                <w:color w:val="000000" w:themeColor="text1"/>
                <w:sz w:val="24"/>
                <w:highlight w:val="none"/>
                <w14:textFill>
                  <w14:solidFill>
                    <w14:schemeClr w14:val="tx1"/>
                  </w14:solidFill>
                </w14:textFill>
              </w:rPr>
              <w:t>境内，场区为低中山</w:t>
            </w:r>
            <w:r>
              <w:rPr>
                <w:rFonts w:hint="eastAsia" w:cs="Times New Roman"/>
                <w:bCs/>
                <w:color w:val="000000" w:themeColor="text1"/>
                <w:sz w:val="24"/>
                <w:highlight w:val="none"/>
                <w:lang w:val="en-US" w:eastAsia="zh-CN"/>
                <w14:textFill>
                  <w14:solidFill>
                    <w14:schemeClr w14:val="tx1"/>
                  </w14:solidFill>
                </w14:textFill>
              </w:rPr>
              <w:t>区</w:t>
            </w:r>
            <w:r>
              <w:rPr>
                <w:rFonts w:hint="eastAsia" w:ascii="Times New Roman" w:hAnsi="Times New Roman" w:cs="Times New Roman"/>
                <w:bCs/>
                <w:color w:val="000000" w:themeColor="text1"/>
                <w:sz w:val="24"/>
                <w:highlight w:val="none"/>
                <w14:textFill>
                  <w14:solidFill>
                    <w14:schemeClr w14:val="tx1"/>
                  </w14:solidFill>
                </w14:textFill>
              </w:rPr>
              <w:t>，场区地面高程在</w:t>
            </w:r>
            <w:r>
              <w:rPr>
                <w:rFonts w:hint="eastAsia" w:cs="Times New Roman"/>
                <w:bCs/>
                <w:color w:val="000000" w:themeColor="text1"/>
                <w:sz w:val="24"/>
                <w:highlight w:val="none"/>
                <w:lang w:val="en-US" w:eastAsia="zh-CN"/>
                <w14:textFill>
                  <w14:solidFill>
                    <w14:schemeClr w14:val="tx1"/>
                  </w14:solidFill>
                </w14:textFill>
              </w:rPr>
              <w:t>550</w:t>
            </w:r>
            <w:r>
              <w:rPr>
                <w:rFonts w:hint="eastAsia" w:ascii="Times New Roman" w:hAnsi="Times New Roman" w:cs="Times New Roman"/>
                <w:bCs/>
                <w:color w:val="000000" w:themeColor="text1"/>
                <w:sz w:val="24"/>
                <w:highlight w:val="none"/>
                <w14:textFill>
                  <w14:solidFill>
                    <w14:schemeClr w14:val="tx1"/>
                  </w14:solidFill>
                </w14:textFill>
              </w:rPr>
              <w:t>m～</w:t>
            </w:r>
            <w:r>
              <w:rPr>
                <w:rFonts w:hint="eastAsia" w:cs="Times New Roman"/>
                <w:bCs/>
                <w:color w:val="000000" w:themeColor="text1"/>
                <w:sz w:val="24"/>
                <w:highlight w:val="none"/>
                <w:lang w:val="en-US" w:eastAsia="zh-CN"/>
                <w14:textFill>
                  <w14:solidFill>
                    <w14:schemeClr w14:val="tx1"/>
                  </w14:solidFill>
                </w14:textFill>
              </w:rPr>
              <w:t>700</w:t>
            </w:r>
            <w:r>
              <w:rPr>
                <w:rFonts w:hint="eastAsia" w:ascii="Times New Roman" w:hAnsi="Times New Roman" w:cs="Times New Roman"/>
                <w:bCs/>
                <w:color w:val="000000" w:themeColor="text1"/>
                <w:sz w:val="24"/>
                <w:highlight w:val="none"/>
                <w14:textFill>
                  <w14:solidFill>
                    <w14:schemeClr w14:val="tx1"/>
                  </w14:solidFill>
                </w14:textFill>
              </w:rPr>
              <w:t>m之间。风电场区域属于亚热带季风湿润气候区，平均气温1</w:t>
            </w:r>
            <w:r>
              <w:rPr>
                <w:rFonts w:hint="eastAsia" w:cs="Times New Roman"/>
                <w:bCs/>
                <w:color w:val="000000" w:themeColor="text1"/>
                <w:sz w:val="24"/>
                <w:highlight w:val="none"/>
                <w:lang w:val="en-US" w:eastAsia="zh-CN"/>
                <w14:textFill>
                  <w14:solidFill>
                    <w14:schemeClr w14:val="tx1"/>
                  </w14:solidFill>
                </w14:textFill>
              </w:rPr>
              <w:t>7.5</w:t>
            </w:r>
            <w:r>
              <w:rPr>
                <w:rFonts w:hint="eastAsia" w:ascii="Times New Roman" w:hAnsi="Times New Roman" w:cs="Times New Roman"/>
                <w:bCs/>
                <w:color w:val="000000" w:themeColor="text1"/>
                <w:sz w:val="24"/>
                <w:highlight w:val="none"/>
                <w14:textFill>
                  <w14:solidFill>
                    <w14:schemeClr w14:val="tx1"/>
                  </w14:solidFill>
                </w14:textFill>
              </w:rPr>
              <w:t>℃，平均降水量1</w:t>
            </w:r>
            <w:r>
              <w:rPr>
                <w:rFonts w:hint="eastAsia" w:cs="Times New Roman"/>
                <w:bCs/>
                <w:color w:val="000000" w:themeColor="text1"/>
                <w:sz w:val="24"/>
                <w:highlight w:val="none"/>
                <w:lang w:val="en-US" w:eastAsia="zh-CN"/>
                <w14:textFill>
                  <w14:solidFill>
                    <w14:schemeClr w14:val="tx1"/>
                  </w14:solidFill>
                </w14:textFill>
              </w:rPr>
              <w:t>333.9</w:t>
            </w:r>
            <w:r>
              <w:rPr>
                <w:rFonts w:hint="eastAsia" w:ascii="Times New Roman" w:hAnsi="Times New Roman" w:cs="Times New Roman"/>
                <w:bCs/>
                <w:color w:val="000000" w:themeColor="text1"/>
                <w:sz w:val="24"/>
                <w:highlight w:val="none"/>
                <w14:textFill>
                  <w14:solidFill>
                    <w14:schemeClr w14:val="tx1"/>
                  </w14:solidFill>
                </w14:textFill>
              </w:rPr>
              <w:t>mm。土壤主要有红壤、黄壤。</w:t>
            </w:r>
          </w:p>
          <w:p w14:paraId="5879499C">
            <w:pPr>
              <w:pStyle w:val="34"/>
              <w:rPr>
                <w:rFonts w:hint="eastAsia" w:ascii="Times New Roman" w:hAnsi="Times New Roman" w:cs="Times New Roman"/>
                <w:bCs/>
                <w:color w:val="000000" w:themeColor="text1"/>
                <w:sz w:val="24"/>
                <w:highlight w:val="none"/>
                <w14:textFill>
                  <w14:solidFill>
                    <w14:schemeClr w14:val="tx1"/>
                  </w14:solidFill>
                </w14:textFill>
              </w:rPr>
            </w:pPr>
            <w:r>
              <w:rPr>
                <w:rFonts w:hint="eastAsia" w:ascii="Times New Roman" w:hAnsi="Times New Roman" w:cs="Times New Roman"/>
                <w:bCs/>
                <w:color w:val="000000" w:themeColor="text1"/>
                <w:sz w:val="24"/>
                <w:highlight w:val="none"/>
                <w14:textFill>
                  <w14:solidFill>
                    <w14:schemeClr w14:val="tx1"/>
                  </w14:solidFill>
                </w14:textFill>
              </w:rPr>
              <w:t>②拟建风电场生态评价区域属于自然景观生态系统，主要由林地和灌草地的生态系统相间组成，景观异质化程度低，生态景观质量较差。</w:t>
            </w:r>
          </w:p>
          <w:p w14:paraId="7FB46133">
            <w:pPr>
              <w:pStyle w:val="34"/>
              <w:jc w:val="both"/>
              <w:rPr>
                <w:rFonts w:hint="eastAsia" w:ascii="Times New Roman" w:hAnsi="Times New Roman" w:cs="Times New Roman"/>
                <w:bCs/>
                <w:color w:val="000000" w:themeColor="text1"/>
                <w:sz w:val="24"/>
                <w:highlight w:val="none"/>
                <w14:textFill>
                  <w14:solidFill>
                    <w14:schemeClr w14:val="tx1"/>
                  </w14:solidFill>
                </w14:textFill>
              </w:rPr>
            </w:pPr>
            <w:r>
              <w:rPr>
                <w:rFonts w:hint="eastAsia" w:ascii="Times New Roman" w:hAnsi="Times New Roman" w:cs="Times New Roman"/>
                <w:bCs/>
                <w:color w:val="000000" w:themeColor="text1"/>
                <w:sz w:val="24"/>
                <w:highlight w:val="none"/>
                <w14:textFill>
                  <w14:solidFill>
                    <w14:schemeClr w14:val="tx1"/>
                  </w14:solidFill>
                </w14:textFill>
              </w:rPr>
              <w:t>③根据《中国植被》确定的植物群落学——生态学分类原则，我们采用植被型组、植被型、群系等基本单位，将评价区常见自然植被划为</w:t>
            </w:r>
            <w:r>
              <w:rPr>
                <w:rFonts w:hint="eastAsia" w:cs="Times New Roman"/>
                <w:bCs/>
                <w:color w:val="000000" w:themeColor="text1"/>
                <w:sz w:val="24"/>
                <w:highlight w:val="none"/>
                <w:lang w:val="en-US" w:eastAsia="zh-CN"/>
                <w14:textFill>
                  <w14:solidFill>
                    <w14:schemeClr w14:val="tx1"/>
                  </w14:solidFill>
                </w14:textFill>
              </w:rPr>
              <w:t>4</w:t>
            </w:r>
            <w:r>
              <w:rPr>
                <w:rFonts w:hint="eastAsia" w:ascii="Times New Roman" w:hAnsi="Times New Roman" w:cs="Times New Roman"/>
                <w:bCs/>
                <w:color w:val="000000" w:themeColor="text1"/>
                <w:sz w:val="24"/>
                <w:highlight w:val="none"/>
                <w14:textFill>
                  <w14:solidFill>
                    <w14:schemeClr w14:val="tx1"/>
                  </w14:solidFill>
                </w14:textFill>
              </w:rPr>
              <w:t>个植被型组、</w:t>
            </w:r>
            <w:r>
              <w:rPr>
                <w:rFonts w:hint="eastAsia" w:cs="Times New Roman"/>
                <w:bCs/>
                <w:color w:val="000000" w:themeColor="text1"/>
                <w:sz w:val="24"/>
                <w:highlight w:val="none"/>
                <w:lang w:val="en-US" w:eastAsia="zh-CN"/>
                <w14:textFill>
                  <w14:solidFill>
                    <w14:schemeClr w14:val="tx1"/>
                  </w14:solidFill>
                </w14:textFill>
              </w:rPr>
              <w:t>6</w:t>
            </w:r>
            <w:r>
              <w:rPr>
                <w:rFonts w:hint="eastAsia" w:ascii="Times New Roman" w:hAnsi="Times New Roman" w:cs="Times New Roman"/>
                <w:bCs/>
                <w:color w:val="000000" w:themeColor="text1"/>
                <w:sz w:val="24"/>
                <w:highlight w:val="none"/>
                <w14:textFill>
                  <w14:solidFill>
                    <w14:schemeClr w14:val="tx1"/>
                  </w14:solidFill>
                </w14:textFill>
              </w:rPr>
              <w:t>个植被型、</w:t>
            </w:r>
            <w:r>
              <w:rPr>
                <w:rFonts w:hint="eastAsia" w:cs="Times New Roman"/>
                <w:bCs/>
                <w:color w:val="000000" w:themeColor="text1"/>
                <w:sz w:val="24"/>
                <w:highlight w:val="none"/>
                <w:lang w:val="en-US" w:eastAsia="zh-CN"/>
                <w14:textFill>
                  <w14:solidFill>
                    <w14:schemeClr w14:val="tx1"/>
                  </w14:solidFill>
                </w14:textFill>
              </w:rPr>
              <w:t>12</w:t>
            </w:r>
            <w:r>
              <w:rPr>
                <w:rFonts w:hint="eastAsia" w:ascii="Times New Roman" w:hAnsi="Times New Roman" w:cs="Times New Roman"/>
                <w:bCs/>
                <w:color w:val="000000" w:themeColor="text1"/>
                <w:sz w:val="24"/>
                <w:highlight w:val="none"/>
                <w14:textFill>
                  <w14:solidFill>
                    <w14:schemeClr w14:val="tx1"/>
                  </w14:solidFill>
                </w14:textFill>
              </w:rPr>
              <w:t>个群系。评价区现状植被以针阔混交林和阔叶林为主，针叶林较多。</w:t>
            </w:r>
          </w:p>
          <w:p w14:paraId="0E62F7EC">
            <w:pPr>
              <w:keepNext w:val="0"/>
              <w:keepLines w:val="0"/>
              <w:widowControl/>
              <w:suppressLineNumbers w:val="0"/>
              <w:ind w:firstLine="480" w:firstLineChars="200"/>
              <w:jc w:val="left"/>
              <w:rPr>
                <w:rFonts w:hint="eastAsia" w:ascii="Times New Roman" w:hAnsi="Times New Roman" w:eastAsia="宋体" w:cs="Times New Roman"/>
                <w:bCs/>
                <w:color w:val="000000" w:themeColor="text1"/>
                <w:kern w:val="0"/>
                <w:sz w:val="24"/>
                <w:szCs w:val="22"/>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0"/>
                <w:sz w:val="24"/>
                <w:szCs w:val="22"/>
                <w:highlight w:val="none"/>
                <w:lang w:val="en-US" w:eastAsia="zh-CN" w:bidi="ar-SA"/>
                <w14:textFill>
                  <w14:solidFill>
                    <w14:schemeClr w14:val="tx1"/>
                  </w14:solidFill>
                </w14:textFill>
              </w:rPr>
              <w:t>④拟建风电场生态评价评价区维管植物共有维管植物共有60科207属346种，其中蕨类植物8科7属11种，裸子植物4科5属5种，被子植物48科195属330种。</w:t>
            </w:r>
          </w:p>
          <w:p w14:paraId="18C95AE5">
            <w:pPr>
              <w:keepNext w:val="0"/>
              <w:keepLines w:val="0"/>
              <w:widowControl/>
              <w:suppressLineNumbers w:val="0"/>
              <w:ind w:firstLine="480" w:firstLineChars="200"/>
              <w:jc w:val="left"/>
              <w:rPr>
                <w:rFonts w:hint="eastAsia" w:ascii="Times New Roman" w:hAnsi="Times New Roman" w:eastAsia="宋体" w:cs="Times New Roman"/>
                <w:bCs/>
                <w:color w:val="000000" w:themeColor="text1"/>
                <w:kern w:val="0"/>
                <w:sz w:val="24"/>
                <w:szCs w:val="22"/>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0"/>
                <w:sz w:val="24"/>
                <w:szCs w:val="22"/>
                <w:highlight w:val="none"/>
                <w:lang w:val="en-US" w:eastAsia="zh-CN" w:bidi="ar-SA"/>
                <w14:textFill>
                  <w14:solidFill>
                    <w14:schemeClr w14:val="tx1"/>
                  </w14:solidFill>
                </w14:textFill>
              </w:rPr>
              <w:t>⑤根据相关资料，结合现场踏勘，评价范围内未发现古树。在评价区</w:t>
            </w:r>
            <w:r>
              <w:rPr>
                <w:rFonts w:hint="eastAsia" w:cs="Times New Roman"/>
                <w:bCs/>
                <w:color w:val="000000" w:themeColor="text1"/>
                <w:kern w:val="0"/>
                <w:sz w:val="24"/>
                <w:szCs w:val="22"/>
                <w:highlight w:val="none"/>
                <w:lang w:val="en-US" w:eastAsia="zh-CN" w:bidi="ar-SA"/>
                <w14:textFill>
                  <w14:solidFill>
                    <w14:schemeClr w14:val="tx1"/>
                  </w14:solidFill>
                </w14:textFill>
              </w:rPr>
              <w:t>未</w:t>
            </w:r>
            <w:r>
              <w:rPr>
                <w:rFonts w:hint="eastAsia" w:ascii="Times New Roman" w:hAnsi="Times New Roman" w:eastAsia="宋体" w:cs="Times New Roman"/>
                <w:bCs/>
                <w:color w:val="000000" w:themeColor="text1"/>
                <w:kern w:val="0"/>
                <w:sz w:val="24"/>
                <w:szCs w:val="22"/>
                <w:highlight w:val="none"/>
                <w:lang w:val="en-US" w:eastAsia="zh-CN" w:bidi="ar-SA"/>
                <w14:textFill>
                  <w14:solidFill>
                    <w14:schemeClr w14:val="tx1"/>
                  </w14:solidFill>
                </w14:textFill>
              </w:rPr>
              <w:t>发现有外来入侵种。</w:t>
            </w:r>
          </w:p>
          <w:p w14:paraId="3CCD6DE4">
            <w:pPr>
              <w:pStyle w:val="10"/>
              <w:spacing w:line="360" w:lineRule="auto"/>
              <w:ind w:firstLine="480" w:firstLineChars="200"/>
              <w:rPr>
                <w:rFonts w:hint="eastAsia" w:ascii="Times New Roman" w:hAnsi="Times New Roman" w:eastAsia="宋体" w:cs="Times New Roman"/>
                <w:bCs/>
                <w:color w:val="000000" w:themeColor="text1"/>
                <w:kern w:val="0"/>
                <w:sz w:val="24"/>
                <w:szCs w:val="22"/>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0"/>
                <w:sz w:val="24"/>
                <w:szCs w:val="22"/>
                <w:highlight w:val="none"/>
                <w:lang w:val="en-US" w:eastAsia="zh-CN" w:bidi="ar-SA"/>
                <w14:textFill>
                  <w14:solidFill>
                    <w14:schemeClr w14:val="tx1"/>
                  </w14:solidFill>
                </w14:textFill>
              </w:rPr>
              <w:t>⑥评价区野生动物共有16目35科63种（两栖类1目6科8种、爬行类2目6科10种、鸟类8目15科30种、兽类6目8科15种），其中国家重点保护动物共有2种，均为国家Ⅱ级保护种，包括苍鹰（Accipiter gentilis）、雀鹰（Accipiter nisus）。</w:t>
            </w:r>
          </w:p>
          <w:p w14:paraId="503EAB3A">
            <w:pPr>
              <w:pStyle w:val="3"/>
              <w:rPr>
                <w:color w:val="000000" w:themeColor="text1"/>
                <w:highlight w:val="none"/>
                <w:u w:val="none"/>
                <w14:textFill>
                  <w14:solidFill>
                    <w14:schemeClr w14:val="tx1"/>
                  </w14:solidFill>
                </w14:textFill>
              </w:rPr>
            </w:pPr>
            <w:bookmarkStart w:id="46" w:name="_Toc119425251"/>
            <w:bookmarkStart w:id="47" w:name="_Toc13637_WPSOffice_Level2"/>
            <w:bookmarkStart w:id="48" w:name="_Toc20729_WPSOffice_Level2"/>
            <w:bookmarkStart w:id="49" w:name="_Toc12593"/>
            <w:r>
              <w:rPr>
                <w:color w:val="000000" w:themeColor="text1"/>
                <w:highlight w:val="none"/>
                <w:u w:val="none"/>
                <w14:textFill>
                  <w14:solidFill>
                    <w14:schemeClr w14:val="tx1"/>
                  </w14:solidFill>
                </w14:textFill>
              </w:rPr>
              <w:t>评价因子筛选及评价重点</w:t>
            </w:r>
            <w:bookmarkEnd w:id="46"/>
            <w:bookmarkEnd w:id="47"/>
            <w:bookmarkEnd w:id="48"/>
            <w:bookmarkEnd w:id="49"/>
          </w:p>
          <w:p w14:paraId="1A628E56">
            <w:pPr>
              <w:ind w:firstLine="480"/>
              <w:rPr>
                <w:color w:val="000000" w:themeColor="text1"/>
                <w:highlight w:val="none"/>
                <w:u w:val="none"/>
                <w14:textFill>
                  <w14:solidFill>
                    <w14:schemeClr w14:val="tx1"/>
                  </w14:solidFill>
                </w14:textFill>
              </w:rPr>
            </w:pPr>
            <w:r>
              <w:rPr>
                <w:rFonts w:hint="eastAsia"/>
                <w:color w:val="000000" w:themeColor="text1"/>
                <w:highlight w:val="none"/>
                <w:u w:val="none"/>
                <w14:textFill>
                  <w14:solidFill>
                    <w14:schemeClr w14:val="tx1"/>
                  </w14:solidFill>
                </w14:textFill>
              </w:rPr>
              <w:t>本工程主要包括风电机组区、升压站区、风电场道路及集电线路区、弃渣场区、临时施工生产生活区等。根据工程特点，工程施工及运行会对评价区生态产生一定影响。</w:t>
            </w:r>
            <w:r>
              <w:rPr>
                <w:color w:val="000000" w:themeColor="text1"/>
                <w:highlight w:val="none"/>
                <w:u w:val="none"/>
                <w14:textFill>
                  <w14:solidFill>
                    <w14:schemeClr w14:val="tx1"/>
                  </w14:solidFill>
                </w14:textFill>
              </w:rPr>
              <w:t>生态影响评价因子筛选表见表</w:t>
            </w:r>
            <w:r>
              <w:rPr>
                <w:rFonts w:hint="eastAsia"/>
                <w:color w:val="000000" w:themeColor="text1"/>
                <w:highlight w:val="none"/>
                <w:u w:val="none"/>
                <w14:textFill>
                  <w14:solidFill>
                    <w14:schemeClr w14:val="tx1"/>
                  </w14:solidFill>
                </w14:textFill>
              </w:rPr>
              <w:t>3.5-1</w:t>
            </w:r>
            <w:r>
              <w:rPr>
                <w:color w:val="000000" w:themeColor="text1"/>
                <w:highlight w:val="none"/>
                <w:u w:val="none"/>
                <w14:textFill>
                  <w14:solidFill>
                    <w14:schemeClr w14:val="tx1"/>
                  </w14:solidFill>
                </w14:textFill>
              </w:rPr>
              <w:t>。</w:t>
            </w:r>
          </w:p>
          <w:p w14:paraId="4F236B60">
            <w:pPr>
              <w:pStyle w:val="89"/>
              <w:rPr>
                <w:color w:val="000000" w:themeColor="text1"/>
                <w:highlight w:val="none"/>
                <w:u w:val="none"/>
                <w14:textFill>
                  <w14:solidFill>
                    <w14:schemeClr w14:val="tx1"/>
                  </w14:solidFill>
                </w14:textFill>
              </w:rPr>
            </w:pPr>
            <w:r>
              <w:rPr>
                <w:color w:val="000000" w:themeColor="text1"/>
                <w:highlight w:val="none"/>
                <w:u w:val="none"/>
                <w14:textFill>
                  <w14:solidFill>
                    <w14:schemeClr w14:val="tx1"/>
                  </w14:solidFill>
                </w14:textFill>
              </w:rPr>
              <w:t>表</w:t>
            </w:r>
            <w:r>
              <w:rPr>
                <w:rFonts w:hint="eastAsia"/>
                <w:color w:val="000000" w:themeColor="text1"/>
                <w:highlight w:val="none"/>
                <w:u w:val="none"/>
                <w14:textFill>
                  <w14:solidFill>
                    <w14:schemeClr w14:val="tx1"/>
                  </w14:solidFill>
                </w14:textFill>
              </w:rPr>
              <w:t>3.5-1</w:t>
            </w:r>
            <w:r>
              <w:rPr>
                <w:color w:val="000000" w:themeColor="text1"/>
                <w:highlight w:val="none"/>
                <w:u w:val="none"/>
                <w14:textFill>
                  <w14:solidFill>
                    <w14:schemeClr w14:val="tx1"/>
                  </w14:solidFill>
                </w14:textFill>
              </w:rPr>
              <w:t>生态影响评价因子筛选表</w:t>
            </w:r>
          </w:p>
          <w:tbl>
            <w:tblPr>
              <w:tblStyle w:val="26"/>
              <w:tblW w:w="75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7"/>
              <w:gridCol w:w="1761"/>
              <w:gridCol w:w="3101"/>
              <w:gridCol w:w="1441"/>
              <w:gridCol w:w="608"/>
            </w:tblGrid>
            <w:tr w14:paraId="5D540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7" w:type="dxa"/>
                  <w:shd w:val="clear" w:color="auto" w:fill="auto"/>
                  <w:vAlign w:val="center"/>
                </w:tcPr>
                <w:p w14:paraId="09726D9B">
                  <w:pPr>
                    <w:pStyle w:val="107"/>
                    <w:spacing w:line="240" w:lineRule="auto"/>
                    <w:ind w:firstLine="0"/>
                    <w:jc w:val="center"/>
                    <w:rPr>
                      <w:rFonts w:ascii="Times New Roman" w:hAnsi="Times New Roman"/>
                      <w:b/>
                      <w:color w:val="000000" w:themeColor="text1"/>
                      <w:sz w:val="21"/>
                      <w:szCs w:val="21"/>
                      <w:highlight w:val="none"/>
                      <w:u w:val="none"/>
                      <w14:textFill>
                        <w14:solidFill>
                          <w14:schemeClr w14:val="tx1"/>
                        </w14:solidFill>
                      </w14:textFill>
                    </w:rPr>
                  </w:pPr>
                  <w:bookmarkStart w:id="50" w:name="_Toc20384_WPSOffice_Level2"/>
                  <w:bookmarkStart w:id="51" w:name="_Toc119425253"/>
                  <w:bookmarkStart w:id="52" w:name="_Toc17281_WPSOffice_Level2"/>
                  <w:bookmarkStart w:id="53" w:name="_Toc4109"/>
                  <w:bookmarkStart w:id="54" w:name="_Hlk29986382"/>
                  <w:bookmarkStart w:id="55" w:name="_Hlk29986315"/>
                  <w:r>
                    <w:rPr>
                      <w:rFonts w:ascii="Times New Roman" w:hAnsi="Times New Roman"/>
                      <w:b/>
                      <w:color w:val="000000" w:themeColor="text1"/>
                      <w:sz w:val="21"/>
                      <w:szCs w:val="21"/>
                      <w:highlight w:val="none"/>
                      <w:u w:val="none"/>
                      <w14:textFill>
                        <w14:solidFill>
                          <w14:schemeClr w14:val="tx1"/>
                        </w14:solidFill>
                      </w14:textFill>
                    </w:rPr>
                    <w:t>受影响对象</w:t>
                  </w:r>
                </w:p>
              </w:tc>
              <w:tc>
                <w:tcPr>
                  <w:tcW w:w="1761" w:type="dxa"/>
                  <w:shd w:val="clear" w:color="auto" w:fill="auto"/>
                  <w:vAlign w:val="center"/>
                </w:tcPr>
                <w:p w14:paraId="7062BAA5">
                  <w:pPr>
                    <w:pStyle w:val="107"/>
                    <w:spacing w:line="240" w:lineRule="auto"/>
                    <w:ind w:firstLine="0"/>
                    <w:jc w:val="center"/>
                    <w:rPr>
                      <w:rFonts w:ascii="Times New Roman" w:hAnsi="Times New Roman"/>
                      <w:b/>
                      <w:color w:val="000000" w:themeColor="text1"/>
                      <w:sz w:val="21"/>
                      <w:szCs w:val="21"/>
                      <w:highlight w:val="none"/>
                      <w:u w:val="none"/>
                      <w14:textFill>
                        <w14:solidFill>
                          <w14:schemeClr w14:val="tx1"/>
                        </w14:solidFill>
                      </w14:textFill>
                    </w:rPr>
                  </w:pPr>
                  <w:r>
                    <w:rPr>
                      <w:rFonts w:ascii="Times New Roman" w:hAnsi="Times New Roman"/>
                      <w:b/>
                      <w:color w:val="000000" w:themeColor="text1"/>
                      <w:sz w:val="21"/>
                      <w:szCs w:val="21"/>
                      <w:highlight w:val="none"/>
                      <w:u w:val="none"/>
                      <w14:textFill>
                        <w14:solidFill>
                          <w14:schemeClr w14:val="tx1"/>
                        </w14:solidFill>
                      </w14:textFill>
                    </w:rPr>
                    <w:t>评价因子</w:t>
                  </w:r>
                </w:p>
              </w:tc>
              <w:tc>
                <w:tcPr>
                  <w:tcW w:w="3101" w:type="dxa"/>
                  <w:shd w:val="clear" w:color="auto" w:fill="auto"/>
                  <w:vAlign w:val="center"/>
                </w:tcPr>
                <w:p w14:paraId="78DECB30">
                  <w:pPr>
                    <w:pStyle w:val="107"/>
                    <w:spacing w:line="240" w:lineRule="auto"/>
                    <w:ind w:firstLine="0"/>
                    <w:jc w:val="center"/>
                    <w:rPr>
                      <w:rFonts w:ascii="Times New Roman" w:hAnsi="Times New Roman"/>
                      <w:b/>
                      <w:color w:val="000000" w:themeColor="text1"/>
                      <w:sz w:val="21"/>
                      <w:szCs w:val="21"/>
                      <w:highlight w:val="none"/>
                      <w:u w:val="none"/>
                      <w14:textFill>
                        <w14:solidFill>
                          <w14:schemeClr w14:val="tx1"/>
                        </w14:solidFill>
                      </w14:textFill>
                    </w:rPr>
                  </w:pPr>
                  <w:r>
                    <w:rPr>
                      <w:rFonts w:ascii="Times New Roman" w:hAnsi="Times New Roman"/>
                      <w:b/>
                      <w:color w:val="000000" w:themeColor="text1"/>
                      <w:sz w:val="21"/>
                      <w:szCs w:val="21"/>
                      <w:highlight w:val="none"/>
                      <w:u w:val="none"/>
                      <w14:textFill>
                        <w14:solidFill>
                          <w14:schemeClr w14:val="tx1"/>
                        </w14:solidFill>
                      </w14:textFill>
                    </w:rPr>
                    <w:t>工程内容及影响方式</w:t>
                  </w:r>
                </w:p>
              </w:tc>
              <w:tc>
                <w:tcPr>
                  <w:tcW w:w="1441" w:type="dxa"/>
                  <w:shd w:val="clear" w:color="auto" w:fill="auto"/>
                  <w:vAlign w:val="center"/>
                </w:tcPr>
                <w:p w14:paraId="62BE9F0D">
                  <w:pPr>
                    <w:pStyle w:val="107"/>
                    <w:spacing w:line="240" w:lineRule="auto"/>
                    <w:ind w:firstLine="0"/>
                    <w:jc w:val="center"/>
                    <w:rPr>
                      <w:rFonts w:ascii="Times New Roman" w:hAnsi="Times New Roman"/>
                      <w:b/>
                      <w:color w:val="000000" w:themeColor="text1"/>
                      <w:sz w:val="21"/>
                      <w:szCs w:val="21"/>
                      <w:highlight w:val="none"/>
                      <w:u w:val="none"/>
                      <w14:textFill>
                        <w14:solidFill>
                          <w14:schemeClr w14:val="tx1"/>
                        </w14:solidFill>
                      </w14:textFill>
                    </w:rPr>
                  </w:pPr>
                  <w:r>
                    <w:rPr>
                      <w:rFonts w:ascii="Times New Roman" w:hAnsi="Times New Roman"/>
                      <w:b/>
                      <w:color w:val="000000" w:themeColor="text1"/>
                      <w:sz w:val="21"/>
                      <w:szCs w:val="21"/>
                      <w:highlight w:val="none"/>
                      <w:u w:val="none"/>
                      <w14:textFill>
                        <w14:solidFill>
                          <w14:schemeClr w14:val="tx1"/>
                        </w14:solidFill>
                      </w14:textFill>
                    </w:rPr>
                    <w:t>影响性质</w:t>
                  </w:r>
                </w:p>
              </w:tc>
              <w:tc>
                <w:tcPr>
                  <w:tcW w:w="608" w:type="dxa"/>
                  <w:shd w:val="clear" w:color="auto" w:fill="auto"/>
                  <w:vAlign w:val="center"/>
                </w:tcPr>
                <w:p w14:paraId="3EA648F0">
                  <w:pPr>
                    <w:pStyle w:val="107"/>
                    <w:spacing w:line="240" w:lineRule="auto"/>
                    <w:ind w:firstLine="0"/>
                    <w:jc w:val="center"/>
                    <w:rPr>
                      <w:rFonts w:ascii="Times New Roman" w:hAnsi="Times New Roman"/>
                      <w:b/>
                      <w:color w:val="000000" w:themeColor="text1"/>
                      <w:sz w:val="21"/>
                      <w:szCs w:val="21"/>
                      <w:highlight w:val="none"/>
                      <w:u w:val="none"/>
                      <w14:textFill>
                        <w14:solidFill>
                          <w14:schemeClr w14:val="tx1"/>
                        </w14:solidFill>
                      </w14:textFill>
                    </w:rPr>
                  </w:pPr>
                  <w:r>
                    <w:rPr>
                      <w:rFonts w:ascii="Times New Roman" w:hAnsi="Times New Roman"/>
                      <w:b/>
                      <w:color w:val="000000" w:themeColor="text1"/>
                      <w:sz w:val="21"/>
                      <w:szCs w:val="21"/>
                      <w:highlight w:val="none"/>
                      <w:u w:val="none"/>
                      <w14:textFill>
                        <w14:solidFill>
                          <w14:schemeClr w14:val="tx1"/>
                        </w14:solidFill>
                      </w14:textFill>
                    </w:rPr>
                    <w:t>影响程度</w:t>
                  </w:r>
                </w:p>
              </w:tc>
            </w:tr>
            <w:tr w14:paraId="53AE2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78" w:type="dxa"/>
                  <w:gridSpan w:val="5"/>
                  <w:shd w:val="clear" w:color="auto" w:fill="auto"/>
                  <w:vAlign w:val="center"/>
                </w:tcPr>
                <w:p w14:paraId="26470E69">
                  <w:pPr>
                    <w:pStyle w:val="107"/>
                    <w:spacing w:line="240" w:lineRule="auto"/>
                    <w:ind w:firstLine="0"/>
                    <w:jc w:val="center"/>
                    <w:rPr>
                      <w:rFonts w:ascii="Times New Roman" w:hAnsi="Times New Roman"/>
                      <w:b/>
                      <w:color w:val="000000" w:themeColor="text1"/>
                      <w:sz w:val="21"/>
                      <w:szCs w:val="21"/>
                      <w:highlight w:val="none"/>
                      <w:u w:val="none"/>
                      <w14:textFill>
                        <w14:solidFill>
                          <w14:schemeClr w14:val="tx1"/>
                        </w14:solidFill>
                      </w14:textFill>
                    </w:rPr>
                  </w:pPr>
                  <w:r>
                    <w:rPr>
                      <w:rFonts w:ascii="Times New Roman" w:hAnsi="Times New Roman"/>
                      <w:b/>
                      <w:color w:val="000000" w:themeColor="text1"/>
                      <w:sz w:val="21"/>
                      <w:szCs w:val="21"/>
                      <w:highlight w:val="none"/>
                      <w:u w:val="none"/>
                      <w14:textFill>
                        <w14:solidFill>
                          <w14:schemeClr w14:val="tx1"/>
                        </w14:solidFill>
                      </w14:textFill>
                    </w:rPr>
                    <w:t>施工期</w:t>
                  </w:r>
                </w:p>
              </w:tc>
            </w:tr>
            <w:tr w14:paraId="64545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7" w:type="dxa"/>
                  <w:vMerge w:val="restart"/>
                  <w:shd w:val="clear" w:color="auto" w:fill="auto"/>
                  <w:vAlign w:val="center"/>
                </w:tcPr>
                <w:p w14:paraId="0C3B8E01">
                  <w:pPr>
                    <w:pStyle w:val="107"/>
                    <w:spacing w:line="240" w:lineRule="auto"/>
                    <w:ind w:firstLine="0"/>
                    <w:jc w:val="center"/>
                    <w:rPr>
                      <w:rFonts w:ascii="Times New Roman" w:hAnsi="Times New Roman"/>
                      <w:color w:val="000000" w:themeColor="text1"/>
                      <w:sz w:val="21"/>
                      <w:szCs w:val="21"/>
                      <w:highlight w:val="none"/>
                      <w:u w:val="none"/>
                      <w14:textFill>
                        <w14:solidFill>
                          <w14:schemeClr w14:val="tx1"/>
                        </w14:solidFill>
                      </w14:textFill>
                    </w:rPr>
                  </w:pPr>
                  <w:r>
                    <w:rPr>
                      <w:rFonts w:ascii="Times New Roman" w:hAnsi="Times New Roman"/>
                      <w:color w:val="000000" w:themeColor="text1"/>
                      <w:sz w:val="21"/>
                      <w:szCs w:val="21"/>
                      <w:highlight w:val="none"/>
                      <w:u w:val="none"/>
                      <w14:textFill>
                        <w14:solidFill>
                          <w14:schemeClr w14:val="tx1"/>
                        </w14:solidFill>
                      </w14:textFill>
                    </w:rPr>
                    <w:t>物种</w:t>
                  </w:r>
                </w:p>
              </w:tc>
              <w:tc>
                <w:tcPr>
                  <w:tcW w:w="1761" w:type="dxa"/>
                  <w:shd w:val="clear" w:color="auto" w:fill="auto"/>
                  <w:vAlign w:val="center"/>
                </w:tcPr>
                <w:p w14:paraId="1D6FCB93">
                  <w:pPr>
                    <w:pStyle w:val="107"/>
                    <w:spacing w:line="240" w:lineRule="auto"/>
                    <w:ind w:firstLine="0"/>
                    <w:jc w:val="center"/>
                    <w:rPr>
                      <w:rFonts w:ascii="Times New Roman" w:hAnsi="Times New Roman"/>
                      <w:color w:val="000000" w:themeColor="text1"/>
                      <w:sz w:val="21"/>
                      <w:szCs w:val="21"/>
                      <w:highlight w:val="none"/>
                      <w:u w:val="none"/>
                      <w14:textFill>
                        <w14:solidFill>
                          <w14:schemeClr w14:val="tx1"/>
                        </w14:solidFill>
                      </w14:textFill>
                    </w:rPr>
                  </w:pPr>
                  <w:r>
                    <w:rPr>
                      <w:rFonts w:ascii="Times New Roman" w:hAnsi="Times New Roman"/>
                      <w:color w:val="000000" w:themeColor="text1"/>
                      <w:sz w:val="21"/>
                      <w:szCs w:val="21"/>
                      <w:highlight w:val="none"/>
                      <w:u w:val="none"/>
                      <w14:textFill>
                        <w14:solidFill>
                          <w14:schemeClr w14:val="tx1"/>
                        </w14:solidFill>
                      </w14:textFill>
                    </w:rPr>
                    <w:t>分布范围</w:t>
                  </w:r>
                </w:p>
              </w:tc>
              <w:tc>
                <w:tcPr>
                  <w:tcW w:w="3101" w:type="dxa"/>
                  <w:shd w:val="clear" w:color="auto" w:fill="auto"/>
                  <w:vAlign w:val="center"/>
                </w:tcPr>
                <w:p w14:paraId="38B47DF8">
                  <w:pPr>
                    <w:pStyle w:val="107"/>
                    <w:spacing w:line="240" w:lineRule="auto"/>
                    <w:ind w:firstLine="0"/>
                    <w:jc w:val="center"/>
                    <w:rPr>
                      <w:rFonts w:ascii="Times New Roman" w:hAnsi="Times New Roman"/>
                      <w:color w:val="000000" w:themeColor="text1"/>
                      <w:sz w:val="21"/>
                      <w:szCs w:val="21"/>
                      <w:highlight w:val="none"/>
                      <w:u w:val="none"/>
                      <w14:textFill>
                        <w14:solidFill>
                          <w14:schemeClr w14:val="tx1"/>
                        </w14:solidFill>
                      </w14:textFill>
                    </w:rPr>
                  </w:pPr>
                  <w:r>
                    <w:rPr>
                      <w:rFonts w:ascii="Times New Roman" w:hAnsi="Times New Roman"/>
                      <w:color w:val="000000" w:themeColor="text1"/>
                      <w:sz w:val="21"/>
                      <w:szCs w:val="21"/>
                      <w:highlight w:val="none"/>
                      <w:u w:val="none"/>
                      <w14:textFill>
                        <w14:solidFill>
                          <w14:schemeClr w14:val="tx1"/>
                        </w14:solidFill>
                      </w14:textFill>
                    </w:rPr>
                    <w:t>工程永久/临时占地导致物种分布格局变化</w:t>
                  </w:r>
                </w:p>
              </w:tc>
              <w:tc>
                <w:tcPr>
                  <w:tcW w:w="1441" w:type="dxa"/>
                  <w:shd w:val="clear" w:color="auto" w:fill="auto"/>
                  <w:vAlign w:val="center"/>
                </w:tcPr>
                <w:p w14:paraId="4E2ED234">
                  <w:pPr>
                    <w:pStyle w:val="107"/>
                    <w:spacing w:line="240" w:lineRule="auto"/>
                    <w:ind w:firstLine="0"/>
                    <w:jc w:val="center"/>
                    <w:rPr>
                      <w:rFonts w:ascii="Times New Roman" w:hAnsi="Times New Roman"/>
                      <w:color w:val="000000" w:themeColor="text1"/>
                      <w:sz w:val="21"/>
                      <w:szCs w:val="21"/>
                      <w:highlight w:val="none"/>
                      <w:u w:val="none"/>
                      <w14:textFill>
                        <w14:solidFill>
                          <w14:schemeClr w14:val="tx1"/>
                        </w14:solidFill>
                      </w14:textFill>
                    </w:rPr>
                  </w:pPr>
                  <w:r>
                    <w:rPr>
                      <w:rFonts w:ascii="Times New Roman" w:hAnsi="Times New Roman"/>
                      <w:color w:val="000000" w:themeColor="text1"/>
                      <w:sz w:val="21"/>
                      <w:szCs w:val="21"/>
                      <w:highlight w:val="none"/>
                      <w:u w:val="none"/>
                      <w14:textFill>
                        <w14:solidFill>
                          <w14:schemeClr w14:val="tx1"/>
                        </w14:solidFill>
                      </w14:textFill>
                    </w:rPr>
                    <w:t>直接影响、不可逆影响、长期影响</w:t>
                  </w:r>
                </w:p>
              </w:tc>
              <w:tc>
                <w:tcPr>
                  <w:tcW w:w="608" w:type="dxa"/>
                  <w:shd w:val="clear" w:color="auto" w:fill="auto"/>
                  <w:vAlign w:val="center"/>
                </w:tcPr>
                <w:p w14:paraId="66DD82E2">
                  <w:pPr>
                    <w:pStyle w:val="107"/>
                    <w:spacing w:line="240" w:lineRule="auto"/>
                    <w:ind w:firstLine="0"/>
                    <w:jc w:val="center"/>
                    <w:rPr>
                      <w:rFonts w:ascii="Times New Roman" w:hAnsi="Times New Roman"/>
                      <w:color w:val="000000" w:themeColor="text1"/>
                      <w:sz w:val="21"/>
                      <w:szCs w:val="21"/>
                      <w:highlight w:val="none"/>
                      <w:u w:val="none"/>
                      <w14:textFill>
                        <w14:solidFill>
                          <w14:schemeClr w14:val="tx1"/>
                        </w14:solidFill>
                      </w14:textFill>
                    </w:rPr>
                  </w:pPr>
                  <w:r>
                    <w:rPr>
                      <w:rFonts w:ascii="Times New Roman" w:hAnsi="Times New Roman"/>
                      <w:color w:val="000000" w:themeColor="text1"/>
                      <w:sz w:val="21"/>
                      <w:szCs w:val="21"/>
                      <w:highlight w:val="none"/>
                      <w:u w:val="none"/>
                      <w14:textFill>
                        <w14:solidFill>
                          <w14:schemeClr w14:val="tx1"/>
                        </w14:solidFill>
                      </w14:textFill>
                    </w:rPr>
                    <w:t>中</w:t>
                  </w:r>
                </w:p>
              </w:tc>
            </w:tr>
            <w:tr w14:paraId="79F89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7" w:type="dxa"/>
                  <w:vMerge w:val="continue"/>
                  <w:shd w:val="clear" w:color="auto" w:fill="auto"/>
                  <w:vAlign w:val="center"/>
                </w:tcPr>
                <w:p w14:paraId="5ED1E682">
                  <w:pPr>
                    <w:pStyle w:val="107"/>
                    <w:spacing w:line="240" w:lineRule="auto"/>
                    <w:ind w:firstLine="0"/>
                    <w:jc w:val="center"/>
                    <w:rPr>
                      <w:rFonts w:ascii="Times New Roman" w:hAnsi="Times New Roman"/>
                      <w:color w:val="000000" w:themeColor="text1"/>
                      <w:sz w:val="21"/>
                      <w:szCs w:val="21"/>
                      <w:highlight w:val="none"/>
                      <w:u w:val="none"/>
                      <w14:textFill>
                        <w14:solidFill>
                          <w14:schemeClr w14:val="tx1"/>
                        </w14:solidFill>
                      </w14:textFill>
                    </w:rPr>
                  </w:pPr>
                </w:p>
              </w:tc>
              <w:tc>
                <w:tcPr>
                  <w:tcW w:w="1761" w:type="dxa"/>
                  <w:shd w:val="clear" w:color="auto" w:fill="auto"/>
                  <w:vAlign w:val="center"/>
                </w:tcPr>
                <w:p w14:paraId="7CC751F6">
                  <w:pPr>
                    <w:pStyle w:val="107"/>
                    <w:spacing w:line="240" w:lineRule="auto"/>
                    <w:ind w:firstLine="0"/>
                    <w:jc w:val="center"/>
                    <w:rPr>
                      <w:rFonts w:ascii="Times New Roman" w:hAnsi="Times New Roman"/>
                      <w:color w:val="000000" w:themeColor="text1"/>
                      <w:sz w:val="21"/>
                      <w:szCs w:val="21"/>
                      <w:highlight w:val="none"/>
                      <w:u w:val="none"/>
                      <w14:textFill>
                        <w14:solidFill>
                          <w14:schemeClr w14:val="tx1"/>
                        </w14:solidFill>
                      </w14:textFill>
                    </w:rPr>
                  </w:pPr>
                  <w:r>
                    <w:rPr>
                      <w:rFonts w:ascii="Times New Roman" w:hAnsi="Times New Roman"/>
                      <w:color w:val="000000" w:themeColor="text1"/>
                      <w:sz w:val="21"/>
                      <w:szCs w:val="21"/>
                      <w:highlight w:val="none"/>
                      <w:u w:val="none"/>
                      <w14:textFill>
                        <w14:solidFill>
                          <w14:schemeClr w14:val="tx1"/>
                        </w14:solidFill>
                      </w14:textFill>
                    </w:rPr>
                    <w:t>种群数量、种群结构、行为</w:t>
                  </w:r>
                </w:p>
              </w:tc>
              <w:tc>
                <w:tcPr>
                  <w:tcW w:w="3101" w:type="dxa"/>
                  <w:shd w:val="clear" w:color="auto" w:fill="auto"/>
                  <w:vAlign w:val="center"/>
                </w:tcPr>
                <w:p w14:paraId="4CC6574F">
                  <w:pPr>
                    <w:pStyle w:val="107"/>
                    <w:spacing w:line="240" w:lineRule="auto"/>
                    <w:ind w:firstLine="0"/>
                    <w:jc w:val="center"/>
                    <w:rPr>
                      <w:rFonts w:ascii="Times New Roman" w:hAnsi="Times New Roman"/>
                      <w:color w:val="000000" w:themeColor="text1"/>
                      <w:sz w:val="21"/>
                      <w:szCs w:val="21"/>
                      <w:highlight w:val="none"/>
                      <w:u w:val="none"/>
                      <w14:textFill>
                        <w14:solidFill>
                          <w14:schemeClr w14:val="tx1"/>
                        </w14:solidFill>
                      </w14:textFill>
                    </w:rPr>
                  </w:pPr>
                  <w:r>
                    <w:rPr>
                      <w:rFonts w:ascii="Times New Roman" w:hAnsi="Times New Roman"/>
                      <w:color w:val="000000" w:themeColor="text1"/>
                      <w:sz w:val="21"/>
                      <w:szCs w:val="21"/>
                      <w:highlight w:val="none"/>
                      <w:u w:val="none"/>
                      <w14:textFill>
                        <w14:solidFill>
                          <w14:schemeClr w14:val="tx1"/>
                        </w14:solidFill>
                      </w14:textFill>
                    </w:rPr>
                    <w:t>工程开挖、施工人员踩踏、施工机械碾压等造成个体死亡</w:t>
                  </w:r>
                </w:p>
              </w:tc>
              <w:tc>
                <w:tcPr>
                  <w:tcW w:w="1441" w:type="dxa"/>
                  <w:shd w:val="clear" w:color="auto" w:fill="auto"/>
                  <w:vAlign w:val="center"/>
                </w:tcPr>
                <w:p w14:paraId="0BEF8CDA">
                  <w:pPr>
                    <w:pStyle w:val="107"/>
                    <w:spacing w:line="240" w:lineRule="auto"/>
                    <w:ind w:firstLine="0"/>
                    <w:jc w:val="center"/>
                    <w:rPr>
                      <w:rFonts w:ascii="Times New Roman" w:hAnsi="Times New Roman"/>
                      <w:color w:val="000000" w:themeColor="text1"/>
                      <w:sz w:val="21"/>
                      <w:szCs w:val="21"/>
                      <w:highlight w:val="none"/>
                      <w:u w:val="none"/>
                      <w14:textFill>
                        <w14:solidFill>
                          <w14:schemeClr w14:val="tx1"/>
                        </w14:solidFill>
                      </w14:textFill>
                    </w:rPr>
                  </w:pPr>
                  <w:r>
                    <w:rPr>
                      <w:rFonts w:ascii="Times New Roman" w:hAnsi="Times New Roman"/>
                      <w:color w:val="000000" w:themeColor="text1"/>
                      <w:sz w:val="21"/>
                      <w:szCs w:val="21"/>
                      <w:highlight w:val="none"/>
                      <w:u w:val="none"/>
                      <w14:textFill>
                        <w14:solidFill>
                          <w14:schemeClr w14:val="tx1"/>
                        </w14:solidFill>
                      </w14:textFill>
                    </w:rPr>
                    <w:t>直接影响、不可逆影响、短期影响</w:t>
                  </w:r>
                </w:p>
              </w:tc>
              <w:tc>
                <w:tcPr>
                  <w:tcW w:w="608" w:type="dxa"/>
                  <w:shd w:val="clear" w:color="auto" w:fill="auto"/>
                  <w:vAlign w:val="center"/>
                </w:tcPr>
                <w:p w14:paraId="656275F6">
                  <w:pPr>
                    <w:pStyle w:val="107"/>
                    <w:spacing w:line="240" w:lineRule="auto"/>
                    <w:ind w:firstLine="0"/>
                    <w:jc w:val="center"/>
                    <w:rPr>
                      <w:rFonts w:ascii="Times New Roman" w:hAnsi="Times New Roman"/>
                      <w:color w:val="000000" w:themeColor="text1"/>
                      <w:sz w:val="21"/>
                      <w:szCs w:val="21"/>
                      <w:highlight w:val="none"/>
                      <w:u w:val="none"/>
                      <w14:textFill>
                        <w14:solidFill>
                          <w14:schemeClr w14:val="tx1"/>
                        </w14:solidFill>
                      </w14:textFill>
                    </w:rPr>
                  </w:pPr>
                  <w:r>
                    <w:rPr>
                      <w:rFonts w:ascii="Times New Roman" w:hAnsi="Times New Roman"/>
                      <w:color w:val="000000" w:themeColor="text1"/>
                      <w:sz w:val="21"/>
                      <w:szCs w:val="21"/>
                      <w:highlight w:val="none"/>
                      <w:u w:val="none"/>
                      <w14:textFill>
                        <w14:solidFill>
                          <w14:schemeClr w14:val="tx1"/>
                        </w14:solidFill>
                      </w14:textFill>
                    </w:rPr>
                    <w:t>中</w:t>
                  </w:r>
                </w:p>
              </w:tc>
            </w:tr>
            <w:tr w14:paraId="5E820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7" w:type="dxa"/>
                  <w:vMerge w:val="restart"/>
                  <w:shd w:val="clear" w:color="auto" w:fill="auto"/>
                  <w:vAlign w:val="center"/>
                </w:tcPr>
                <w:p w14:paraId="64589E07">
                  <w:pPr>
                    <w:pStyle w:val="107"/>
                    <w:spacing w:line="240" w:lineRule="auto"/>
                    <w:ind w:firstLine="0"/>
                    <w:jc w:val="center"/>
                    <w:rPr>
                      <w:rFonts w:ascii="Times New Roman" w:hAnsi="Times New Roman"/>
                      <w:color w:val="000000" w:themeColor="text1"/>
                      <w:sz w:val="21"/>
                      <w:szCs w:val="21"/>
                      <w:highlight w:val="none"/>
                      <w:u w:val="none"/>
                      <w14:textFill>
                        <w14:solidFill>
                          <w14:schemeClr w14:val="tx1"/>
                        </w14:solidFill>
                      </w14:textFill>
                    </w:rPr>
                  </w:pPr>
                  <w:r>
                    <w:rPr>
                      <w:rFonts w:ascii="Times New Roman" w:hAnsi="Times New Roman"/>
                      <w:color w:val="000000" w:themeColor="text1"/>
                      <w:sz w:val="21"/>
                      <w:szCs w:val="21"/>
                      <w:highlight w:val="none"/>
                      <w:u w:val="none"/>
                      <w14:textFill>
                        <w14:solidFill>
                          <w14:schemeClr w14:val="tx1"/>
                        </w14:solidFill>
                      </w14:textFill>
                    </w:rPr>
                    <w:t>生境</w:t>
                  </w:r>
                </w:p>
              </w:tc>
              <w:tc>
                <w:tcPr>
                  <w:tcW w:w="1761" w:type="dxa"/>
                  <w:shd w:val="clear" w:color="auto" w:fill="auto"/>
                  <w:vAlign w:val="center"/>
                </w:tcPr>
                <w:p w14:paraId="196CFA45">
                  <w:pPr>
                    <w:pStyle w:val="107"/>
                    <w:spacing w:line="240" w:lineRule="auto"/>
                    <w:ind w:firstLine="0"/>
                    <w:jc w:val="center"/>
                    <w:rPr>
                      <w:rFonts w:ascii="Times New Roman" w:hAnsi="Times New Roman"/>
                      <w:color w:val="000000" w:themeColor="text1"/>
                      <w:sz w:val="21"/>
                      <w:szCs w:val="21"/>
                      <w:highlight w:val="none"/>
                      <w:u w:val="none"/>
                      <w14:textFill>
                        <w14:solidFill>
                          <w14:schemeClr w14:val="tx1"/>
                        </w14:solidFill>
                      </w14:textFill>
                    </w:rPr>
                  </w:pPr>
                  <w:r>
                    <w:rPr>
                      <w:rFonts w:ascii="Times New Roman" w:hAnsi="Times New Roman"/>
                      <w:color w:val="000000" w:themeColor="text1"/>
                      <w:sz w:val="21"/>
                      <w:szCs w:val="21"/>
                      <w:highlight w:val="none"/>
                      <w:u w:val="none"/>
                      <w14:textFill>
                        <w14:solidFill>
                          <w14:schemeClr w14:val="tx1"/>
                        </w14:solidFill>
                      </w14:textFill>
                    </w:rPr>
                    <w:t>生境面积</w:t>
                  </w:r>
                </w:p>
              </w:tc>
              <w:tc>
                <w:tcPr>
                  <w:tcW w:w="3101" w:type="dxa"/>
                  <w:shd w:val="clear" w:color="auto" w:fill="auto"/>
                  <w:vAlign w:val="center"/>
                </w:tcPr>
                <w:p w14:paraId="615FD9DF">
                  <w:pPr>
                    <w:pStyle w:val="107"/>
                    <w:spacing w:line="240" w:lineRule="auto"/>
                    <w:ind w:firstLine="0"/>
                    <w:jc w:val="center"/>
                    <w:rPr>
                      <w:rFonts w:ascii="Times New Roman" w:hAnsi="Times New Roman"/>
                      <w:color w:val="000000" w:themeColor="text1"/>
                      <w:sz w:val="21"/>
                      <w:szCs w:val="21"/>
                      <w:highlight w:val="none"/>
                      <w:u w:val="none"/>
                      <w14:textFill>
                        <w14:solidFill>
                          <w14:schemeClr w14:val="tx1"/>
                        </w14:solidFill>
                      </w14:textFill>
                    </w:rPr>
                  </w:pPr>
                  <w:r>
                    <w:rPr>
                      <w:rFonts w:ascii="Times New Roman" w:hAnsi="Times New Roman"/>
                      <w:color w:val="000000" w:themeColor="text1"/>
                      <w:sz w:val="21"/>
                      <w:szCs w:val="21"/>
                      <w:highlight w:val="none"/>
                      <w:u w:val="none"/>
                      <w14:textFill>
                        <w14:solidFill>
                          <w14:schemeClr w14:val="tx1"/>
                        </w14:solidFill>
                      </w14:textFill>
                    </w:rPr>
                    <w:t>永久、临时占地导致生境丧失和破坏</w:t>
                  </w:r>
                </w:p>
              </w:tc>
              <w:tc>
                <w:tcPr>
                  <w:tcW w:w="1441" w:type="dxa"/>
                  <w:shd w:val="clear" w:color="auto" w:fill="auto"/>
                  <w:vAlign w:val="center"/>
                </w:tcPr>
                <w:p w14:paraId="1641D5BA">
                  <w:pPr>
                    <w:pStyle w:val="107"/>
                    <w:spacing w:line="240" w:lineRule="auto"/>
                    <w:ind w:firstLine="0"/>
                    <w:jc w:val="center"/>
                    <w:rPr>
                      <w:rFonts w:ascii="Times New Roman" w:hAnsi="Times New Roman"/>
                      <w:color w:val="000000" w:themeColor="text1"/>
                      <w:sz w:val="21"/>
                      <w:szCs w:val="21"/>
                      <w:highlight w:val="none"/>
                      <w:u w:val="none"/>
                      <w14:textFill>
                        <w14:solidFill>
                          <w14:schemeClr w14:val="tx1"/>
                        </w14:solidFill>
                      </w14:textFill>
                    </w:rPr>
                  </w:pPr>
                  <w:r>
                    <w:rPr>
                      <w:rFonts w:ascii="Times New Roman" w:hAnsi="Times New Roman"/>
                      <w:color w:val="000000" w:themeColor="text1"/>
                      <w:sz w:val="21"/>
                      <w:szCs w:val="21"/>
                      <w:highlight w:val="none"/>
                      <w:u w:val="none"/>
                      <w14:textFill>
                        <w14:solidFill>
                          <w14:schemeClr w14:val="tx1"/>
                        </w14:solidFill>
                      </w14:textFill>
                    </w:rPr>
                    <w:t>接影响、不可逆影响、长期影响</w:t>
                  </w:r>
                </w:p>
              </w:tc>
              <w:tc>
                <w:tcPr>
                  <w:tcW w:w="608" w:type="dxa"/>
                  <w:shd w:val="clear" w:color="auto" w:fill="auto"/>
                  <w:vAlign w:val="center"/>
                </w:tcPr>
                <w:p w14:paraId="744C5BA2">
                  <w:pPr>
                    <w:pStyle w:val="107"/>
                    <w:spacing w:line="240" w:lineRule="auto"/>
                    <w:ind w:firstLine="0"/>
                    <w:jc w:val="center"/>
                    <w:rPr>
                      <w:rFonts w:ascii="Times New Roman" w:hAnsi="Times New Roman"/>
                      <w:color w:val="000000" w:themeColor="text1"/>
                      <w:sz w:val="21"/>
                      <w:szCs w:val="21"/>
                      <w:highlight w:val="none"/>
                      <w:u w:val="none"/>
                      <w14:textFill>
                        <w14:solidFill>
                          <w14:schemeClr w14:val="tx1"/>
                        </w14:solidFill>
                      </w14:textFill>
                    </w:rPr>
                  </w:pPr>
                  <w:r>
                    <w:rPr>
                      <w:rFonts w:ascii="Times New Roman" w:hAnsi="Times New Roman"/>
                      <w:color w:val="000000" w:themeColor="text1"/>
                      <w:sz w:val="21"/>
                      <w:szCs w:val="21"/>
                      <w:highlight w:val="none"/>
                      <w:u w:val="none"/>
                      <w14:textFill>
                        <w14:solidFill>
                          <w14:schemeClr w14:val="tx1"/>
                        </w14:solidFill>
                      </w14:textFill>
                    </w:rPr>
                    <w:t>中</w:t>
                  </w:r>
                </w:p>
              </w:tc>
            </w:tr>
            <w:tr w14:paraId="681C6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7" w:type="dxa"/>
                  <w:vMerge w:val="continue"/>
                  <w:shd w:val="clear" w:color="auto" w:fill="auto"/>
                  <w:vAlign w:val="center"/>
                </w:tcPr>
                <w:p w14:paraId="280B288D">
                  <w:pPr>
                    <w:pStyle w:val="107"/>
                    <w:spacing w:line="240" w:lineRule="auto"/>
                    <w:ind w:firstLine="0"/>
                    <w:jc w:val="center"/>
                    <w:rPr>
                      <w:rFonts w:ascii="Times New Roman" w:hAnsi="Times New Roman"/>
                      <w:color w:val="000000" w:themeColor="text1"/>
                      <w:sz w:val="21"/>
                      <w:szCs w:val="21"/>
                      <w:highlight w:val="none"/>
                      <w:u w:val="none"/>
                      <w14:textFill>
                        <w14:solidFill>
                          <w14:schemeClr w14:val="tx1"/>
                        </w14:solidFill>
                      </w14:textFill>
                    </w:rPr>
                  </w:pPr>
                </w:p>
              </w:tc>
              <w:tc>
                <w:tcPr>
                  <w:tcW w:w="1761" w:type="dxa"/>
                  <w:shd w:val="clear" w:color="auto" w:fill="auto"/>
                  <w:vAlign w:val="center"/>
                </w:tcPr>
                <w:p w14:paraId="4CD69F0B">
                  <w:pPr>
                    <w:pStyle w:val="107"/>
                    <w:spacing w:line="240" w:lineRule="auto"/>
                    <w:ind w:firstLine="0"/>
                    <w:jc w:val="center"/>
                    <w:rPr>
                      <w:rFonts w:ascii="Times New Roman" w:hAnsi="Times New Roman"/>
                      <w:color w:val="000000" w:themeColor="text1"/>
                      <w:sz w:val="21"/>
                      <w:szCs w:val="21"/>
                      <w:highlight w:val="none"/>
                      <w:u w:val="none"/>
                      <w14:textFill>
                        <w14:solidFill>
                          <w14:schemeClr w14:val="tx1"/>
                        </w14:solidFill>
                      </w14:textFill>
                    </w:rPr>
                  </w:pPr>
                  <w:r>
                    <w:rPr>
                      <w:rFonts w:ascii="Times New Roman" w:hAnsi="Times New Roman"/>
                      <w:color w:val="000000" w:themeColor="text1"/>
                      <w:sz w:val="21"/>
                      <w:szCs w:val="21"/>
                      <w:highlight w:val="none"/>
                      <w:u w:val="none"/>
                      <w14:textFill>
                        <w14:solidFill>
                          <w14:schemeClr w14:val="tx1"/>
                        </w14:solidFill>
                      </w14:textFill>
                    </w:rPr>
                    <w:t>质量</w:t>
                  </w:r>
                </w:p>
              </w:tc>
              <w:tc>
                <w:tcPr>
                  <w:tcW w:w="3101" w:type="dxa"/>
                  <w:shd w:val="clear" w:color="auto" w:fill="auto"/>
                  <w:vAlign w:val="center"/>
                </w:tcPr>
                <w:p w14:paraId="7120D849">
                  <w:pPr>
                    <w:pStyle w:val="107"/>
                    <w:spacing w:line="240" w:lineRule="auto"/>
                    <w:ind w:firstLine="0"/>
                    <w:jc w:val="center"/>
                    <w:rPr>
                      <w:rFonts w:ascii="Times New Roman" w:hAnsi="Times New Roman"/>
                      <w:color w:val="000000" w:themeColor="text1"/>
                      <w:sz w:val="21"/>
                      <w:szCs w:val="21"/>
                      <w:highlight w:val="none"/>
                      <w:u w:val="none"/>
                      <w14:textFill>
                        <w14:solidFill>
                          <w14:schemeClr w14:val="tx1"/>
                        </w14:solidFill>
                      </w14:textFill>
                    </w:rPr>
                  </w:pPr>
                  <w:r>
                    <w:rPr>
                      <w:rFonts w:ascii="Times New Roman" w:hAnsi="Times New Roman"/>
                      <w:color w:val="000000" w:themeColor="text1"/>
                      <w:sz w:val="21"/>
                      <w:szCs w:val="21"/>
                      <w:highlight w:val="none"/>
                      <w:u w:val="none"/>
                      <w14:textFill>
                        <w14:solidFill>
                          <w14:schemeClr w14:val="tx1"/>
                        </w14:solidFill>
                      </w14:textFill>
                    </w:rPr>
                    <w:t>施工人为活动、弃渣、扬尘、废水、水土流失等对生物生境影响</w:t>
                  </w:r>
                </w:p>
              </w:tc>
              <w:tc>
                <w:tcPr>
                  <w:tcW w:w="1441" w:type="dxa"/>
                  <w:shd w:val="clear" w:color="auto" w:fill="auto"/>
                  <w:vAlign w:val="center"/>
                </w:tcPr>
                <w:p w14:paraId="3D903E7D">
                  <w:pPr>
                    <w:pStyle w:val="107"/>
                    <w:spacing w:line="240" w:lineRule="auto"/>
                    <w:ind w:firstLine="0"/>
                    <w:jc w:val="center"/>
                    <w:rPr>
                      <w:rFonts w:ascii="Times New Roman" w:hAnsi="Times New Roman"/>
                      <w:color w:val="000000" w:themeColor="text1"/>
                      <w:sz w:val="21"/>
                      <w:szCs w:val="21"/>
                      <w:highlight w:val="none"/>
                      <w:u w:val="none"/>
                      <w14:textFill>
                        <w14:solidFill>
                          <w14:schemeClr w14:val="tx1"/>
                        </w14:solidFill>
                      </w14:textFill>
                    </w:rPr>
                  </w:pPr>
                  <w:r>
                    <w:rPr>
                      <w:rFonts w:ascii="Times New Roman" w:hAnsi="Times New Roman"/>
                      <w:color w:val="000000" w:themeColor="text1"/>
                      <w:sz w:val="21"/>
                      <w:szCs w:val="21"/>
                      <w:highlight w:val="none"/>
                      <w:u w:val="none"/>
                      <w14:textFill>
                        <w14:solidFill>
                          <w14:schemeClr w14:val="tx1"/>
                        </w14:solidFill>
                      </w14:textFill>
                    </w:rPr>
                    <w:t>直接影响、可逆影响、短期影响</w:t>
                  </w:r>
                </w:p>
              </w:tc>
              <w:tc>
                <w:tcPr>
                  <w:tcW w:w="608" w:type="dxa"/>
                  <w:shd w:val="clear" w:color="auto" w:fill="auto"/>
                  <w:vAlign w:val="center"/>
                </w:tcPr>
                <w:p w14:paraId="6E176F94">
                  <w:pPr>
                    <w:pStyle w:val="107"/>
                    <w:spacing w:line="240" w:lineRule="auto"/>
                    <w:ind w:firstLine="0"/>
                    <w:jc w:val="center"/>
                    <w:rPr>
                      <w:rFonts w:ascii="Times New Roman" w:hAnsi="Times New Roman"/>
                      <w:color w:val="000000" w:themeColor="text1"/>
                      <w:sz w:val="21"/>
                      <w:szCs w:val="21"/>
                      <w:highlight w:val="none"/>
                      <w:u w:val="none"/>
                      <w14:textFill>
                        <w14:solidFill>
                          <w14:schemeClr w14:val="tx1"/>
                        </w14:solidFill>
                      </w14:textFill>
                    </w:rPr>
                  </w:pPr>
                  <w:r>
                    <w:rPr>
                      <w:rFonts w:ascii="Times New Roman" w:hAnsi="Times New Roman"/>
                      <w:color w:val="000000" w:themeColor="text1"/>
                      <w:sz w:val="21"/>
                      <w:szCs w:val="21"/>
                      <w:highlight w:val="none"/>
                      <w:u w:val="none"/>
                      <w14:textFill>
                        <w14:solidFill>
                          <w14:schemeClr w14:val="tx1"/>
                        </w14:solidFill>
                      </w14:textFill>
                    </w:rPr>
                    <w:t>弱</w:t>
                  </w:r>
                </w:p>
              </w:tc>
            </w:tr>
            <w:tr w14:paraId="7471D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7" w:type="dxa"/>
                  <w:vMerge w:val="continue"/>
                  <w:shd w:val="clear" w:color="auto" w:fill="auto"/>
                  <w:vAlign w:val="center"/>
                </w:tcPr>
                <w:p w14:paraId="45F26FCB">
                  <w:pPr>
                    <w:pStyle w:val="107"/>
                    <w:spacing w:line="240" w:lineRule="auto"/>
                    <w:ind w:firstLine="0"/>
                    <w:jc w:val="center"/>
                    <w:rPr>
                      <w:rFonts w:ascii="Times New Roman" w:hAnsi="Times New Roman"/>
                      <w:color w:val="000000" w:themeColor="text1"/>
                      <w:sz w:val="21"/>
                      <w:szCs w:val="21"/>
                      <w:highlight w:val="none"/>
                      <w:u w:val="none"/>
                      <w14:textFill>
                        <w14:solidFill>
                          <w14:schemeClr w14:val="tx1"/>
                        </w14:solidFill>
                      </w14:textFill>
                    </w:rPr>
                  </w:pPr>
                </w:p>
              </w:tc>
              <w:tc>
                <w:tcPr>
                  <w:tcW w:w="1761" w:type="dxa"/>
                  <w:shd w:val="clear" w:color="auto" w:fill="auto"/>
                  <w:vAlign w:val="center"/>
                </w:tcPr>
                <w:p w14:paraId="08FA93E4">
                  <w:pPr>
                    <w:pStyle w:val="107"/>
                    <w:spacing w:line="240" w:lineRule="auto"/>
                    <w:ind w:firstLine="0"/>
                    <w:jc w:val="center"/>
                    <w:rPr>
                      <w:rFonts w:ascii="Times New Roman" w:hAnsi="Times New Roman"/>
                      <w:color w:val="000000" w:themeColor="text1"/>
                      <w:sz w:val="21"/>
                      <w:szCs w:val="21"/>
                      <w:highlight w:val="none"/>
                      <w:u w:val="none"/>
                      <w14:textFill>
                        <w14:solidFill>
                          <w14:schemeClr w14:val="tx1"/>
                        </w14:solidFill>
                      </w14:textFill>
                    </w:rPr>
                  </w:pPr>
                  <w:r>
                    <w:rPr>
                      <w:rFonts w:ascii="Times New Roman" w:hAnsi="Times New Roman"/>
                      <w:color w:val="000000" w:themeColor="text1"/>
                      <w:sz w:val="21"/>
                      <w:szCs w:val="21"/>
                      <w:highlight w:val="none"/>
                      <w:u w:val="none"/>
                      <w14:textFill>
                        <w14:solidFill>
                          <w14:schemeClr w14:val="tx1"/>
                        </w14:solidFill>
                      </w14:textFill>
                    </w:rPr>
                    <w:t>连通性</w:t>
                  </w:r>
                </w:p>
              </w:tc>
              <w:tc>
                <w:tcPr>
                  <w:tcW w:w="3101" w:type="dxa"/>
                  <w:shd w:val="clear" w:color="auto" w:fill="auto"/>
                  <w:vAlign w:val="center"/>
                </w:tcPr>
                <w:p w14:paraId="56E90C92">
                  <w:pPr>
                    <w:pStyle w:val="107"/>
                    <w:spacing w:line="240" w:lineRule="auto"/>
                    <w:ind w:firstLine="0"/>
                    <w:jc w:val="center"/>
                    <w:rPr>
                      <w:rFonts w:ascii="Times New Roman" w:hAnsi="Times New Roman"/>
                      <w:color w:val="000000" w:themeColor="text1"/>
                      <w:sz w:val="21"/>
                      <w:szCs w:val="21"/>
                      <w:highlight w:val="none"/>
                      <w:u w:val="none"/>
                      <w14:textFill>
                        <w14:solidFill>
                          <w14:schemeClr w14:val="tx1"/>
                        </w14:solidFill>
                      </w14:textFill>
                    </w:rPr>
                  </w:pPr>
                  <w:r>
                    <w:rPr>
                      <w:rFonts w:ascii="Times New Roman" w:hAnsi="Times New Roman"/>
                      <w:color w:val="000000" w:themeColor="text1"/>
                      <w:sz w:val="21"/>
                      <w:szCs w:val="21"/>
                      <w:highlight w:val="none"/>
                      <w:u w:val="none"/>
                      <w14:textFill>
                        <w14:solidFill>
                          <w14:schemeClr w14:val="tx1"/>
                        </w14:solidFill>
                      </w14:textFill>
                    </w:rPr>
                    <w:t>风电场道路及集电线路等对生境的阻隔影响</w:t>
                  </w:r>
                </w:p>
              </w:tc>
              <w:tc>
                <w:tcPr>
                  <w:tcW w:w="1441" w:type="dxa"/>
                  <w:shd w:val="clear" w:color="auto" w:fill="auto"/>
                  <w:vAlign w:val="center"/>
                </w:tcPr>
                <w:p w14:paraId="052D5428">
                  <w:pPr>
                    <w:pStyle w:val="107"/>
                    <w:spacing w:line="240" w:lineRule="auto"/>
                    <w:ind w:firstLine="0"/>
                    <w:jc w:val="center"/>
                    <w:rPr>
                      <w:rFonts w:ascii="Times New Roman" w:hAnsi="Times New Roman"/>
                      <w:color w:val="000000" w:themeColor="text1"/>
                      <w:sz w:val="21"/>
                      <w:szCs w:val="21"/>
                      <w:highlight w:val="none"/>
                      <w:u w:val="none"/>
                      <w14:textFill>
                        <w14:solidFill>
                          <w14:schemeClr w14:val="tx1"/>
                        </w14:solidFill>
                      </w14:textFill>
                    </w:rPr>
                  </w:pPr>
                  <w:r>
                    <w:rPr>
                      <w:rFonts w:ascii="Times New Roman" w:hAnsi="Times New Roman"/>
                      <w:color w:val="000000" w:themeColor="text1"/>
                      <w:sz w:val="21"/>
                      <w:szCs w:val="21"/>
                      <w:highlight w:val="none"/>
                      <w:u w:val="none"/>
                      <w14:textFill>
                        <w14:solidFill>
                          <w14:schemeClr w14:val="tx1"/>
                        </w14:solidFill>
                      </w14:textFill>
                    </w:rPr>
                    <w:t>直接影响、可逆影响、短期影响</w:t>
                  </w:r>
                </w:p>
              </w:tc>
              <w:tc>
                <w:tcPr>
                  <w:tcW w:w="608" w:type="dxa"/>
                  <w:shd w:val="clear" w:color="auto" w:fill="auto"/>
                  <w:vAlign w:val="center"/>
                </w:tcPr>
                <w:p w14:paraId="69B733CC">
                  <w:pPr>
                    <w:pStyle w:val="107"/>
                    <w:spacing w:line="240" w:lineRule="auto"/>
                    <w:ind w:firstLine="0"/>
                    <w:jc w:val="center"/>
                    <w:rPr>
                      <w:rFonts w:ascii="Times New Roman" w:hAnsi="Times New Roman"/>
                      <w:color w:val="000000" w:themeColor="text1"/>
                      <w:sz w:val="21"/>
                      <w:szCs w:val="21"/>
                      <w:highlight w:val="none"/>
                      <w:u w:val="none"/>
                      <w14:textFill>
                        <w14:solidFill>
                          <w14:schemeClr w14:val="tx1"/>
                        </w14:solidFill>
                      </w14:textFill>
                    </w:rPr>
                  </w:pPr>
                  <w:r>
                    <w:rPr>
                      <w:rFonts w:ascii="Times New Roman" w:hAnsi="Times New Roman"/>
                      <w:color w:val="000000" w:themeColor="text1"/>
                      <w:sz w:val="21"/>
                      <w:szCs w:val="21"/>
                      <w:highlight w:val="none"/>
                      <w:u w:val="none"/>
                      <w14:textFill>
                        <w14:solidFill>
                          <w14:schemeClr w14:val="tx1"/>
                        </w14:solidFill>
                      </w14:textFill>
                    </w:rPr>
                    <w:t>弱</w:t>
                  </w:r>
                </w:p>
              </w:tc>
            </w:tr>
            <w:tr w14:paraId="3869C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7" w:type="dxa"/>
                  <w:shd w:val="clear" w:color="auto" w:fill="auto"/>
                  <w:vAlign w:val="center"/>
                </w:tcPr>
                <w:p w14:paraId="06B3DD8E">
                  <w:pPr>
                    <w:pStyle w:val="107"/>
                    <w:spacing w:line="240" w:lineRule="auto"/>
                    <w:ind w:firstLine="0"/>
                    <w:jc w:val="center"/>
                    <w:rPr>
                      <w:rFonts w:ascii="Times New Roman" w:hAnsi="Times New Roman"/>
                      <w:color w:val="000000" w:themeColor="text1"/>
                      <w:sz w:val="21"/>
                      <w:szCs w:val="21"/>
                      <w:highlight w:val="none"/>
                      <w:u w:val="none"/>
                      <w14:textFill>
                        <w14:solidFill>
                          <w14:schemeClr w14:val="tx1"/>
                        </w14:solidFill>
                      </w14:textFill>
                    </w:rPr>
                  </w:pPr>
                  <w:r>
                    <w:rPr>
                      <w:rFonts w:ascii="Times New Roman" w:hAnsi="Times New Roman"/>
                      <w:color w:val="000000" w:themeColor="text1"/>
                      <w:sz w:val="21"/>
                      <w:szCs w:val="21"/>
                      <w:highlight w:val="none"/>
                      <w:u w:val="none"/>
                      <w14:textFill>
                        <w14:solidFill>
                          <w14:schemeClr w14:val="tx1"/>
                        </w14:solidFill>
                      </w14:textFill>
                    </w:rPr>
                    <w:t>生物群落</w:t>
                  </w:r>
                </w:p>
              </w:tc>
              <w:tc>
                <w:tcPr>
                  <w:tcW w:w="1761" w:type="dxa"/>
                  <w:shd w:val="clear" w:color="auto" w:fill="auto"/>
                  <w:vAlign w:val="center"/>
                </w:tcPr>
                <w:p w14:paraId="6FFF12B3">
                  <w:pPr>
                    <w:pStyle w:val="107"/>
                    <w:spacing w:line="240" w:lineRule="auto"/>
                    <w:ind w:firstLine="0"/>
                    <w:jc w:val="center"/>
                    <w:rPr>
                      <w:rFonts w:ascii="Times New Roman" w:hAnsi="Times New Roman"/>
                      <w:color w:val="000000" w:themeColor="text1"/>
                      <w:sz w:val="21"/>
                      <w:szCs w:val="21"/>
                      <w:highlight w:val="none"/>
                      <w:u w:val="none"/>
                      <w14:textFill>
                        <w14:solidFill>
                          <w14:schemeClr w14:val="tx1"/>
                        </w14:solidFill>
                      </w14:textFill>
                    </w:rPr>
                  </w:pPr>
                  <w:r>
                    <w:rPr>
                      <w:rFonts w:ascii="Times New Roman" w:hAnsi="Times New Roman"/>
                      <w:color w:val="000000" w:themeColor="text1"/>
                      <w:sz w:val="21"/>
                      <w:szCs w:val="21"/>
                      <w:highlight w:val="none"/>
                      <w:u w:val="none"/>
                      <w14:textFill>
                        <w14:solidFill>
                          <w14:schemeClr w14:val="tx1"/>
                        </w14:solidFill>
                      </w14:textFill>
                    </w:rPr>
                    <w:t>物种组成、群落结构</w:t>
                  </w:r>
                </w:p>
              </w:tc>
              <w:tc>
                <w:tcPr>
                  <w:tcW w:w="3101" w:type="dxa"/>
                  <w:shd w:val="clear" w:color="auto" w:fill="auto"/>
                  <w:vAlign w:val="center"/>
                </w:tcPr>
                <w:p w14:paraId="26A0844E">
                  <w:pPr>
                    <w:pStyle w:val="107"/>
                    <w:spacing w:line="240" w:lineRule="auto"/>
                    <w:ind w:firstLine="0"/>
                    <w:jc w:val="center"/>
                    <w:rPr>
                      <w:rFonts w:ascii="Times New Roman" w:hAnsi="Times New Roman"/>
                      <w:color w:val="000000" w:themeColor="text1"/>
                      <w:sz w:val="21"/>
                      <w:szCs w:val="21"/>
                      <w:highlight w:val="none"/>
                      <w:u w:val="none"/>
                      <w14:textFill>
                        <w14:solidFill>
                          <w14:schemeClr w14:val="tx1"/>
                        </w14:solidFill>
                      </w14:textFill>
                    </w:rPr>
                  </w:pPr>
                  <w:r>
                    <w:rPr>
                      <w:rFonts w:ascii="Times New Roman" w:hAnsi="Times New Roman"/>
                      <w:color w:val="000000" w:themeColor="text1"/>
                      <w:sz w:val="21"/>
                      <w:szCs w:val="21"/>
                      <w:highlight w:val="none"/>
                      <w:u w:val="none"/>
                      <w14:textFill>
                        <w14:solidFill>
                          <w14:schemeClr w14:val="tx1"/>
                        </w14:solidFill>
                      </w14:textFill>
                    </w:rPr>
                    <w:t>工程占地区边缘效应等造成群落结构改变</w:t>
                  </w:r>
                </w:p>
              </w:tc>
              <w:tc>
                <w:tcPr>
                  <w:tcW w:w="1441" w:type="dxa"/>
                  <w:shd w:val="clear" w:color="auto" w:fill="auto"/>
                  <w:vAlign w:val="center"/>
                </w:tcPr>
                <w:p w14:paraId="0FB2E535">
                  <w:pPr>
                    <w:pStyle w:val="107"/>
                    <w:spacing w:line="240" w:lineRule="auto"/>
                    <w:ind w:firstLine="0"/>
                    <w:jc w:val="center"/>
                    <w:rPr>
                      <w:rFonts w:ascii="Times New Roman" w:hAnsi="Times New Roman"/>
                      <w:color w:val="000000" w:themeColor="text1"/>
                      <w:sz w:val="21"/>
                      <w:szCs w:val="21"/>
                      <w:highlight w:val="none"/>
                      <w:u w:val="none"/>
                      <w14:textFill>
                        <w14:solidFill>
                          <w14:schemeClr w14:val="tx1"/>
                        </w14:solidFill>
                      </w14:textFill>
                    </w:rPr>
                  </w:pPr>
                  <w:r>
                    <w:rPr>
                      <w:rFonts w:ascii="Times New Roman" w:hAnsi="Times New Roman"/>
                      <w:color w:val="000000" w:themeColor="text1"/>
                      <w:sz w:val="21"/>
                      <w:szCs w:val="21"/>
                      <w:highlight w:val="none"/>
                      <w:u w:val="none"/>
                      <w14:textFill>
                        <w14:solidFill>
                          <w14:schemeClr w14:val="tx1"/>
                        </w14:solidFill>
                      </w14:textFill>
                    </w:rPr>
                    <w:t>直接影响、不可逆影响、长期影响</w:t>
                  </w:r>
                </w:p>
              </w:tc>
              <w:tc>
                <w:tcPr>
                  <w:tcW w:w="608" w:type="dxa"/>
                  <w:shd w:val="clear" w:color="auto" w:fill="auto"/>
                  <w:vAlign w:val="center"/>
                </w:tcPr>
                <w:p w14:paraId="682A42CA">
                  <w:pPr>
                    <w:pStyle w:val="107"/>
                    <w:spacing w:line="240" w:lineRule="auto"/>
                    <w:ind w:firstLine="0"/>
                    <w:jc w:val="center"/>
                    <w:rPr>
                      <w:rFonts w:ascii="Times New Roman" w:hAnsi="Times New Roman"/>
                      <w:color w:val="000000" w:themeColor="text1"/>
                      <w:sz w:val="21"/>
                      <w:szCs w:val="21"/>
                      <w:highlight w:val="none"/>
                      <w:u w:val="none"/>
                      <w14:textFill>
                        <w14:solidFill>
                          <w14:schemeClr w14:val="tx1"/>
                        </w14:solidFill>
                      </w14:textFill>
                    </w:rPr>
                  </w:pPr>
                  <w:r>
                    <w:rPr>
                      <w:rFonts w:ascii="Times New Roman" w:hAnsi="Times New Roman"/>
                      <w:color w:val="000000" w:themeColor="text1"/>
                      <w:sz w:val="21"/>
                      <w:szCs w:val="21"/>
                      <w:highlight w:val="none"/>
                      <w:u w:val="none"/>
                      <w14:textFill>
                        <w14:solidFill>
                          <w14:schemeClr w14:val="tx1"/>
                        </w14:solidFill>
                      </w14:textFill>
                    </w:rPr>
                    <w:t>弱</w:t>
                  </w:r>
                </w:p>
              </w:tc>
            </w:tr>
            <w:tr w14:paraId="0799C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7" w:type="dxa"/>
                  <w:shd w:val="clear" w:color="auto" w:fill="auto"/>
                  <w:vAlign w:val="center"/>
                </w:tcPr>
                <w:p w14:paraId="57CEC6C7">
                  <w:pPr>
                    <w:pStyle w:val="107"/>
                    <w:spacing w:line="240" w:lineRule="auto"/>
                    <w:ind w:firstLine="0"/>
                    <w:jc w:val="center"/>
                    <w:rPr>
                      <w:rFonts w:ascii="Times New Roman" w:hAnsi="Times New Roman"/>
                      <w:color w:val="000000" w:themeColor="text1"/>
                      <w:sz w:val="21"/>
                      <w:szCs w:val="21"/>
                      <w:highlight w:val="none"/>
                      <w:u w:val="none"/>
                      <w14:textFill>
                        <w14:solidFill>
                          <w14:schemeClr w14:val="tx1"/>
                        </w14:solidFill>
                      </w14:textFill>
                    </w:rPr>
                  </w:pPr>
                  <w:r>
                    <w:rPr>
                      <w:rFonts w:ascii="Times New Roman" w:hAnsi="Times New Roman"/>
                      <w:color w:val="000000" w:themeColor="text1"/>
                      <w:sz w:val="21"/>
                      <w:szCs w:val="21"/>
                      <w:highlight w:val="none"/>
                      <w:u w:val="none"/>
                      <w14:textFill>
                        <w14:solidFill>
                          <w14:schemeClr w14:val="tx1"/>
                        </w14:solidFill>
                      </w14:textFill>
                    </w:rPr>
                    <w:t>生态系统</w:t>
                  </w:r>
                </w:p>
              </w:tc>
              <w:tc>
                <w:tcPr>
                  <w:tcW w:w="1761" w:type="dxa"/>
                  <w:shd w:val="clear" w:color="auto" w:fill="auto"/>
                  <w:vAlign w:val="center"/>
                </w:tcPr>
                <w:p w14:paraId="58F6320F">
                  <w:pPr>
                    <w:pStyle w:val="107"/>
                    <w:spacing w:line="240" w:lineRule="auto"/>
                    <w:ind w:firstLine="0"/>
                    <w:jc w:val="center"/>
                    <w:rPr>
                      <w:rFonts w:ascii="Times New Roman" w:hAnsi="Times New Roman"/>
                      <w:color w:val="000000" w:themeColor="text1"/>
                      <w:sz w:val="21"/>
                      <w:szCs w:val="21"/>
                      <w:highlight w:val="none"/>
                      <w:u w:val="none"/>
                      <w14:textFill>
                        <w14:solidFill>
                          <w14:schemeClr w14:val="tx1"/>
                        </w14:solidFill>
                      </w14:textFill>
                    </w:rPr>
                  </w:pPr>
                  <w:r>
                    <w:rPr>
                      <w:rFonts w:ascii="Times New Roman" w:hAnsi="Times New Roman"/>
                      <w:color w:val="000000" w:themeColor="text1"/>
                      <w:sz w:val="21"/>
                      <w:szCs w:val="21"/>
                      <w:highlight w:val="none"/>
                      <w:u w:val="none"/>
                      <w14:textFill>
                        <w14:solidFill>
                          <w14:schemeClr w14:val="tx1"/>
                        </w14:solidFill>
                      </w14:textFill>
                    </w:rPr>
                    <w:t>植被覆盖度、生产力、生物量、生态系统功能</w:t>
                  </w:r>
                </w:p>
              </w:tc>
              <w:tc>
                <w:tcPr>
                  <w:tcW w:w="3101" w:type="dxa"/>
                  <w:shd w:val="clear" w:color="auto" w:fill="auto"/>
                  <w:vAlign w:val="center"/>
                </w:tcPr>
                <w:p w14:paraId="18F21C4A">
                  <w:pPr>
                    <w:pStyle w:val="107"/>
                    <w:spacing w:line="240" w:lineRule="auto"/>
                    <w:ind w:firstLine="0"/>
                    <w:jc w:val="center"/>
                    <w:rPr>
                      <w:rFonts w:ascii="Times New Roman" w:hAnsi="Times New Roman"/>
                      <w:color w:val="000000" w:themeColor="text1"/>
                      <w:sz w:val="21"/>
                      <w:szCs w:val="21"/>
                      <w:highlight w:val="none"/>
                      <w:u w:val="none"/>
                      <w14:textFill>
                        <w14:solidFill>
                          <w14:schemeClr w14:val="tx1"/>
                        </w14:solidFill>
                      </w14:textFill>
                    </w:rPr>
                  </w:pPr>
                  <w:r>
                    <w:rPr>
                      <w:rFonts w:ascii="Times New Roman" w:hAnsi="Times New Roman"/>
                      <w:color w:val="000000" w:themeColor="text1"/>
                      <w:sz w:val="21"/>
                      <w:szCs w:val="21"/>
                      <w:highlight w:val="none"/>
                      <w:u w:val="none"/>
                      <w14:textFill>
                        <w14:solidFill>
                          <w14:schemeClr w14:val="tx1"/>
                        </w14:solidFill>
                      </w14:textFill>
                    </w:rPr>
                    <w:t>施工永久、临时占地导致植被覆盖度降低、生物量、生产力降低、生态系统功能受到一定影响</w:t>
                  </w:r>
                </w:p>
              </w:tc>
              <w:tc>
                <w:tcPr>
                  <w:tcW w:w="1441" w:type="dxa"/>
                  <w:shd w:val="clear" w:color="auto" w:fill="auto"/>
                  <w:vAlign w:val="center"/>
                </w:tcPr>
                <w:p w14:paraId="7DBAAE62">
                  <w:pPr>
                    <w:pStyle w:val="107"/>
                    <w:spacing w:line="240" w:lineRule="auto"/>
                    <w:ind w:firstLine="0"/>
                    <w:jc w:val="center"/>
                    <w:rPr>
                      <w:rFonts w:ascii="Times New Roman" w:hAnsi="Times New Roman"/>
                      <w:color w:val="000000" w:themeColor="text1"/>
                      <w:sz w:val="21"/>
                      <w:szCs w:val="21"/>
                      <w:highlight w:val="none"/>
                      <w:u w:val="none"/>
                      <w14:textFill>
                        <w14:solidFill>
                          <w14:schemeClr w14:val="tx1"/>
                        </w14:solidFill>
                      </w14:textFill>
                    </w:rPr>
                  </w:pPr>
                  <w:r>
                    <w:rPr>
                      <w:rFonts w:ascii="Times New Roman" w:hAnsi="Times New Roman"/>
                      <w:color w:val="000000" w:themeColor="text1"/>
                      <w:sz w:val="21"/>
                      <w:szCs w:val="21"/>
                      <w:highlight w:val="none"/>
                      <w:u w:val="none"/>
                      <w14:textFill>
                        <w14:solidFill>
                          <w14:schemeClr w14:val="tx1"/>
                        </w14:solidFill>
                      </w14:textFill>
                    </w:rPr>
                    <w:t>直接影响、可逆影响、长期影响</w:t>
                  </w:r>
                </w:p>
              </w:tc>
              <w:tc>
                <w:tcPr>
                  <w:tcW w:w="608" w:type="dxa"/>
                  <w:shd w:val="clear" w:color="auto" w:fill="auto"/>
                  <w:vAlign w:val="center"/>
                </w:tcPr>
                <w:p w14:paraId="6E9993A7">
                  <w:pPr>
                    <w:pStyle w:val="107"/>
                    <w:spacing w:line="240" w:lineRule="auto"/>
                    <w:ind w:firstLine="0"/>
                    <w:jc w:val="center"/>
                    <w:rPr>
                      <w:rFonts w:ascii="Times New Roman" w:hAnsi="Times New Roman"/>
                      <w:color w:val="000000" w:themeColor="text1"/>
                      <w:sz w:val="21"/>
                      <w:szCs w:val="21"/>
                      <w:highlight w:val="none"/>
                      <w:u w:val="none"/>
                      <w14:textFill>
                        <w14:solidFill>
                          <w14:schemeClr w14:val="tx1"/>
                        </w14:solidFill>
                      </w14:textFill>
                    </w:rPr>
                  </w:pPr>
                  <w:r>
                    <w:rPr>
                      <w:rFonts w:ascii="Times New Roman" w:hAnsi="Times New Roman"/>
                      <w:color w:val="000000" w:themeColor="text1"/>
                      <w:sz w:val="21"/>
                      <w:szCs w:val="21"/>
                      <w:highlight w:val="none"/>
                      <w:u w:val="none"/>
                      <w14:textFill>
                        <w14:solidFill>
                          <w14:schemeClr w14:val="tx1"/>
                        </w14:solidFill>
                      </w14:textFill>
                    </w:rPr>
                    <w:t>弱</w:t>
                  </w:r>
                </w:p>
              </w:tc>
            </w:tr>
            <w:tr w14:paraId="023C6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7" w:type="dxa"/>
                  <w:shd w:val="clear" w:color="auto" w:fill="auto"/>
                  <w:vAlign w:val="center"/>
                </w:tcPr>
                <w:p w14:paraId="62CA1889">
                  <w:pPr>
                    <w:pStyle w:val="107"/>
                    <w:spacing w:line="240" w:lineRule="auto"/>
                    <w:ind w:firstLine="0"/>
                    <w:jc w:val="center"/>
                    <w:rPr>
                      <w:rFonts w:ascii="Times New Roman" w:hAnsi="Times New Roman"/>
                      <w:color w:val="000000" w:themeColor="text1"/>
                      <w:sz w:val="21"/>
                      <w:szCs w:val="21"/>
                      <w:highlight w:val="none"/>
                      <w:u w:val="none"/>
                      <w14:textFill>
                        <w14:solidFill>
                          <w14:schemeClr w14:val="tx1"/>
                        </w14:solidFill>
                      </w14:textFill>
                    </w:rPr>
                  </w:pPr>
                  <w:r>
                    <w:rPr>
                      <w:rFonts w:ascii="Times New Roman" w:hAnsi="Times New Roman"/>
                      <w:color w:val="000000" w:themeColor="text1"/>
                      <w:sz w:val="21"/>
                      <w:szCs w:val="21"/>
                      <w:highlight w:val="none"/>
                      <w:u w:val="none"/>
                      <w14:textFill>
                        <w14:solidFill>
                          <w14:schemeClr w14:val="tx1"/>
                        </w14:solidFill>
                      </w14:textFill>
                    </w:rPr>
                    <w:t>自然景观</w:t>
                  </w:r>
                </w:p>
              </w:tc>
              <w:tc>
                <w:tcPr>
                  <w:tcW w:w="1761" w:type="dxa"/>
                  <w:shd w:val="clear" w:color="auto" w:fill="auto"/>
                  <w:vAlign w:val="center"/>
                </w:tcPr>
                <w:p w14:paraId="004BB104">
                  <w:pPr>
                    <w:pStyle w:val="107"/>
                    <w:spacing w:line="240" w:lineRule="auto"/>
                    <w:ind w:firstLine="0"/>
                    <w:jc w:val="center"/>
                    <w:rPr>
                      <w:rFonts w:ascii="Times New Roman" w:hAnsi="Times New Roman"/>
                      <w:color w:val="000000" w:themeColor="text1"/>
                      <w:sz w:val="21"/>
                      <w:szCs w:val="21"/>
                      <w:highlight w:val="none"/>
                      <w:u w:val="none"/>
                      <w14:textFill>
                        <w14:solidFill>
                          <w14:schemeClr w14:val="tx1"/>
                        </w14:solidFill>
                      </w14:textFill>
                    </w:rPr>
                  </w:pPr>
                  <w:r>
                    <w:rPr>
                      <w:rFonts w:hint="eastAsia"/>
                      <w:color w:val="000000" w:themeColor="text1"/>
                      <w:sz w:val="21"/>
                      <w:szCs w:val="21"/>
                      <w:highlight w:val="none"/>
                      <w:u w:val="none"/>
                      <w:lang w:val="en-US" w:eastAsia="zh-CN"/>
                      <w14:textFill>
                        <w14:solidFill>
                          <w14:schemeClr w14:val="tx1"/>
                        </w14:solidFill>
                      </w14:textFill>
                    </w:rPr>
                    <w:t>景观</w:t>
                  </w:r>
                  <w:r>
                    <w:rPr>
                      <w:rFonts w:ascii="Times New Roman" w:hAnsi="Times New Roman"/>
                      <w:color w:val="000000" w:themeColor="text1"/>
                      <w:sz w:val="21"/>
                      <w:szCs w:val="21"/>
                      <w:highlight w:val="none"/>
                      <w:u w:val="none"/>
                      <w14:textFill>
                        <w14:solidFill>
                          <w14:schemeClr w14:val="tx1"/>
                        </w14:solidFill>
                      </w14:textFill>
                    </w:rPr>
                    <w:t>多样性、完整性等</w:t>
                  </w:r>
                </w:p>
              </w:tc>
              <w:tc>
                <w:tcPr>
                  <w:tcW w:w="3101" w:type="dxa"/>
                  <w:shd w:val="clear" w:color="auto" w:fill="auto"/>
                  <w:vAlign w:val="center"/>
                </w:tcPr>
                <w:p w14:paraId="50CECEE1">
                  <w:pPr>
                    <w:pStyle w:val="107"/>
                    <w:spacing w:line="240" w:lineRule="auto"/>
                    <w:ind w:firstLine="0"/>
                    <w:jc w:val="center"/>
                    <w:rPr>
                      <w:rFonts w:ascii="Times New Roman" w:hAnsi="Times New Roman"/>
                      <w:color w:val="000000" w:themeColor="text1"/>
                      <w:sz w:val="21"/>
                      <w:szCs w:val="21"/>
                      <w:highlight w:val="none"/>
                      <w:u w:val="none"/>
                      <w14:textFill>
                        <w14:solidFill>
                          <w14:schemeClr w14:val="tx1"/>
                        </w14:solidFill>
                      </w14:textFill>
                    </w:rPr>
                  </w:pPr>
                  <w:r>
                    <w:rPr>
                      <w:rFonts w:ascii="Times New Roman" w:hAnsi="Times New Roman"/>
                      <w:color w:val="000000" w:themeColor="text1"/>
                      <w:sz w:val="21"/>
                      <w:szCs w:val="21"/>
                      <w:highlight w:val="none"/>
                      <w:u w:val="none"/>
                      <w14:textFill>
                        <w14:solidFill>
                          <w14:schemeClr w14:val="tx1"/>
                        </w14:solidFill>
                      </w14:textFill>
                    </w:rPr>
                    <w:t>工程建设造成景观面积变化</w:t>
                  </w:r>
                </w:p>
              </w:tc>
              <w:tc>
                <w:tcPr>
                  <w:tcW w:w="1441" w:type="dxa"/>
                  <w:shd w:val="clear" w:color="auto" w:fill="auto"/>
                  <w:vAlign w:val="center"/>
                </w:tcPr>
                <w:p w14:paraId="2CD09336">
                  <w:pPr>
                    <w:pStyle w:val="107"/>
                    <w:spacing w:line="240" w:lineRule="auto"/>
                    <w:ind w:firstLine="0"/>
                    <w:jc w:val="center"/>
                    <w:rPr>
                      <w:rFonts w:ascii="Times New Roman" w:hAnsi="Times New Roman"/>
                      <w:color w:val="000000" w:themeColor="text1"/>
                      <w:sz w:val="21"/>
                      <w:szCs w:val="21"/>
                      <w:highlight w:val="none"/>
                      <w:u w:val="none"/>
                      <w14:textFill>
                        <w14:solidFill>
                          <w14:schemeClr w14:val="tx1"/>
                        </w14:solidFill>
                      </w14:textFill>
                    </w:rPr>
                  </w:pPr>
                  <w:r>
                    <w:rPr>
                      <w:rFonts w:ascii="Times New Roman" w:hAnsi="Times New Roman"/>
                      <w:color w:val="000000" w:themeColor="text1"/>
                      <w:sz w:val="21"/>
                      <w:szCs w:val="21"/>
                      <w:highlight w:val="none"/>
                      <w:u w:val="none"/>
                      <w14:textFill>
                        <w14:solidFill>
                          <w14:schemeClr w14:val="tx1"/>
                        </w14:solidFill>
                      </w14:textFill>
                    </w:rPr>
                    <w:t>直接影响、不可逆影响、长期影响</w:t>
                  </w:r>
                </w:p>
              </w:tc>
              <w:tc>
                <w:tcPr>
                  <w:tcW w:w="608" w:type="dxa"/>
                  <w:shd w:val="clear" w:color="auto" w:fill="auto"/>
                  <w:vAlign w:val="center"/>
                </w:tcPr>
                <w:p w14:paraId="0FBFDEAA">
                  <w:pPr>
                    <w:pStyle w:val="107"/>
                    <w:spacing w:line="240" w:lineRule="auto"/>
                    <w:ind w:firstLine="0"/>
                    <w:jc w:val="center"/>
                    <w:rPr>
                      <w:rFonts w:ascii="Times New Roman" w:hAnsi="Times New Roman"/>
                      <w:color w:val="000000" w:themeColor="text1"/>
                      <w:sz w:val="21"/>
                      <w:szCs w:val="21"/>
                      <w:highlight w:val="none"/>
                      <w:u w:val="none"/>
                      <w14:textFill>
                        <w14:solidFill>
                          <w14:schemeClr w14:val="tx1"/>
                        </w14:solidFill>
                      </w14:textFill>
                    </w:rPr>
                  </w:pPr>
                  <w:r>
                    <w:rPr>
                      <w:rFonts w:ascii="Times New Roman" w:hAnsi="Times New Roman"/>
                      <w:color w:val="000000" w:themeColor="text1"/>
                      <w:sz w:val="21"/>
                      <w:szCs w:val="21"/>
                      <w:highlight w:val="none"/>
                      <w:u w:val="none"/>
                      <w14:textFill>
                        <w14:solidFill>
                          <w14:schemeClr w14:val="tx1"/>
                        </w14:solidFill>
                      </w14:textFill>
                    </w:rPr>
                    <w:t>弱</w:t>
                  </w:r>
                </w:p>
              </w:tc>
            </w:tr>
            <w:tr w14:paraId="1C939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78" w:type="dxa"/>
                  <w:gridSpan w:val="5"/>
                  <w:shd w:val="clear" w:color="auto" w:fill="auto"/>
                  <w:vAlign w:val="center"/>
                </w:tcPr>
                <w:p w14:paraId="6EA634FA">
                  <w:pPr>
                    <w:pStyle w:val="107"/>
                    <w:spacing w:line="240" w:lineRule="auto"/>
                    <w:ind w:firstLine="0"/>
                    <w:jc w:val="center"/>
                    <w:rPr>
                      <w:rFonts w:ascii="Times New Roman" w:hAnsi="Times New Roman"/>
                      <w:b/>
                      <w:color w:val="000000" w:themeColor="text1"/>
                      <w:sz w:val="21"/>
                      <w:szCs w:val="21"/>
                      <w:highlight w:val="none"/>
                      <w:u w:val="none"/>
                      <w14:textFill>
                        <w14:solidFill>
                          <w14:schemeClr w14:val="tx1"/>
                        </w14:solidFill>
                      </w14:textFill>
                    </w:rPr>
                  </w:pPr>
                  <w:r>
                    <w:rPr>
                      <w:rFonts w:ascii="Times New Roman" w:hAnsi="Times New Roman"/>
                      <w:b/>
                      <w:color w:val="000000" w:themeColor="text1"/>
                      <w:sz w:val="21"/>
                      <w:szCs w:val="21"/>
                      <w:highlight w:val="none"/>
                      <w:u w:val="none"/>
                      <w14:textFill>
                        <w14:solidFill>
                          <w14:schemeClr w14:val="tx1"/>
                        </w14:solidFill>
                      </w14:textFill>
                    </w:rPr>
                    <w:t>运营期</w:t>
                  </w:r>
                </w:p>
              </w:tc>
            </w:tr>
            <w:tr w14:paraId="0FF4C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7" w:type="dxa"/>
                  <w:shd w:val="clear" w:color="auto" w:fill="auto"/>
                  <w:vAlign w:val="center"/>
                </w:tcPr>
                <w:p w14:paraId="11D43191">
                  <w:pPr>
                    <w:pStyle w:val="107"/>
                    <w:spacing w:line="240" w:lineRule="auto"/>
                    <w:ind w:firstLine="0"/>
                    <w:jc w:val="center"/>
                    <w:rPr>
                      <w:rFonts w:ascii="Times New Roman" w:hAnsi="Times New Roman"/>
                      <w:color w:val="000000" w:themeColor="text1"/>
                      <w:sz w:val="21"/>
                      <w:szCs w:val="21"/>
                      <w:highlight w:val="none"/>
                      <w:u w:val="none"/>
                      <w14:textFill>
                        <w14:solidFill>
                          <w14:schemeClr w14:val="tx1"/>
                        </w14:solidFill>
                      </w14:textFill>
                    </w:rPr>
                  </w:pPr>
                  <w:r>
                    <w:rPr>
                      <w:rFonts w:ascii="Times New Roman" w:hAnsi="Times New Roman"/>
                      <w:color w:val="000000" w:themeColor="text1"/>
                      <w:sz w:val="21"/>
                      <w:szCs w:val="21"/>
                      <w:highlight w:val="none"/>
                      <w:u w:val="none"/>
                      <w14:textFill>
                        <w14:solidFill>
                          <w14:schemeClr w14:val="tx1"/>
                        </w14:solidFill>
                      </w14:textFill>
                    </w:rPr>
                    <w:t>物种</w:t>
                  </w:r>
                </w:p>
              </w:tc>
              <w:tc>
                <w:tcPr>
                  <w:tcW w:w="1761" w:type="dxa"/>
                  <w:shd w:val="clear" w:color="auto" w:fill="auto"/>
                  <w:vAlign w:val="center"/>
                </w:tcPr>
                <w:p w14:paraId="45C04346">
                  <w:pPr>
                    <w:pStyle w:val="107"/>
                    <w:spacing w:line="240" w:lineRule="auto"/>
                    <w:ind w:firstLine="0"/>
                    <w:jc w:val="center"/>
                    <w:rPr>
                      <w:rFonts w:ascii="Times New Roman" w:hAnsi="Times New Roman"/>
                      <w:color w:val="000000" w:themeColor="text1"/>
                      <w:sz w:val="21"/>
                      <w:szCs w:val="21"/>
                      <w:highlight w:val="none"/>
                      <w:u w:val="none"/>
                      <w14:textFill>
                        <w14:solidFill>
                          <w14:schemeClr w14:val="tx1"/>
                        </w14:solidFill>
                      </w14:textFill>
                    </w:rPr>
                  </w:pPr>
                  <w:r>
                    <w:rPr>
                      <w:rFonts w:ascii="Times New Roman" w:hAnsi="Times New Roman"/>
                      <w:color w:val="000000" w:themeColor="text1"/>
                      <w:sz w:val="21"/>
                      <w:szCs w:val="21"/>
                      <w:highlight w:val="none"/>
                      <w:u w:val="none"/>
                      <w14:textFill>
                        <w14:solidFill>
                          <w14:schemeClr w14:val="tx1"/>
                        </w14:solidFill>
                      </w14:textFill>
                    </w:rPr>
                    <w:t>分布范围、种群数量、种群结构</w:t>
                  </w:r>
                </w:p>
              </w:tc>
              <w:tc>
                <w:tcPr>
                  <w:tcW w:w="3101" w:type="dxa"/>
                  <w:shd w:val="clear" w:color="auto" w:fill="auto"/>
                  <w:vAlign w:val="center"/>
                </w:tcPr>
                <w:p w14:paraId="405A3AB3">
                  <w:pPr>
                    <w:pStyle w:val="107"/>
                    <w:spacing w:line="240" w:lineRule="auto"/>
                    <w:ind w:firstLine="0"/>
                    <w:jc w:val="center"/>
                    <w:rPr>
                      <w:rFonts w:ascii="Times New Roman" w:hAnsi="Times New Roman"/>
                      <w:color w:val="000000" w:themeColor="text1"/>
                      <w:sz w:val="21"/>
                      <w:szCs w:val="21"/>
                      <w:highlight w:val="none"/>
                      <w:u w:val="none"/>
                      <w14:textFill>
                        <w14:solidFill>
                          <w14:schemeClr w14:val="tx1"/>
                        </w14:solidFill>
                      </w14:textFill>
                    </w:rPr>
                  </w:pPr>
                  <w:r>
                    <w:rPr>
                      <w:rFonts w:ascii="Times New Roman" w:hAnsi="Times New Roman"/>
                      <w:color w:val="000000" w:themeColor="text1"/>
                      <w:sz w:val="21"/>
                      <w:szCs w:val="21"/>
                      <w:highlight w:val="none"/>
                      <w:u w:val="none"/>
                      <w14:textFill>
                        <w14:solidFill>
                          <w14:schemeClr w14:val="tx1"/>
                        </w14:solidFill>
                      </w14:textFill>
                    </w:rPr>
                    <w:t>风机运行产生噪声对动物的干扰以及发生鸟撞、工作人员活动干扰等造成影响</w:t>
                  </w:r>
                </w:p>
              </w:tc>
              <w:tc>
                <w:tcPr>
                  <w:tcW w:w="1441" w:type="dxa"/>
                  <w:shd w:val="clear" w:color="auto" w:fill="auto"/>
                  <w:vAlign w:val="center"/>
                </w:tcPr>
                <w:p w14:paraId="6975FDC6">
                  <w:pPr>
                    <w:pStyle w:val="107"/>
                    <w:spacing w:line="240" w:lineRule="auto"/>
                    <w:ind w:firstLine="0"/>
                    <w:jc w:val="center"/>
                    <w:rPr>
                      <w:rFonts w:ascii="Times New Roman" w:hAnsi="Times New Roman"/>
                      <w:color w:val="000000" w:themeColor="text1"/>
                      <w:sz w:val="21"/>
                      <w:szCs w:val="21"/>
                      <w:highlight w:val="none"/>
                      <w:u w:val="none"/>
                      <w14:textFill>
                        <w14:solidFill>
                          <w14:schemeClr w14:val="tx1"/>
                        </w14:solidFill>
                      </w14:textFill>
                    </w:rPr>
                  </w:pPr>
                  <w:r>
                    <w:rPr>
                      <w:rFonts w:ascii="Times New Roman" w:hAnsi="Times New Roman"/>
                      <w:color w:val="000000" w:themeColor="text1"/>
                      <w:sz w:val="21"/>
                      <w:szCs w:val="21"/>
                      <w:highlight w:val="none"/>
                      <w:u w:val="none"/>
                      <w14:textFill>
                        <w14:solidFill>
                          <w14:schemeClr w14:val="tx1"/>
                        </w14:solidFill>
                      </w14:textFill>
                    </w:rPr>
                    <w:t>直接影响、不可逆影响、长期影响</w:t>
                  </w:r>
                </w:p>
              </w:tc>
              <w:tc>
                <w:tcPr>
                  <w:tcW w:w="608" w:type="dxa"/>
                  <w:shd w:val="clear" w:color="auto" w:fill="auto"/>
                  <w:vAlign w:val="center"/>
                </w:tcPr>
                <w:p w14:paraId="00F39487">
                  <w:pPr>
                    <w:pStyle w:val="107"/>
                    <w:spacing w:line="240" w:lineRule="auto"/>
                    <w:ind w:firstLine="0"/>
                    <w:jc w:val="center"/>
                    <w:rPr>
                      <w:rFonts w:ascii="Times New Roman" w:hAnsi="Times New Roman"/>
                      <w:color w:val="000000" w:themeColor="text1"/>
                      <w:sz w:val="21"/>
                      <w:szCs w:val="21"/>
                      <w:highlight w:val="none"/>
                      <w:u w:val="none"/>
                      <w14:textFill>
                        <w14:solidFill>
                          <w14:schemeClr w14:val="tx1"/>
                        </w14:solidFill>
                      </w14:textFill>
                    </w:rPr>
                  </w:pPr>
                  <w:r>
                    <w:rPr>
                      <w:rFonts w:ascii="Times New Roman" w:hAnsi="Times New Roman"/>
                      <w:color w:val="000000" w:themeColor="text1"/>
                      <w:sz w:val="21"/>
                      <w:szCs w:val="21"/>
                      <w:highlight w:val="none"/>
                      <w:u w:val="none"/>
                      <w14:textFill>
                        <w14:solidFill>
                          <w14:schemeClr w14:val="tx1"/>
                        </w14:solidFill>
                      </w14:textFill>
                    </w:rPr>
                    <w:t>弱</w:t>
                  </w:r>
                </w:p>
              </w:tc>
            </w:tr>
            <w:tr w14:paraId="14E54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7" w:type="dxa"/>
                  <w:shd w:val="clear" w:color="auto" w:fill="auto"/>
                  <w:vAlign w:val="center"/>
                </w:tcPr>
                <w:p w14:paraId="5CD36C36">
                  <w:pPr>
                    <w:pStyle w:val="107"/>
                    <w:spacing w:line="240" w:lineRule="auto"/>
                    <w:ind w:firstLine="0"/>
                    <w:jc w:val="center"/>
                    <w:rPr>
                      <w:rFonts w:ascii="Times New Roman" w:hAnsi="Times New Roman"/>
                      <w:color w:val="000000" w:themeColor="text1"/>
                      <w:sz w:val="21"/>
                      <w:szCs w:val="21"/>
                      <w:highlight w:val="none"/>
                      <w:u w:val="none"/>
                      <w14:textFill>
                        <w14:solidFill>
                          <w14:schemeClr w14:val="tx1"/>
                        </w14:solidFill>
                      </w14:textFill>
                    </w:rPr>
                  </w:pPr>
                  <w:r>
                    <w:rPr>
                      <w:rFonts w:ascii="Times New Roman" w:hAnsi="Times New Roman"/>
                      <w:color w:val="000000" w:themeColor="text1"/>
                      <w:sz w:val="21"/>
                      <w:szCs w:val="21"/>
                      <w:highlight w:val="none"/>
                      <w:u w:val="none"/>
                      <w14:textFill>
                        <w14:solidFill>
                          <w14:schemeClr w14:val="tx1"/>
                        </w14:solidFill>
                      </w14:textFill>
                    </w:rPr>
                    <w:t>生境</w:t>
                  </w:r>
                </w:p>
              </w:tc>
              <w:tc>
                <w:tcPr>
                  <w:tcW w:w="1761" w:type="dxa"/>
                  <w:shd w:val="clear" w:color="auto" w:fill="auto"/>
                  <w:vAlign w:val="center"/>
                </w:tcPr>
                <w:p w14:paraId="160D8CE1">
                  <w:pPr>
                    <w:pStyle w:val="107"/>
                    <w:spacing w:line="240" w:lineRule="auto"/>
                    <w:ind w:firstLine="0"/>
                    <w:jc w:val="center"/>
                    <w:rPr>
                      <w:rFonts w:ascii="Times New Roman" w:hAnsi="Times New Roman"/>
                      <w:color w:val="000000" w:themeColor="text1"/>
                      <w:sz w:val="21"/>
                      <w:szCs w:val="21"/>
                      <w:highlight w:val="none"/>
                      <w:u w:val="none"/>
                      <w14:textFill>
                        <w14:solidFill>
                          <w14:schemeClr w14:val="tx1"/>
                        </w14:solidFill>
                      </w14:textFill>
                    </w:rPr>
                  </w:pPr>
                  <w:r>
                    <w:rPr>
                      <w:rFonts w:ascii="Times New Roman" w:hAnsi="Times New Roman"/>
                      <w:color w:val="000000" w:themeColor="text1"/>
                      <w:sz w:val="21"/>
                      <w:szCs w:val="21"/>
                      <w:highlight w:val="none"/>
                      <w:u w:val="none"/>
                      <w14:textFill>
                        <w14:solidFill>
                          <w14:schemeClr w14:val="tx1"/>
                        </w14:solidFill>
                      </w14:textFill>
                    </w:rPr>
                    <w:t>连通性</w:t>
                  </w:r>
                </w:p>
              </w:tc>
              <w:tc>
                <w:tcPr>
                  <w:tcW w:w="3101" w:type="dxa"/>
                  <w:shd w:val="clear" w:color="auto" w:fill="auto"/>
                  <w:vAlign w:val="center"/>
                </w:tcPr>
                <w:p w14:paraId="02BFA549">
                  <w:pPr>
                    <w:pStyle w:val="107"/>
                    <w:spacing w:line="240" w:lineRule="auto"/>
                    <w:ind w:firstLine="0"/>
                    <w:jc w:val="center"/>
                    <w:rPr>
                      <w:rFonts w:ascii="Times New Roman" w:hAnsi="Times New Roman"/>
                      <w:color w:val="000000" w:themeColor="text1"/>
                      <w:sz w:val="21"/>
                      <w:szCs w:val="21"/>
                      <w:highlight w:val="none"/>
                      <w:u w:val="none"/>
                      <w14:textFill>
                        <w14:solidFill>
                          <w14:schemeClr w14:val="tx1"/>
                        </w14:solidFill>
                      </w14:textFill>
                    </w:rPr>
                  </w:pPr>
                  <w:r>
                    <w:rPr>
                      <w:rFonts w:ascii="Times New Roman" w:hAnsi="Times New Roman"/>
                      <w:color w:val="000000" w:themeColor="text1"/>
                      <w:sz w:val="21"/>
                      <w:szCs w:val="21"/>
                      <w:highlight w:val="none"/>
                      <w:u w:val="none"/>
                      <w14:textFill>
                        <w14:solidFill>
                          <w14:schemeClr w14:val="tx1"/>
                        </w14:solidFill>
                      </w14:textFill>
                    </w:rPr>
                    <w:t>风机运行对鸟类迁徙的影响</w:t>
                  </w:r>
                </w:p>
              </w:tc>
              <w:tc>
                <w:tcPr>
                  <w:tcW w:w="1441" w:type="dxa"/>
                  <w:shd w:val="clear" w:color="auto" w:fill="auto"/>
                  <w:vAlign w:val="center"/>
                </w:tcPr>
                <w:p w14:paraId="7BDEB263">
                  <w:pPr>
                    <w:pStyle w:val="107"/>
                    <w:spacing w:line="240" w:lineRule="auto"/>
                    <w:ind w:firstLine="0"/>
                    <w:jc w:val="center"/>
                    <w:rPr>
                      <w:rFonts w:ascii="Times New Roman" w:hAnsi="Times New Roman"/>
                      <w:color w:val="000000" w:themeColor="text1"/>
                      <w:sz w:val="21"/>
                      <w:szCs w:val="21"/>
                      <w:highlight w:val="none"/>
                      <w:u w:val="none"/>
                      <w14:textFill>
                        <w14:solidFill>
                          <w14:schemeClr w14:val="tx1"/>
                        </w14:solidFill>
                      </w14:textFill>
                    </w:rPr>
                  </w:pPr>
                  <w:r>
                    <w:rPr>
                      <w:rFonts w:ascii="Times New Roman" w:hAnsi="Times New Roman"/>
                      <w:color w:val="000000" w:themeColor="text1"/>
                      <w:sz w:val="21"/>
                      <w:szCs w:val="21"/>
                      <w:highlight w:val="none"/>
                      <w:u w:val="none"/>
                      <w14:textFill>
                        <w14:solidFill>
                          <w14:schemeClr w14:val="tx1"/>
                        </w14:solidFill>
                      </w14:textFill>
                    </w:rPr>
                    <w:t>直接影响、不可逆影响、长期影响</w:t>
                  </w:r>
                </w:p>
              </w:tc>
              <w:tc>
                <w:tcPr>
                  <w:tcW w:w="608" w:type="dxa"/>
                  <w:shd w:val="clear" w:color="auto" w:fill="auto"/>
                  <w:vAlign w:val="center"/>
                </w:tcPr>
                <w:p w14:paraId="6619C509">
                  <w:pPr>
                    <w:pStyle w:val="107"/>
                    <w:spacing w:line="240" w:lineRule="auto"/>
                    <w:ind w:firstLine="0"/>
                    <w:jc w:val="center"/>
                    <w:rPr>
                      <w:rFonts w:ascii="Times New Roman" w:hAnsi="Times New Roman"/>
                      <w:color w:val="000000" w:themeColor="text1"/>
                      <w:sz w:val="21"/>
                      <w:szCs w:val="21"/>
                      <w:highlight w:val="none"/>
                      <w:u w:val="none"/>
                      <w14:textFill>
                        <w14:solidFill>
                          <w14:schemeClr w14:val="tx1"/>
                        </w14:solidFill>
                      </w14:textFill>
                    </w:rPr>
                  </w:pPr>
                  <w:r>
                    <w:rPr>
                      <w:rFonts w:ascii="Times New Roman" w:hAnsi="Times New Roman"/>
                      <w:color w:val="000000" w:themeColor="text1"/>
                      <w:sz w:val="21"/>
                      <w:szCs w:val="21"/>
                      <w:highlight w:val="none"/>
                      <w:u w:val="none"/>
                      <w14:textFill>
                        <w14:solidFill>
                          <w14:schemeClr w14:val="tx1"/>
                        </w14:solidFill>
                      </w14:textFill>
                    </w:rPr>
                    <w:t>弱</w:t>
                  </w:r>
                </w:p>
              </w:tc>
            </w:tr>
            <w:tr w14:paraId="1ED34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7" w:type="dxa"/>
                  <w:shd w:val="clear" w:color="auto" w:fill="auto"/>
                  <w:vAlign w:val="center"/>
                </w:tcPr>
                <w:p w14:paraId="3564A899">
                  <w:pPr>
                    <w:pStyle w:val="107"/>
                    <w:spacing w:line="240" w:lineRule="auto"/>
                    <w:ind w:firstLine="0"/>
                    <w:jc w:val="center"/>
                    <w:rPr>
                      <w:rFonts w:ascii="Times New Roman" w:hAnsi="Times New Roman"/>
                      <w:color w:val="000000" w:themeColor="text1"/>
                      <w:sz w:val="21"/>
                      <w:szCs w:val="21"/>
                      <w:highlight w:val="none"/>
                      <w:u w:val="none"/>
                      <w14:textFill>
                        <w14:solidFill>
                          <w14:schemeClr w14:val="tx1"/>
                        </w14:solidFill>
                      </w14:textFill>
                    </w:rPr>
                  </w:pPr>
                  <w:r>
                    <w:rPr>
                      <w:rFonts w:ascii="Times New Roman" w:hAnsi="Times New Roman"/>
                      <w:color w:val="000000" w:themeColor="text1"/>
                      <w:sz w:val="21"/>
                      <w:szCs w:val="21"/>
                      <w:highlight w:val="none"/>
                      <w:u w:val="none"/>
                      <w14:textFill>
                        <w14:solidFill>
                          <w14:schemeClr w14:val="tx1"/>
                        </w14:solidFill>
                      </w14:textFill>
                    </w:rPr>
                    <w:t>生物群落</w:t>
                  </w:r>
                </w:p>
              </w:tc>
              <w:tc>
                <w:tcPr>
                  <w:tcW w:w="1761" w:type="dxa"/>
                  <w:shd w:val="clear" w:color="auto" w:fill="auto"/>
                  <w:vAlign w:val="center"/>
                </w:tcPr>
                <w:p w14:paraId="7C2672CA">
                  <w:pPr>
                    <w:pStyle w:val="107"/>
                    <w:spacing w:line="240" w:lineRule="auto"/>
                    <w:ind w:firstLine="0"/>
                    <w:jc w:val="center"/>
                    <w:rPr>
                      <w:rFonts w:ascii="Times New Roman" w:hAnsi="Times New Roman"/>
                      <w:color w:val="000000" w:themeColor="text1"/>
                      <w:sz w:val="21"/>
                      <w:szCs w:val="21"/>
                      <w:highlight w:val="none"/>
                      <w:u w:val="none"/>
                      <w14:textFill>
                        <w14:solidFill>
                          <w14:schemeClr w14:val="tx1"/>
                        </w14:solidFill>
                      </w14:textFill>
                    </w:rPr>
                  </w:pPr>
                  <w:r>
                    <w:rPr>
                      <w:rFonts w:ascii="Times New Roman" w:hAnsi="Times New Roman"/>
                      <w:color w:val="000000" w:themeColor="text1"/>
                      <w:sz w:val="21"/>
                      <w:szCs w:val="21"/>
                      <w:highlight w:val="none"/>
                      <w:u w:val="none"/>
                      <w14:textFill>
                        <w14:solidFill>
                          <w14:schemeClr w14:val="tx1"/>
                        </w14:solidFill>
                      </w14:textFill>
                    </w:rPr>
                    <w:t>物种组成、群落结构</w:t>
                  </w:r>
                </w:p>
              </w:tc>
              <w:tc>
                <w:tcPr>
                  <w:tcW w:w="3101" w:type="dxa"/>
                  <w:shd w:val="clear" w:color="auto" w:fill="auto"/>
                  <w:vAlign w:val="center"/>
                </w:tcPr>
                <w:p w14:paraId="321CD8B5">
                  <w:pPr>
                    <w:pStyle w:val="107"/>
                    <w:spacing w:line="240" w:lineRule="auto"/>
                    <w:ind w:firstLine="0"/>
                    <w:jc w:val="center"/>
                    <w:rPr>
                      <w:rFonts w:ascii="Times New Roman" w:hAnsi="Times New Roman"/>
                      <w:color w:val="000000" w:themeColor="text1"/>
                      <w:sz w:val="21"/>
                      <w:szCs w:val="21"/>
                      <w:highlight w:val="none"/>
                      <w:u w:val="none"/>
                      <w14:textFill>
                        <w14:solidFill>
                          <w14:schemeClr w14:val="tx1"/>
                        </w14:solidFill>
                      </w14:textFill>
                    </w:rPr>
                  </w:pPr>
                  <w:r>
                    <w:rPr>
                      <w:rFonts w:ascii="Times New Roman" w:hAnsi="Times New Roman"/>
                      <w:color w:val="000000" w:themeColor="text1"/>
                      <w:sz w:val="21"/>
                      <w:szCs w:val="21"/>
                      <w:highlight w:val="none"/>
                      <w:u w:val="none"/>
                      <w14:textFill>
                        <w14:solidFill>
                          <w14:schemeClr w14:val="tx1"/>
                        </w14:solidFill>
                      </w14:textFill>
                    </w:rPr>
                    <w:t>风机运行产生噪声对动物的干扰以及发生鸟撞、工作人员活动干扰等造成群落结构改变</w:t>
                  </w:r>
                </w:p>
              </w:tc>
              <w:tc>
                <w:tcPr>
                  <w:tcW w:w="1441" w:type="dxa"/>
                  <w:shd w:val="clear" w:color="auto" w:fill="auto"/>
                  <w:vAlign w:val="center"/>
                </w:tcPr>
                <w:p w14:paraId="649C22C3">
                  <w:pPr>
                    <w:pStyle w:val="107"/>
                    <w:spacing w:line="240" w:lineRule="auto"/>
                    <w:ind w:firstLine="0"/>
                    <w:jc w:val="center"/>
                    <w:rPr>
                      <w:rFonts w:ascii="Times New Roman" w:hAnsi="Times New Roman"/>
                      <w:color w:val="000000" w:themeColor="text1"/>
                      <w:sz w:val="21"/>
                      <w:szCs w:val="21"/>
                      <w:highlight w:val="none"/>
                      <w:u w:val="none"/>
                      <w14:textFill>
                        <w14:solidFill>
                          <w14:schemeClr w14:val="tx1"/>
                        </w14:solidFill>
                      </w14:textFill>
                    </w:rPr>
                  </w:pPr>
                  <w:r>
                    <w:rPr>
                      <w:rFonts w:ascii="Times New Roman" w:hAnsi="Times New Roman"/>
                      <w:color w:val="000000" w:themeColor="text1"/>
                      <w:sz w:val="21"/>
                      <w:szCs w:val="21"/>
                      <w:highlight w:val="none"/>
                      <w:u w:val="none"/>
                      <w14:textFill>
                        <w14:solidFill>
                          <w14:schemeClr w14:val="tx1"/>
                        </w14:solidFill>
                      </w14:textFill>
                    </w:rPr>
                    <w:t>直接影响、不可逆影响、长期影响</w:t>
                  </w:r>
                </w:p>
              </w:tc>
              <w:tc>
                <w:tcPr>
                  <w:tcW w:w="608" w:type="dxa"/>
                  <w:shd w:val="clear" w:color="auto" w:fill="auto"/>
                  <w:vAlign w:val="center"/>
                </w:tcPr>
                <w:p w14:paraId="1640F985">
                  <w:pPr>
                    <w:pStyle w:val="107"/>
                    <w:spacing w:line="240" w:lineRule="auto"/>
                    <w:ind w:firstLine="0"/>
                    <w:jc w:val="center"/>
                    <w:rPr>
                      <w:rFonts w:ascii="Times New Roman" w:hAnsi="Times New Roman"/>
                      <w:color w:val="000000" w:themeColor="text1"/>
                      <w:sz w:val="21"/>
                      <w:szCs w:val="21"/>
                      <w:highlight w:val="none"/>
                      <w:u w:val="none"/>
                      <w14:textFill>
                        <w14:solidFill>
                          <w14:schemeClr w14:val="tx1"/>
                        </w14:solidFill>
                      </w14:textFill>
                    </w:rPr>
                  </w:pPr>
                  <w:r>
                    <w:rPr>
                      <w:rFonts w:ascii="Times New Roman" w:hAnsi="Times New Roman"/>
                      <w:color w:val="000000" w:themeColor="text1"/>
                      <w:sz w:val="21"/>
                      <w:szCs w:val="21"/>
                      <w:highlight w:val="none"/>
                      <w:u w:val="none"/>
                      <w14:textFill>
                        <w14:solidFill>
                          <w14:schemeClr w14:val="tx1"/>
                        </w14:solidFill>
                      </w14:textFill>
                    </w:rPr>
                    <w:t>弱</w:t>
                  </w:r>
                </w:p>
              </w:tc>
            </w:tr>
            <w:tr w14:paraId="487B3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7" w:type="dxa"/>
                  <w:shd w:val="clear" w:color="auto" w:fill="auto"/>
                  <w:vAlign w:val="center"/>
                </w:tcPr>
                <w:p w14:paraId="52BF4765">
                  <w:pPr>
                    <w:pStyle w:val="107"/>
                    <w:spacing w:line="240" w:lineRule="auto"/>
                    <w:ind w:firstLine="0"/>
                    <w:jc w:val="center"/>
                    <w:rPr>
                      <w:rFonts w:ascii="Times New Roman" w:hAnsi="Times New Roman"/>
                      <w:color w:val="000000" w:themeColor="text1"/>
                      <w:sz w:val="21"/>
                      <w:szCs w:val="21"/>
                      <w:highlight w:val="none"/>
                      <w:u w:val="none"/>
                      <w14:textFill>
                        <w14:solidFill>
                          <w14:schemeClr w14:val="tx1"/>
                        </w14:solidFill>
                      </w14:textFill>
                    </w:rPr>
                  </w:pPr>
                  <w:r>
                    <w:rPr>
                      <w:rFonts w:ascii="Times New Roman" w:hAnsi="Times New Roman"/>
                      <w:color w:val="000000" w:themeColor="text1"/>
                      <w:sz w:val="21"/>
                      <w:szCs w:val="21"/>
                      <w:highlight w:val="none"/>
                      <w:u w:val="none"/>
                      <w14:textFill>
                        <w14:solidFill>
                          <w14:schemeClr w14:val="tx1"/>
                        </w14:solidFill>
                      </w14:textFill>
                    </w:rPr>
                    <w:t>生态系统</w:t>
                  </w:r>
                </w:p>
              </w:tc>
              <w:tc>
                <w:tcPr>
                  <w:tcW w:w="1761" w:type="dxa"/>
                  <w:shd w:val="clear" w:color="auto" w:fill="auto"/>
                  <w:vAlign w:val="center"/>
                </w:tcPr>
                <w:p w14:paraId="28302574">
                  <w:pPr>
                    <w:pStyle w:val="107"/>
                    <w:spacing w:line="240" w:lineRule="auto"/>
                    <w:ind w:firstLine="0"/>
                    <w:jc w:val="center"/>
                    <w:rPr>
                      <w:rFonts w:ascii="Times New Roman" w:hAnsi="Times New Roman"/>
                      <w:color w:val="000000" w:themeColor="text1"/>
                      <w:sz w:val="21"/>
                      <w:szCs w:val="21"/>
                      <w:highlight w:val="none"/>
                      <w:u w:val="none"/>
                      <w14:textFill>
                        <w14:solidFill>
                          <w14:schemeClr w14:val="tx1"/>
                        </w14:solidFill>
                      </w14:textFill>
                    </w:rPr>
                  </w:pPr>
                  <w:r>
                    <w:rPr>
                      <w:rFonts w:ascii="Times New Roman" w:hAnsi="Times New Roman"/>
                      <w:color w:val="000000" w:themeColor="text1"/>
                      <w:sz w:val="21"/>
                      <w:szCs w:val="21"/>
                      <w:highlight w:val="none"/>
                      <w:u w:val="none"/>
                      <w14:textFill>
                        <w14:solidFill>
                          <w14:schemeClr w14:val="tx1"/>
                        </w14:solidFill>
                      </w14:textFill>
                    </w:rPr>
                    <w:t>植被覆盖度、生产力、生物量、生态系统功能</w:t>
                  </w:r>
                </w:p>
              </w:tc>
              <w:tc>
                <w:tcPr>
                  <w:tcW w:w="3101" w:type="dxa"/>
                  <w:shd w:val="clear" w:color="auto" w:fill="auto"/>
                  <w:vAlign w:val="center"/>
                </w:tcPr>
                <w:p w14:paraId="1C53922A">
                  <w:pPr>
                    <w:pStyle w:val="107"/>
                    <w:spacing w:line="240" w:lineRule="auto"/>
                    <w:ind w:firstLine="0"/>
                    <w:jc w:val="center"/>
                    <w:rPr>
                      <w:rFonts w:ascii="Times New Roman" w:hAnsi="Times New Roman"/>
                      <w:color w:val="000000" w:themeColor="text1"/>
                      <w:sz w:val="21"/>
                      <w:szCs w:val="21"/>
                      <w:highlight w:val="none"/>
                      <w:u w:val="none"/>
                      <w14:textFill>
                        <w14:solidFill>
                          <w14:schemeClr w14:val="tx1"/>
                        </w14:solidFill>
                      </w14:textFill>
                    </w:rPr>
                  </w:pPr>
                  <w:r>
                    <w:rPr>
                      <w:rFonts w:ascii="Times New Roman" w:hAnsi="Times New Roman"/>
                      <w:color w:val="000000" w:themeColor="text1"/>
                      <w:sz w:val="21"/>
                      <w:szCs w:val="21"/>
                      <w:highlight w:val="none"/>
                      <w:u w:val="none"/>
                      <w14:textFill>
                        <w14:solidFill>
                          <w14:schemeClr w14:val="tx1"/>
                        </w14:solidFill>
                      </w14:textFill>
                    </w:rPr>
                    <w:t>临时占地区植被恢复导致植被覆盖度增加、生物量、生产力增加、生态系统功能受到一定影响</w:t>
                  </w:r>
                </w:p>
              </w:tc>
              <w:tc>
                <w:tcPr>
                  <w:tcW w:w="1441" w:type="dxa"/>
                  <w:shd w:val="clear" w:color="auto" w:fill="auto"/>
                  <w:vAlign w:val="center"/>
                </w:tcPr>
                <w:p w14:paraId="29427C9A">
                  <w:pPr>
                    <w:pStyle w:val="107"/>
                    <w:spacing w:line="240" w:lineRule="auto"/>
                    <w:ind w:firstLine="0"/>
                    <w:jc w:val="center"/>
                    <w:rPr>
                      <w:rFonts w:ascii="Times New Roman" w:hAnsi="Times New Roman"/>
                      <w:color w:val="000000" w:themeColor="text1"/>
                      <w:sz w:val="21"/>
                      <w:szCs w:val="21"/>
                      <w:highlight w:val="none"/>
                      <w:u w:val="none"/>
                      <w14:textFill>
                        <w14:solidFill>
                          <w14:schemeClr w14:val="tx1"/>
                        </w14:solidFill>
                      </w14:textFill>
                    </w:rPr>
                  </w:pPr>
                  <w:r>
                    <w:rPr>
                      <w:rFonts w:ascii="Times New Roman" w:hAnsi="Times New Roman"/>
                      <w:color w:val="000000" w:themeColor="text1"/>
                      <w:sz w:val="21"/>
                      <w:szCs w:val="21"/>
                      <w:highlight w:val="none"/>
                      <w:u w:val="none"/>
                      <w14:textFill>
                        <w14:solidFill>
                          <w14:schemeClr w14:val="tx1"/>
                        </w14:solidFill>
                      </w14:textFill>
                    </w:rPr>
                    <w:t>直接影响、不可逆影响、长期影响</w:t>
                  </w:r>
                </w:p>
              </w:tc>
              <w:tc>
                <w:tcPr>
                  <w:tcW w:w="608" w:type="dxa"/>
                  <w:shd w:val="clear" w:color="auto" w:fill="auto"/>
                  <w:vAlign w:val="center"/>
                </w:tcPr>
                <w:p w14:paraId="3248FA6A">
                  <w:pPr>
                    <w:pStyle w:val="107"/>
                    <w:spacing w:line="240" w:lineRule="auto"/>
                    <w:ind w:firstLine="0"/>
                    <w:jc w:val="center"/>
                    <w:rPr>
                      <w:rFonts w:ascii="Times New Roman" w:hAnsi="Times New Roman"/>
                      <w:color w:val="000000" w:themeColor="text1"/>
                      <w:sz w:val="21"/>
                      <w:szCs w:val="21"/>
                      <w:highlight w:val="none"/>
                      <w:u w:val="none"/>
                      <w14:textFill>
                        <w14:solidFill>
                          <w14:schemeClr w14:val="tx1"/>
                        </w14:solidFill>
                      </w14:textFill>
                    </w:rPr>
                  </w:pPr>
                  <w:r>
                    <w:rPr>
                      <w:rFonts w:ascii="Times New Roman" w:hAnsi="Times New Roman"/>
                      <w:color w:val="000000" w:themeColor="text1"/>
                      <w:sz w:val="21"/>
                      <w:szCs w:val="21"/>
                      <w:highlight w:val="none"/>
                      <w:u w:val="none"/>
                      <w14:textFill>
                        <w14:solidFill>
                          <w14:schemeClr w14:val="tx1"/>
                        </w14:solidFill>
                      </w14:textFill>
                    </w:rPr>
                    <w:t>弱</w:t>
                  </w:r>
                </w:p>
              </w:tc>
            </w:tr>
            <w:tr w14:paraId="3F102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7" w:type="dxa"/>
                  <w:shd w:val="clear" w:color="auto" w:fill="auto"/>
                  <w:vAlign w:val="center"/>
                </w:tcPr>
                <w:p w14:paraId="05243DED">
                  <w:pPr>
                    <w:pStyle w:val="107"/>
                    <w:spacing w:line="240" w:lineRule="auto"/>
                    <w:ind w:firstLine="0"/>
                    <w:jc w:val="center"/>
                    <w:rPr>
                      <w:rFonts w:ascii="Times New Roman" w:hAnsi="Times New Roman"/>
                      <w:color w:val="000000" w:themeColor="text1"/>
                      <w:sz w:val="21"/>
                      <w:szCs w:val="21"/>
                      <w:highlight w:val="none"/>
                      <w:u w:val="none"/>
                      <w14:textFill>
                        <w14:solidFill>
                          <w14:schemeClr w14:val="tx1"/>
                        </w14:solidFill>
                      </w14:textFill>
                    </w:rPr>
                  </w:pPr>
                  <w:r>
                    <w:rPr>
                      <w:rFonts w:ascii="Times New Roman" w:hAnsi="Times New Roman"/>
                      <w:color w:val="000000" w:themeColor="text1"/>
                      <w:sz w:val="21"/>
                      <w:szCs w:val="21"/>
                      <w:highlight w:val="none"/>
                      <w:u w:val="none"/>
                      <w14:textFill>
                        <w14:solidFill>
                          <w14:schemeClr w14:val="tx1"/>
                        </w14:solidFill>
                      </w14:textFill>
                    </w:rPr>
                    <w:t>自然景观</w:t>
                  </w:r>
                </w:p>
              </w:tc>
              <w:tc>
                <w:tcPr>
                  <w:tcW w:w="1761" w:type="dxa"/>
                  <w:shd w:val="clear" w:color="auto" w:fill="auto"/>
                  <w:vAlign w:val="center"/>
                </w:tcPr>
                <w:p w14:paraId="07CA33EB">
                  <w:pPr>
                    <w:pStyle w:val="107"/>
                    <w:spacing w:line="240" w:lineRule="auto"/>
                    <w:ind w:firstLine="0"/>
                    <w:jc w:val="center"/>
                    <w:rPr>
                      <w:rFonts w:ascii="Times New Roman" w:hAnsi="Times New Roman"/>
                      <w:color w:val="000000" w:themeColor="text1"/>
                      <w:sz w:val="21"/>
                      <w:szCs w:val="21"/>
                      <w:highlight w:val="none"/>
                      <w:u w:val="none"/>
                      <w14:textFill>
                        <w14:solidFill>
                          <w14:schemeClr w14:val="tx1"/>
                        </w14:solidFill>
                      </w14:textFill>
                    </w:rPr>
                  </w:pPr>
                  <w:r>
                    <w:rPr>
                      <w:rFonts w:ascii="Times New Roman" w:hAnsi="Times New Roman"/>
                      <w:color w:val="000000" w:themeColor="text1"/>
                      <w:sz w:val="21"/>
                      <w:szCs w:val="21"/>
                      <w:highlight w:val="none"/>
                      <w:u w:val="none"/>
                      <w14:textFill>
                        <w14:solidFill>
                          <w14:schemeClr w14:val="tx1"/>
                        </w14:solidFill>
                      </w14:textFill>
                    </w:rPr>
                    <w:t>遗迹多样性、完整性等</w:t>
                  </w:r>
                </w:p>
              </w:tc>
              <w:tc>
                <w:tcPr>
                  <w:tcW w:w="3101" w:type="dxa"/>
                  <w:shd w:val="clear" w:color="auto" w:fill="auto"/>
                  <w:vAlign w:val="center"/>
                </w:tcPr>
                <w:p w14:paraId="1D81DC14">
                  <w:pPr>
                    <w:pStyle w:val="107"/>
                    <w:spacing w:line="240" w:lineRule="auto"/>
                    <w:ind w:firstLine="0"/>
                    <w:jc w:val="center"/>
                    <w:rPr>
                      <w:rFonts w:ascii="Times New Roman" w:hAnsi="Times New Roman"/>
                      <w:color w:val="000000" w:themeColor="text1"/>
                      <w:sz w:val="21"/>
                      <w:szCs w:val="21"/>
                      <w:highlight w:val="none"/>
                      <w:u w:val="none"/>
                      <w14:textFill>
                        <w14:solidFill>
                          <w14:schemeClr w14:val="tx1"/>
                        </w14:solidFill>
                      </w14:textFill>
                    </w:rPr>
                  </w:pPr>
                  <w:r>
                    <w:rPr>
                      <w:rFonts w:ascii="Times New Roman" w:hAnsi="Times New Roman"/>
                      <w:color w:val="000000" w:themeColor="text1"/>
                      <w:sz w:val="21"/>
                      <w:szCs w:val="21"/>
                      <w:highlight w:val="none"/>
                      <w:u w:val="none"/>
                      <w14:textFill>
                        <w14:solidFill>
                          <w14:schemeClr w14:val="tx1"/>
                        </w14:solidFill>
                      </w14:textFill>
                    </w:rPr>
                    <w:t>高大风机对自然景观的干扰</w:t>
                  </w:r>
                </w:p>
              </w:tc>
              <w:tc>
                <w:tcPr>
                  <w:tcW w:w="1441" w:type="dxa"/>
                  <w:shd w:val="clear" w:color="auto" w:fill="auto"/>
                  <w:vAlign w:val="center"/>
                </w:tcPr>
                <w:p w14:paraId="6F6E1634">
                  <w:pPr>
                    <w:pStyle w:val="107"/>
                    <w:spacing w:line="240" w:lineRule="auto"/>
                    <w:ind w:firstLine="0"/>
                    <w:jc w:val="center"/>
                    <w:rPr>
                      <w:rFonts w:ascii="Times New Roman" w:hAnsi="Times New Roman"/>
                      <w:color w:val="000000" w:themeColor="text1"/>
                      <w:sz w:val="21"/>
                      <w:szCs w:val="21"/>
                      <w:highlight w:val="none"/>
                      <w:u w:val="none"/>
                      <w14:textFill>
                        <w14:solidFill>
                          <w14:schemeClr w14:val="tx1"/>
                        </w14:solidFill>
                      </w14:textFill>
                    </w:rPr>
                  </w:pPr>
                  <w:r>
                    <w:rPr>
                      <w:rFonts w:ascii="Times New Roman" w:hAnsi="Times New Roman"/>
                      <w:color w:val="000000" w:themeColor="text1"/>
                      <w:sz w:val="21"/>
                      <w:szCs w:val="21"/>
                      <w:highlight w:val="none"/>
                      <w:u w:val="none"/>
                      <w14:textFill>
                        <w14:solidFill>
                          <w14:schemeClr w14:val="tx1"/>
                        </w14:solidFill>
                      </w14:textFill>
                    </w:rPr>
                    <w:t>直接影响、不可逆影响、长期影响</w:t>
                  </w:r>
                </w:p>
              </w:tc>
              <w:tc>
                <w:tcPr>
                  <w:tcW w:w="608" w:type="dxa"/>
                  <w:shd w:val="clear" w:color="auto" w:fill="auto"/>
                  <w:vAlign w:val="center"/>
                </w:tcPr>
                <w:p w14:paraId="497BABF4">
                  <w:pPr>
                    <w:pStyle w:val="107"/>
                    <w:spacing w:line="240" w:lineRule="auto"/>
                    <w:ind w:firstLine="0"/>
                    <w:jc w:val="center"/>
                    <w:rPr>
                      <w:rFonts w:ascii="Times New Roman" w:hAnsi="Times New Roman"/>
                      <w:color w:val="000000" w:themeColor="text1"/>
                      <w:sz w:val="21"/>
                      <w:szCs w:val="21"/>
                      <w:highlight w:val="none"/>
                      <w:u w:val="none"/>
                      <w14:textFill>
                        <w14:solidFill>
                          <w14:schemeClr w14:val="tx1"/>
                        </w14:solidFill>
                      </w14:textFill>
                    </w:rPr>
                  </w:pPr>
                  <w:r>
                    <w:rPr>
                      <w:rFonts w:ascii="Times New Roman" w:hAnsi="Times New Roman"/>
                      <w:color w:val="000000" w:themeColor="text1"/>
                      <w:sz w:val="21"/>
                      <w:szCs w:val="21"/>
                      <w:highlight w:val="none"/>
                      <w:u w:val="none"/>
                      <w14:textFill>
                        <w14:solidFill>
                          <w14:schemeClr w14:val="tx1"/>
                        </w14:solidFill>
                      </w14:textFill>
                    </w:rPr>
                    <w:t>弱</w:t>
                  </w:r>
                </w:p>
              </w:tc>
            </w:tr>
          </w:tbl>
          <w:p w14:paraId="24EDA7C5">
            <w:pPr>
              <w:pStyle w:val="3"/>
              <w:rPr>
                <w:color w:val="000000" w:themeColor="text1"/>
                <w:highlight w:val="none"/>
                <w:u w:val="none"/>
                <w14:textFill>
                  <w14:solidFill>
                    <w14:schemeClr w14:val="tx1"/>
                  </w14:solidFill>
                </w14:textFill>
              </w:rPr>
            </w:pPr>
            <w:r>
              <w:rPr>
                <w:color w:val="000000" w:themeColor="text1"/>
                <w:highlight w:val="none"/>
                <w:u w:val="none"/>
                <w14:textFill>
                  <w14:solidFill>
                    <w14:schemeClr w14:val="tx1"/>
                  </w14:solidFill>
                </w14:textFill>
              </w:rPr>
              <w:t>生态调查及评价方法</w:t>
            </w:r>
            <w:bookmarkEnd w:id="50"/>
            <w:bookmarkEnd w:id="51"/>
            <w:bookmarkEnd w:id="52"/>
            <w:bookmarkEnd w:id="53"/>
          </w:p>
          <w:p w14:paraId="0DAD3C89">
            <w:pPr>
              <w:adjustRightInd w:val="0"/>
              <w:snapToGrid w:val="0"/>
              <w:spacing w:line="360" w:lineRule="auto"/>
              <w:ind w:firstLine="480"/>
              <w:rPr>
                <w:color w:val="000000" w:themeColor="text1"/>
                <w:highlight w:val="none"/>
                <w:u w:val="none"/>
                <w14:textFill>
                  <w14:solidFill>
                    <w14:schemeClr w14:val="tx1"/>
                  </w14:solidFill>
                </w14:textFill>
              </w:rPr>
            </w:pPr>
            <w:r>
              <w:rPr>
                <w:rFonts w:hint="eastAsia"/>
                <w:color w:val="000000" w:themeColor="text1"/>
                <w:highlight w:val="none"/>
                <w:u w:val="none"/>
                <w14:textFill>
                  <w14:solidFill>
                    <w14:schemeClr w14:val="tx1"/>
                  </w14:solidFill>
                </w14:textFill>
              </w:rPr>
              <w:t>调查内容依据《环境影响评价技术导则 生态影响》（HJ 19-2022）的相关要求确定。为了解评价区生态现状，202</w:t>
            </w:r>
            <w:r>
              <w:rPr>
                <w:rFonts w:hint="eastAsia"/>
                <w:color w:val="000000" w:themeColor="text1"/>
                <w:highlight w:val="none"/>
                <w:u w:val="none"/>
                <w:lang w:val="en-US" w:eastAsia="zh-CN"/>
                <w14:textFill>
                  <w14:solidFill>
                    <w14:schemeClr w14:val="tx1"/>
                  </w14:solidFill>
                </w14:textFill>
              </w:rPr>
              <w:t>4</w:t>
            </w:r>
            <w:r>
              <w:rPr>
                <w:rFonts w:hint="eastAsia"/>
                <w:color w:val="000000" w:themeColor="text1"/>
                <w:highlight w:val="none"/>
                <w:u w:val="none"/>
                <w14:textFill>
                  <w14:solidFill>
                    <w14:schemeClr w14:val="tx1"/>
                  </w14:solidFill>
                </w14:textFill>
              </w:rPr>
              <w:t>年</w:t>
            </w:r>
            <w:r>
              <w:rPr>
                <w:rFonts w:hint="eastAsia"/>
                <w:color w:val="000000" w:themeColor="text1"/>
                <w:highlight w:val="none"/>
                <w:u w:val="none"/>
                <w:lang w:val="en-US" w:eastAsia="zh-CN"/>
                <w14:textFill>
                  <w14:solidFill>
                    <w14:schemeClr w14:val="tx1"/>
                  </w14:solidFill>
                </w14:textFill>
              </w:rPr>
              <w:t>1</w:t>
            </w:r>
            <w:r>
              <w:rPr>
                <w:rFonts w:hint="eastAsia"/>
                <w:color w:val="000000" w:themeColor="text1"/>
                <w:highlight w:val="none"/>
                <w:u w:val="none"/>
                <w14:textFill>
                  <w14:solidFill>
                    <w14:schemeClr w14:val="tx1"/>
                  </w14:solidFill>
                </w14:textFill>
              </w:rPr>
              <w:t>月，评价组相关专业技术人员对评价区土地利用、生态系统、动植物等现状进行了野外调查。利用野外调查和收集的资料，采用图形叠置法、生态机理分析法、景观生态学法、类比法等方法进行评价分析。</w:t>
            </w:r>
          </w:p>
          <w:p w14:paraId="5DE9B5D0">
            <w:pPr>
              <w:pStyle w:val="4"/>
              <w:spacing w:line="360" w:lineRule="auto"/>
              <w:rPr>
                <w:color w:val="000000" w:themeColor="text1"/>
                <w:highlight w:val="none"/>
                <w:u w:val="none"/>
                <w14:textFill>
                  <w14:solidFill>
                    <w14:schemeClr w14:val="tx1"/>
                  </w14:solidFill>
                </w14:textFill>
              </w:rPr>
            </w:pPr>
            <w:bookmarkStart w:id="56" w:name="_Toc119425254"/>
            <w:r>
              <w:rPr>
                <w:color w:val="000000" w:themeColor="text1"/>
                <w:highlight w:val="none"/>
                <w:u w:val="none"/>
                <w14:textFill>
                  <w14:solidFill>
                    <w14:schemeClr w14:val="tx1"/>
                  </w14:solidFill>
                </w14:textFill>
              </w:rPr>
              <w:t>基础资料收集</w:t>
            </w:r>
            <w:bookmarkEnd w:id="56"/>
          </w:p>
          <w:p w14:paraId="22791A2F">
            <w:pPr>
              <w:pStyle w:val="108"/>
              <w:tabs>
                <w:tab w:val="left" w:pos="0"/>
                <w:tab w:val="left" w:pos="1092"/>
                <w:tab w:val="left" w:pos="1190"/>
              </w:tabs>
              <w:adjustRightInd w:val="0"/>
              <w:snapToGrid w:val="0"/>
              <w:spacing w:line="360" w:lineRule="auto"/>
              <w:textAlignment w:val="baseline"/>
              <w:rPr>
                <w:color w:val="000000" w:themeColor="text1"/>
                <w:highlight w:val="none"/>
                <w:u w:val="none"/>
                <w14:textFill>
                  <w14:solidFill>
                    <w14:schemeClr w14:val="tx1"/>
                  </w14:solidFill>
                </w14:textFill>
              </w:rPr>
            </w:pPr>
            <w:r>
              <w:rPr>
                <w:rFonts w:hint="eastAsia"/>
                <w:color w:val="000000" w:themeColor="text1"/>
                <w:highlight w:val="none"/>
                <w:u w:val="none"/>
                <w14:textFill>
                  <w14:solidFill>
                    <w14:schemeClr w14:val="tx1"/>
                  </w14:solidFill>
                </w14:textFill>
              </w:rPr>
              <w:t>收集整理项目涉及区域现有生物多样性资料。在综合分析现有资料的基础上，结合工程特点，确定调查的重点区域及路线。</w:t>
            </w:r>
          </w:p>
          <w:p w14:paraId="34DF0B87">
            <w:pPr>
              <w:pStyle w:val="4"/>
              <w:rPr>
                <w:color w:val="000000" w:themeColor="text1"/>
                <w:highlight w:val="none"/>
                <w:u w:val="none"/>
                <w14:textFill>
                  <w14:solidFill>
                    <w14:schemeClr w14:val="tx1"/>
                  </w14:solidFill>
                </w14:textFill>
              </w:rPr>
            </w:pPr>
            <w:bookmarkStart w:id="57" w:name="_Toc119425255"/>
            <w:r>
              <w:rPr>
                <w:color w:val="000000" w:themeColor="text1"/>
                <w:highlight w:val="none"/>
                <w:u w:val="none"/>
                <w14:textFill>
                  <w14:solidFill>
                    <w14:schemeClr w14:val="tx1"/>
                  </w14:solidFill>
                </w14:textFill>
              </w:rPr>
              <w:t>陆生生物资源调查</w:t>
            </w:r>
            <w:bookmarkEnd w:id="57"/>
          </w:p>
          <w:p w14:paraId="2E600EFB">
            <w:pPr>
              <w:adjustRightInd w:val="0"/>
              <w:snapToGrid w:val="0"/>
              <w:spacing w:line="360" w:lineRule="auto"/>
              <w:ind w:firstLine="482"/>
              <w:rPr>
                <w:color w:val="000000" w:themeColor="text1"/>
                <w:highlight w:val="none"/>
                <w:u w:val="none"/>
                <w14:textFill>
                  <w14:solidFill>
                    <w14:schemeClr w14:val="tx1"/>
                  </w14:solidFill>
                </w14:textFill>
              </w:rPr>
            </w:pPr>
            <w:r>
              <w:rPr>
                <w:color w:val="000000" w:themeColor="text1"/>
                <w:highlight w:val="none"/>
                <w:u w:val="none"/>
                <w14:textFill>
                  <w14:solidFill>
                    <w14:schemeClr w14:val="tx1"/>
                  </w14:solidFill>
                </w14:textFill>
              </w:rPr>
              <w:t>（1）植被和陆生植物调查</w:t>
            </w:r>
          </w:p>
          <w:p w14:paraId="2D3EC2B4">
            <w:pPr>
              <w:tabs>
                <w:tab w:val="left" w:pos="5940"/>
              </w:tabs>
              <w:spacing w:line="360" w:lineRule="auto"/>
              <w:ind w:firstLine="480"/>
              <w:rPr>
                <w:rFonts w:hint="eastAsia"/>
                <w:color w:val="000000" w:themeColor="text1"/>
                <w:highlight w:val="none"/>
                <w:u w:val="none"/>
                <w14:textFill>
                  <w14:solidFill>
                    <w14:schemeClr w14:val="tx1"/>
                  </w14:solidFill>
                </w14:textFill>
              </w:rPr>
            </w:pPr>
            <w:r>
              <w:rPr>
                <w:rFonts w:hint="eastAsia"/>
                <w:color w:val="000000" w:themeColor="text1"/>
                <w:highlight w:val="none"/>
                <w:u w:val="none"/>
                <w14:textFill>
                  <w14:solidFill>
                    <w14:schemeClr w14:val="tx1"/>
                  </w14:solidFill>
                </w14:textFill>
              </w:rPr>
              <w:t>在对评价区生物资源历年资料检索分析的基础上，根据工程方案确定调查路线及调查时间。202</w:t>
            </w:r>
            <w:r>
              <w:rPr>
                <w:rFonts w:hint="eastAsia"/>
                <w:color w:val="000000" w:themeColor="text1"/>
                <w:highlight w:val="none"/>
                <w:u w:val="none"/>
                <w:lang w:val="en-US" w:eastAsia="zh-CN"/>
                <w14:textFill>
                  <w14:solidFill>
                    <w14:schemeClr w14:val="tx1"/>
                  </w14:solidFill>
                </w14:textFill>
              </w:rPr>
              <w:t>4</w:t>
            </w:r>
            <w:r>
              <w:rPr>
                <w:rFonts w:hint="eastAsia"/>
                <w:color w:val="000000" w:themeColor="text1"/>
                <w:highlight w:val="none"/>
                <w:u w:val="none"/>
                <w14:textFill>
                  <w14:solidFill>
                    <w14:schemeClr w14:val="tx1"/>
                  </w14:solidFill>
                </w14:textFill>
              </w:rPr>
              <w:t>年</w:t>
            </w:r>
            <w:r>
              <w:rPr>
                <w:rFonts w:hint="eastAsia"/>
                <w:color w:val="000000" w:themeColor="text1"/>
                <w:highlight w:val="none"/>
                <w:u w:val="none"/>
                <w:lang w:val="en-US" w:eastAsia="zh-CN"/>
                <w14:textFill>
                  <w14:solidFill>
                    <w14:schemeClr w14:val="tx1"/>
                  </w14:solidFill>
                </w14:textFill>
              </w:rPr>
              <w:t>1</w:t>
            </w:r>
            <w:r>
              <w:rPr>
                <w:rFonts w:hint="eastAsia"/>
                <w:color w:val="000000" w:themeColor="text1"/>
                <w:highlight w:val="none"/>
                <w:u w:val="none"/>
                <w14:textFill>
                  <w14:solidFill>
                    <w14:schemeClr w14:val="tx1"/>
                  </w14:solidFill>
                </w14:textFill>
              </w:rPr>
              <w:t>月底评价组相关专业技术人员对评价区植物及植被进行了现场调查，实地调查采取样线与样方调查相结合的方法，确定评价区的植物种类、植被类型及群系等，对保护植物、古树名木的调查采取野外调查、民间访问和文案调查相结合的方法进行。对有疑问植物采集凭证标本并拍摄照片。</w:t>
            </w:r>
          </w:p>
          <w:p w14:paraId="6E273A6C">
            <w:pPr>
              <w:tabs>
                <w:tab w:val="left" w:pos="5940"/>
              </w:tabs>
              <w:spacing w:line="360" w:lineRule="auto"/>
              <w:ind w:firstLine="480"/>
              <w:rPr>
                <w:rFonts w:hint="eastAsia"/>
                <w:color w:val="000000" w:themeColor="text1"/>
                <w:highlight w:val="none"/>
                <w:u w:val="none"/>
                <w14:textFill>
                  <w14:solidFill>
                    <w14:schemeClr w14:val="tx1"/>
                  </w14:solidFill>
                </w14:textFill>
              </w:rPr>
            </w:pPr>
            <w:r>
              <w:rPr>
                <w:rFonts w:hint="eastAsia"/>
                <w:color w:val="000000" w:themeColor="text1"/>
                <w:highlight w:val="none"/>
                <w:u w:val="none"/>
                <w14:textFill>
                  <w14:solidFill>
                    <w14:schemeClr w14:val="tx1"/>
                  </w14:solidFill>
                </w14:textFill>
              </w:rPr>
              <w:t>1）调查路线选取</w:t>
            </w:r>
          </w:p>
          <w:p w14:paraId="26D5E1FC">
            <w:pPr>
              <w:tabs>
                <w:tab w:val="left" w:pos="5940"/>
              </w:tabs>
              <w:spacing w:line="360" w:lineRule="auto"/>
              <w:ind w:firstLine="480"/>
              <w:rPr>
                <w:rFonts w:hint="eastAsia"/>
                <w:color w:val="000000" w:themeColor="text1"/>
                <w:highlight w:val="none"/>
                <w:u w:val="none"/>
                <w14:textFill>
                  <w14:solidFill>
                    <w14:schemeClr w14:val="tx1"/>
                  </w14:solidFill>
                </w14:textFill>
              </w:rPr>
            </w:pPr>
            <w:r>
              <w:rPr>
                <w:rFonts w:hint="eastAsia"/>
                <w:color w:val="000000" w:themeColor="text1"/>
                <w:highlight w:val="none"/>
                <w:u w:val="none"/>
                <w14:textFill>
                  <w14:solidFill>
                    <w14:schemeClr w14:val="tx1"/>
                  </w14:solidFill>
                </w14:textFill>
              </w:rPr>
              <w:t>调查时以风机基础及箱变基础区、风电场道路及集电线路区、升压站区、施工生产生活区、弃渣场区为中心，向四周辐射调查。调查时采用线路调查与样方调查相结合的方式进行，即在评价区内按不同方向沿山路、山脊和山谷选择几条具有代表性的线路进行调查，沿途记录植物种类、采集标本、观察生境等，对集中分布的植物群落进行样方调查。</w:t>
            </w:r>
          </w:p>
          <w:p w14:paraId="1A62AA51">
            <w:pPr>
              <w:tabs>
                <w:tab w:val="left" w:pos="5940"/>
              </w:tabs>
              <w:spacing w:line="360" w:lineRule="auto"/>
              <w:ind w:firstLine="480"/>
              <w:rPr>
                <w:rFonts w:hint="eastAsia"/>
                <w:color w:val="000000" w:themeColor="text1"/>
                <w:highlight w:val="none"/>
                <w:u w:val="none"/>
                <w14:textFill>
                  <w14:solidFill>
                    <w14:schemeClr w14:val="tx1"/>
                  </w14:solidFill>
                </w14:textFill>
              </w:rPr>
            </w:pPr>
            <w:r>
              <w:rPr>
                <w:rFonts w:hint="eastAsia"/>
                <w:color w:val="000000" w:themeColor="text1"/>
                <w:highlight w:val="none"/>
                <w:u w:val="none"/>
                <w14:textFill>
                  <w14:solidFill>
                    <w14:schemeClr w14:val="tx1"/>
                  </w14:solidFill>
                </w14:textFill>
              </w:rPr>
              <w:t>2）样方布点原则</w:t>
            </w:r>
          </w:p>
          <w:p w14:paraId="7F14E369">
            <w:pPr>
              <w:tabs>
                <w:tab w:val="left" w:pos="5940"/>
              </w:tabs>
              <w:spacing w:line="360" w:lineRule="auto"/>
              <w:ind w:firstLine="480"/>
              <w:rPr>
                <w:rFonts w:hint="eastAsia"/>
                <w:color w:val="000000" w:themeColor="text1"/>
                <w:highlight w:val="none"/>
                <w:u w:val="none"/>
                <w14:textFill>
                  <w14:solidFill>
                    <w14:schemeClr w14:val="tx1"/>
                  </w14:solidFill>
                </w14:textFill>
              </w:rPr>
            </w:pPr>
            <w:r>
              <w:rPr>
                <w:rFonts w:hint="eastAsia"/>
                <w:color w:val="000000" w:themeColor="text1"/>
                <w:highlight w:val="none"/>
                <w:u w:val="none"/>
                <w14:textFill>
                  <w14:solidFill>
                    <w14:schemeClr w14:val="tx1"/>
                  </w14:solidFill>
                </w14:textFill>
              </w:rPr>
              <w:t>植被调查取样的目的是要通过样方的研究，准确地推测评价范围植被的总体分布情况，所选取的样方具有代表性，能通过尽可能少的抽样获得较为准确的有关总体的特征。在对评价范围的植被进行样方调查中，采取的原则是：</w:t>
            </w:r>
          </w:p>
          <w:p w14:paraId="7469E41D">
            <w:pPr>
              <w:tabs>
                <w:tab w:val="left" w:pos="5940"/>
              </w:tabs>
              <w:spacing w:line="360" w:lineRule="auto"/>
              <w:ind w:firstLine="480"/>
              <w:rPr>
                <w:rFonts w:hint="eastAsia"/>
                <w:color w:val="000000" w:themeColor="text1"/>
                <w:highlight w:val="none"/>
                <w:u w:val="none"/>
                <w14:textFill>
                  <w14:solidFill>
                    <w14:schemeClr w14:val="tx1"/>
                  </w14:solidFill>
                </w14:textFill>
              </w:rPr>
            </w:pPr>
            <w:r>
              <w:rPr>
                <w:rFonts w:hint="eastAsia"/>
                <w:color w:val="000000" w:themeColor="text1"/>
                <w:highlight w:val="none"/>
                <w:u w:val="none"/>
                <w14:textFill>
                  <w14:solidFill>
                    <w14:schemeClr w14:val="tx1"/>
                  </w14:solidFill>
                </w14:textFill>
              </w:rPr>
              <w:t>①尽量在重点施工区域（如风电机组区、集电线路区及道路区、弃渣场区、施工生产生活区等）以及植被良好的区域设置样点，并考虑评价区布点的均匀性，避免有针对性地设置样方。</w:t>
            </w:r>
          </w:p>
          <w:p w14:paraId="05704990">
            <w:pPr>
              <w:tabs>
                <w:tab w:val="left" w:pos="5940"/>
              </w:tabs>
              <w:spacing w:line="360" w:lineRule="auto"/>
              <w:ind w:firstLine="480"/>
              <w:rPr>
                <w:rFonts w:hint="eastAsia"/>
                <w:color w:val="000000" w:themeColor="text1"/>
                <w:highlight w:val="none"/>
                <w:u w:val="none"/>
                <w14:textFill>
                  <w14:solidFill>
                    <w14:schemeClr w14:val="tx1"/>
                  </w14:solidFill>
                </w14:textFill>
              </w:rPr>
            </w:pPr>
            <w:r>
              <w:rPr>
                <w:rFonts w:hint="eastAsia"/>
                <w:color w:val="000000" w:themeColor="text1"/>
                <w:highlight w:val="none"/>
                <w:u w:val="none"/>
                <w14:textFill>
                  <w14:solidFill>
                    <w14:schemeClr w14:val="tx1"/>
                  </w14:solidFill>
                </w14:textFill>
              </w:rPr>
              <w:t>②所选取的样点植被为评价区分布比较普遍的类型。</w:t>
            </w:r>
          </w:p>
          <w:p w14:paraId="0A59AA67">
            <w:pPr>
              <w:tabs>
                <w:tab w:val="left" w:pos="5940"/>
              </w:tabs>
              <w:spacing w:line="360" w:lineRule="auto"/>
              <w:ind w:firstLine="480"/>
              <w:rPr>
                <w:rFonts w:hint="eastAsia"/>
                <w:color w:val="000000" w:themeColor="text1"/>
                <w:highlight w:val="none"/>
                <w:u w:val="none"/>
                <w14:textFill>
                  <w14:solidFill>
                    <w14:schemeClr w14:val="tx1"/>
                  </w14:solidFill>
                </w14:textFill>
              </w:rPr>
            </w:pPr>
            <w:r>
              <w:rPr>
                <w:rFonts w:hint="eastAsia"/>
                <w:color w:val="000000" w:themeColor="text1"/>
                <w:highlight w:val="none"/>
                <w:u w:val="none"/>
                <w14:textFill>
                  <w14:solidFill>
                    <w14:schemeClr w14:val="tx1"/>
                  </w14:solidFill>
                </w14:textFill>
              </w:rPr>
              <w:t>③尽量避免非取样误差：避免选择路边易到之处；两人以上进行观察记录，消除主观因素。</w:t>
            </w:r>
          </w:p>
          <w:p w14:paraId="60CD4411">
            <w:pPr>
              <w:tabs>
                <w:tab w:val="left" w:pos="5940"/>
              </w:tabs>
              <w:spacing w:line="360" w:lineRule="auto"/>
              <w:ind w:firstLine="480"/>
              <w:rPr>
                <w:rFonts w:hint="eastAsia"/>
                <w:color w:val="000000" w:themeColor="text1"/>
                <w:highlight w:val="none"/>
                <w:u w:val="none"/>
                <w14:textFill>
                  <w14:solidFill>
                    <w14:schemeClr w14:val="tx1"/>
                  </w14:solidFill>
                </w14:textFill>
              </w:rPr>
            </w:pPr>
            <w:r>
              <w:rPr>
                <w:rFonts w:hint="eastAsia"/>
                <w:color w:val="000000" w:themeColor="text1"/>
                <w:highlight w:val="none"/>
                <w:u w:val="none"/>
                <w14:textFill>
                  <w14:solidFill>
                    <w14:schemeClr w14:val="tx1"/>
                  </w14:solidFill>
                </w14:textFill>
              </w:rPr>
              <w:t>以上原则保证了样点的布置具有代表性，调查结果中的植被应包括评价区分布最普遍、最主要的植被类型。</w:t>
            </w:r>
          </w:p>
          <w:p w14:paraId="1749D838">
            <w:pPr>
              <w:tabs>
                <w:tab w:val="left" w:pos="5940"/>
              </w:tabs>
              <w:spacing w:line="360" w:lineRule="auto"/>
              <w:ind w:firstLine="480"/>
              <w:rPr>
                <w:rFonts w:hint="eastAsia"/>
                <w:color w:val="000000" w:themeColor="text1"/>
                <w:highlight w:val="none"/>
                <w:u w:val="none"/>
                <w14:textFill>
                  <w14:solidFill>
                    <w14:schemeClr w14:val="tx1"/>
                  </w14:solidFill>
                </w14:textFill>
              </w:rPr>
            </w:pPr>
            <w:r>
              <w:rPr>
                <w:rFonts w:hint="eastAsia"/>
                <w:color w:val="000000" w:themeColor="text1"/>
                <w:highlight w:val="none"/>
                <w:u w:val="none"/>
                <w14:textFill>
                  <w14:solidFill>
                    <w14:schemeClr w14:val="tx1"/>
                  </w14:solidFill>
                </w14:textFill>
              </w:rPr>
              <w:t>3）植物种类调查</w:t>
            </w:r>
          </w:p>
          <w:p w14:paraId="5BA1DA85">
            <w:pPr>
              <w:tabs>
                <w:tab w:val="left" w:pos="5940"/>
              </w:tabs>
              <w:spacing w:line="360" w:lineRule="auto"/>
              <w:ind w:firstLine="480"/>
              <w:rPr>
                <w:rFonts w:hint="eastAsia"/>
                <w:color w:val="000000" w:themeColor="text1"/>
                <w:highlight w:val="none"/>
                <w:u w:val="none"/>
                <w14:textFill>
                  <w14:solidFill>
                    <w14:schemeClr w14:val="tx1"/>
                  </w14:solidFill>
                </w14:textFill>
              </w:rPr>
            </w:pPr>
            <w:r>
              <w:rPr>
                <w:rFonts w:hint="eastAsia"/>
                <w:color w:val="000000" w:themeColor="text1"/>
                <w:highlight w:val="none"/>
                <w:u w:val="none"/>
                <w14:textFill>
                  <w14:solidFill>
                    <w14:schemeClr w14:val="tx1"/>
                  </w14:solidFill>
                </w14:textFill>
              </w:rPr>
              <w:t>在调查过程中，确定评价区内的植物种类、经济植物的种类及资源状况、国家重点保护植物的种类及生存状况等。实地调查采取路线调查与重点调查相结合的方法，对于没有原生植被的区域路线调查，在重点工程区域以及植被状况良好的区域实行重点调查；对国家重点保护植物和古树名木的调查采取野外调查和民间访问相结合的方法进行。对有疑问植物采集凭证标本并拍摄照片。</w:t>
            </w:r>
          </w:p>
          <w:p w14:paraId="1D09723D">
            <w:pPr>
              <w:tabs>
                <w:tab w:val="left" w:pos="5940"/>
              </w:tabs>
              <w:spacing w:line="360" w:lineRule="auto"/>
              <w:ind w:firstLine="480"/>
              <w:rPr>
                <w:rFonts w:hint="eastAsia"/>
                <w:color w:val="000000" w:themeColor="text1"/>
                <w:highlight w:val="none"/>
                <w:u w:val="none"/>
                <w14:textFill>
                  <w14:solidFill>
                    <w14:schemeClr w14:val="tx1"/>
                  </w14:solidFill>
                </w14:textFill>
              </w:rPr>
            </w:pPr>
            <w:r>
              <w:rPr>
                <w:rFonts w:hint="eastAsia"/>
                <w:color w:val="000000" w:themeColor="text1"/>
                <w:highlight w:val="none"/>
                <w:u w:val="none"/>
                <w14:textFill>
                  <w14:solidFill>
                    <w14:schemeClr w14:val="tx1"/>
                  </w14:solidFill>
                </w14:textFill>
              </w:rPr>
              <w:t>4）植被及群系调查</w:t>
            </w:r>
          </w:p>
          <w:p w14:paraId="5C55E9A2">
            <w:pPr>
              <w:adjustRightInd w:val="0"/>
              <w:snapToGrid w:val="0"/>
              <w:spacing w:line="360" w:lineRule="auto"/>
              <w:ind w:firstLine="482"/>
              <w:rPr>
                <w:rFonts w:hint="eastAsia"/>
                <w:color w:val="000000" w:themeColor="text1"/>
                <w:highlight w:val="none"/>
                <w:u w:val="none"/>
                <w14:textFill>
                  <w14:solidFill>
                    <w14:schemeClr w14:val="tx1"/>
                  </w14:solidFill>
                </w14:textFill>
              </w:rPr>
            </w:pPr>
            <w:r>
              <w:rPr>
                <w:rFonts w:hint="eastAsia"/>
                <w:color w:val="000000" w:themeColor="text1"/>
                <w:highlight w:val="none"/>
                <w:u w:val="none"/>
                <w14:textFill>
                  <w14:solidFill>
                    <w14:schemeClr w14:val="tx1"/>
                  </w14:solidFill>
                </w14:textFill>
              </w:rPr>
              <w:t>植物群落的调查方法很多，本次采用路线调查法和样方调查法相结合。路线调查法是沿一定路线进行记名样方调查，记名样方不测定样地，仅记录群落的优势种和常见种及其高度、盖度，群落的季相等简要情况。样方调查法选取代表性的植物群落设置样地，乔木样方面积25m×25m，灌木样方面积5m×5m，草本群落样方面积1m×1m。对样方内生境因子的基本状况，包括地理位置、经纬度、坡度、坡向、海拔、一般的地形特征、小地形、岩石状况、土壤情况、枯枝落叶层厚度、干扰情况等进行调查，在此基础上记录群落外貌、群落内所有的维管植物种类，记录物种名、数量（多度）、胸径、高度（平均高度），并调查林分盖度。</w:t>
            </w:r>
          </w:p>
          <w:p w14:paraId="7377F0B5">
            <w:pPr>
              <w:adjustRightInd w:val="0"/>
              <w:snapToGrid w:val="0"/>
              <w:spacing w:line="360" w:lineRule="auto"/>
              <w:ind w:firstLine="482"/>
              <w:rPr>
                <w:color w:val="000000" w:themeColor="text1"/>
                <w:highlight w:val="none"/>
                <w:u w:val="none"/>
                <w14:textFill>
                  <w14:solidFill>
                    <w14:schemeClr w14:val="tx1"/>
                  </w14:solidFill>
                </w14:textFill>
              </w:rPr>
            </w:pPr>
            <w:r>
              <w:rPr>
                <w:color w:val="000000" w:themeColor="text1"/>
                <w:highlight w:val="none"/>
                <w:u w:val="none"/>
                <w14:textFill>
                  <w14:solidFill>
                    <w14:schemeClr w14:val="tx1"/>
                  </w14:solidFill>
                </w14:textFill>
              </w:rPr>
              <w:t>（</w:t>
            </w:r>
            <w:r>
              <w:rPr>
                <w:rFonts w:hint="eastAsia"/>
                <w:color w:val="000000" w:themeColor="text1"/>
                <w:highlight w:val="none"/>
                <w:u w:val="none"/>
                <w:lang w:val="en-US" w:eastAsia="zh-CN"/>
                <w14:textFill>
                  <w14:solidFill>
                    <w14:schemeClr w14:val="tx1"/>
                  </w14:solidFill>
                </w14:textFill>
              </w:rPr>
              <w:t>2</w:t>
            </w:r>
            <w:r>
              <w:rPr>
                <w:color w:val="000000" w:themeColor="text1"/>
                <w:highlight w:val="none"/>
                <w:u w:val="none"/>
                <w14:textFill>
                  <w14:solidFill>
                    <w14:schemeClr w14:val="tx1"/>
                  </w14:solidFill>
                </w14:textFill>
              </w:rPr>
              <w:t>）陆生动物调查</w:t>
            </w:r>
          </w:p>
          <w:p w14:paraId="218CF3EF">
            <w:pPr>
              <w:pStyle w:val="4"/>
              <w:ind w:firstLine="480" w:firstLineChars="200"/>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动物调查方法主要有样线法、访问法和资料查询法。调查内容包括爬行类、鸟类和兽类。</w:t>
            </w:r>
          </w:p>
          <w:p w14:paraId="2E9394FD">
            <w:pPr>
              <w:pStyle w:val="4"/>
              <w:ind w:firstLine="480" w:firstLineChars="200"/>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爬行类活动能力相对较差，调查时主要在适合其生存的生境中采用样点法，观察其种类与数量；鸟类主要采用样线法与访问法，根据生境类型及其面积的大小设计样线，边走边进行观察，统计鸟类数量与名称，确定种类时借助望远镜。在无法设计样线的地方采用样点法：以一个中心点为圆心，调查周围能见距离内的鸟类数量与种类；兽类主要采用现场调查，野外踪迹调查，包括：足迹链、窝迹、粪便，再结合访问调查确定种类及数量等。</w:t>
            </w:r>
          </w:p>
          <w:p w14:paraId="58C0BB23">
            <w:pPr>
              <w:pStyle w:val="4"/>
              <w:ind w:firstLine="480" w:firstLineChars="200"/>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从上述调查得到的动物种类之中，对相关重点保护物种进行进一步调查与核实，确定其种类及数量。对有疑问动物、重点保护动物尽量采集凭证标本并拍摄照片。</w:t>
            </w:r>
          </w:p>
          <w:p w14:paraId="74365A18">
            <w:pPr>
              <w:ind w:firstLine="480" w:firstLineChars="200"/>
              <w:rPr>
                <w:rFonts w:hint="eastAsia"/>
                <w:lang w:val="en-US" w:eastAsia="zh-CN"/>
              </w:rPr>
            </w:pPr>
            <w:r>
              <w:rPr>
                <w:rFonts w:hint="eastAsia"/>
                <w:lang w:val="en-US" w:eastAsia="zh-CN"/>
              </w:rPr>
              <w:t>（3）数据处理方法</w:t>
            </w:r>
          </w:p>
          <w:p w14:paraId="207419F5">
            <w:pPr>
              <w:ind w:firstLine="480" w:firstLineChars="200"/>
              <w:rPr>
                <w:rFonts w:hint="eastAsia"/>
                <w:lang w:val="en-US" w:eastAsia="zh-CN"/>
              </w:rPr>
            </w:pPr>
            <w:r>
              <w:rPr>
                <w:rFonts w:hint="eastAsia"/>
                <w:lang w:val="en-US" w:eastAsia="zh-CN"/>
              </w:rPr>
              <w:t>项目组基于地理信息系统（GIS），结合GPS技术进行实地采样，对评价区的遥感影像（RS）进行了土地利用以及植被覆盖的遥感解译，完成了数字化的植被类型图和土地利用类型图。</w:t>
            </w:r>
          </w:p>
          <w:p w14:paraId="191EAE79">
            <w:pPr>
              <w:ind w:firstLine="480" w:firstLineChars="200"/>
              <w:rPr>
                <w:rFonts w:hint="eastAsia"/>
                <w:lang w:val="en-US" w:eastAsia="zh-CN"/>
              </w:rPr>
            </w:pPr>
            <w:r>
              <w:rPr>
                <w:rFonts w:hint="eastAsia"/>
                <w:lang w:val="en-US" w:eastAsia="zh-CN"/>
              </w:rPr>
              <w:t>项目组从遥感信息获取地面覆盖类型，在地面实地调查和历史植被基础上进行综合判读和精读评价，采用监督分类的方法最终赋予其生态学的含义。其中植被影像主要反映为绿色，植被类型不同，色彩和色调发生相应变化，据此可区分出植被亚型以上的植被类型以及农田、裸地等地面类型。</w:t>
            </w:r>
          </w:p>
          <w:p w14:paraId="448CD9E4">
            <w:pPr>
              <w:ind w:firstLine="480" w:firstLineChars="200"/>
              <w:rPr>
                <w:rFonts w:hint="eastAsia"/>
                <w:lang w:val="en-US" w:eastAsia="zh-CN"/>
              </w:rPr>
            </w:pPr>
            <w:r>
              <w:rPr>
                <w:rFonts w:hint="eastAsia"/>
                <w:lang w:val="en-US" w:eastAsia="zh-CN"/>
              </w:rPr>
              <w:t>此外，植被类型的确定需结合不同植被类型分布的生态学规律，不单纯依靠色彩进行划分，对监督分类产生的植被初图，结合地面的GPS样点和等高线、坡度、坡向等信息，对植被图进行目视解译校正，得到符合精度要求的植被图。在植被图的基础上，进一步结合现有调查资料对相关地类进行合并，得到土地利用类型图。</w:t>
            </w:r>
          </w:p>
          <w:p w14:paraId="5E9FA4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u w:val="wave"/>
                <w:lang w:val="en-US" w:eastAsia="zh-CN"/>
                <w14:textFill>
                  <w14:solidFill>
                    <w14:schemeClr w14:val="tx1"/>
                  </w14:solidFill>
                </w14:textFill>
              </w:rPr>
            </w:pPr>
            <w:r>
              <w:rPr>
                <w:rFonts w:hint="eastAsia" w:eastAsia="宋体" w:cs="Times New Roman"/>
                <w:b/>
                <w:bCs/>
                <w:color w:val="000000" w:themeColor="text1"/>
                <w:kern w:val="0"/>
                <w:sz w:val="21"/>
                <w:szCs w:val="21"/>
                <w:highlight w:val="none"/>
                <w:u w:val="wav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kern w:val="0"/>
                <w:sz w:val="21"/>
                <w:szCs w:val="21"/>
                <w:highlight w:val="none"/>
                <w:u w:val="wave"/>
                <w:lang w:val="en-US" w:eastAsia="zh-CN"/>
                <w14:textFill>
                  <w14:solidFill>
                    <w14:schemeClr w14:val="tx1"/>
                  </w14:solidFill>
                </w14:textFill>
              </w:rPr>
              <w:t>表3-</w:t>
            </w:r>
            <w:r>
              <w:rPr>
                <w:rFonts w:hint="eastAsia" w:ascii="Times New Roman" w:hAnsi="Times New Roman" w:eastAsia="宋体" w:cs="Times New Roman"/>
                <w:b/>
                <w:bCs/>
                <w:color w:val="000000" w:themeColor="text1"/>
                <w:kern w:val="0"/>
                <w:sz w:val="21"/>
                <w:szCs w:val="21"/>
                <w:highlight w:val="none"/>
                <w:u w:val="wave"/>
                <w:lang w:val="en-US" w:eastAsia="zh-CN"/>
                <w14:textFill>
                  <w14:solidFill>
                    <w14:schemeClr w14:val="tx1"/>
                  </w14:solidFill>
                </w14:textFill>
              </w:rPr>
              <w:t>2</w:t>
            </w:r>
            <w:r>
              <w:rPr>
                <w:rFonts w:hint="default" w:ascii="Times New Roman" w:hAnsi="Times New Roman" w:eastAsia="宋体" w:cs="Times New Roman"/>
                <w:b/>
                <w:bCs/>
                <w:color w:val="000000" w:themeColor="text1"/>
                <w:kern w:val="0"/>
                <w:sz w:val="21"/>
                <w:szCs w:val="21"/>
                <w:highlight w:val="none"/>
                <w:u w:val="wave"/>
                <w:lang w:val="en-US" w:eastAsia="zh-CN"/>
                <w14:textFill>
                  <w14:solidFill>
                    <w14:schemeClr w14:val="tx1"/>
                  </w14:solidFill>
                </w14:textFill>
              </w:rPr>
              <w:t xml:space="preserve">  评价区植物样方和动物样线设置情况</w:t>
            </w:r>
          </w:p>
          <w:tbl>
            <w:tblPr>
              <w:tblStyle w:val="26"/>
              <w:tblW w:w="7578" w:type="dxa"/>
              <w:tblInd w:w="-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1"/>
              <w:gridCol w:w="1540"/>
              <w:gridCol w:w="1734"/>
              <w:gridCol w:w="3343"/>
            </w:tblGrid>
            <w:tr w14:paraId="2BA96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61" w:type="dxa"/>
                  <w:vMerge w:val="restart"/>
                  <w:tcBorders>
                    <w:tl2br w:val="nil"/>
                    <w:tr2bl w:val="nil"/>
                  </w:tcBorders>
                  <w:noWrap w:val="0"/>
                  <w:vAlign w:val="center"/>
                </w:tcPr>
                <w:p w14:paraId="48898ED1">
                  <w:pPr>
                    <w:pStyle w:val="104"/>
                    <w:jc w:val="cente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pPr>
                  <w: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t>类别</w:t>
                  </w:r>
                </w:p>
              </w:tc>
              <w:tc>
                <w:tcPr>
                  <w:tcW w:w="6617" w:type="dxa"/>
                  <w:gridSpan w:val="3"/>
                  <w:tcBorders>
                    <w:tl2br w:val="nil"/>
                    <w:tr2bl w:val="nil"/>
                  </w:tcBorders>
                  <w:noWrap w:val="0"/>
                  <w:vAlign w:val="center"/>
                </w:tcPr>
                <w:p w14:paraId="550FAB89">
                  <w:pPr>
                    <w:pStyle w:val="104"/>
                    <w:jc w:val="cente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pPr>
                  <w: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t>样方设置情况</w:t>
                  </w:r>
                </w:p>
              </w:tc>
            </w:tr>
            <w:tr w14:paraId="228D5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61" w:type="dxa"/>
                  <w:vMerge w:val="continue"/>
                  <w:tcBorders>
                    <w:tl2br w:val="nil"/>
                    <w:tr2bl w:val="nil"/>
                  </w:tcBorders>
                  <w:noWrap w:val="0"/>
                  <w:vAlign w:val="center"/>
                </w:tcPr>
                <w:p w14:paraId="75E1036E">
                  <w:pPr>
                    <w:pStyle w:val="104"/>
                    <w:jc w:val="cente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pPr>
                </w:p>
              </w:tc>
              <w:tc>
                <w:tcPr>
                  <w:tcW w:w="1540" w:type="dxa"/>
                  <w:tcBorders>
                    <w:tl2br w:val="nil"/>
                    <w:tr2bl w:val="nil"/>
                  </w:tcBorders>
                  <w:noWrap w:val="0"/>
                  <w:vAlign w:val="center"/>
                </w:tcPr>
                <w:p w14:paraId="30E23280">
                  <w:pPr>
                    <w:pStyle w:val="104"/>
                    <w:jc w:val="cente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pPr>
                  <w: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t>群落类型</w:t>
                  </w:r>
                </w:p>
              </w:tc>
              <w:tc>
                <w:tcPr>
                  <w:tcW w:w="1734" w:type="dxa"/>
                  <w:tcBorders>
                    <w:tl2br w:val="nil"/>
                    <w:tr2bl w:val="nil"/>
                  </w:tcBorders>
                  <w:noWrap w:val="0"/>
                  <w:vAlign w:val="center"/>
                </w:tcPr>
                <w:p w14:paraId="2BF04FE7">
                  <w:pPr>
                    <w:pStyle w:val="104"/>
                    <w:jc w:val="cente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pPr>
                  <w: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t>样方数量</w:t>
                  </w:r>
                </w:p>
              </w:tc>
              <w:tc>
                <w:tcPr>
                  <w:tcW w:w="3343" w:type="dxa"/>
                  <w:tcBorders>
                    <w:tl2br w:val="nil"/>
                    <w:tr2bl w:val="nil"/>
                  </w:tcBorders>
                  <w:noWrap w:val="0"/>
                  <w:vAlign w:val="center"/>
                </w:tcPr>
                <w:p w14:paraId="077EC42A">
                  <w:pPr>
                    <w:pStyle w:val="104"/>
                    <w:jc w:val="cente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pPr>
                  <w: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t>生境类型</w:t>
                  </w:r>
                </w:p>
              </w:tc>
            </w:tr>
            <w:tr w14:paraId="31E5E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61" w:type="dxa"/>
                  <w:vMerge w:val="restart"/>
                  <w:tcBorders>
                    <w:tl2br w:val="nil"/>
                    <w:tr2bl w:val="nil"/>
                  </w:tcBorders>
                  <w:noWrap w:val="0"/>
                  <w:vAlign w:val="center"/>
                </w:tcPr>
                <w:p w14:paraId="2BFAEE0A">
                  <w:pPr>
                    <w:pStyle w:val="104"/>
                    <w:jc w:val="cente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pPr>
                  <w: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t>陆生</w:t>
                  </w:r>
                </w:p>
              </w:tc>
              <w:tc>
                <w:tcPr>
                  <w:tcW w:w="1540" w:type="dxa"/>
                  <w:tcBorders>
                    <w:tl2br w:val="nil"/>
                    <w:tr2bl w:val="nil"/>
                  </w:tcBorders>
                  <w:noWrap w:val="0"/>
                  <w:vAlign w:val="center"/>
                </w:tcPr>
                <w:p w14:paraId="2F37EE79">
                  <w:pPr>
                    <w:pStyle w:val="104"/>
                    <w:jc w:val="cente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pPr>
                  <w: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t>森林</w:t>
                  </w:r>
                </w:p>
              </w:tc>
              <w:tc>
                <w:tcPr>
                  <w:tcW w:w="1734" w:type="dxa"/>
                  <w:tcBorders>
                    <w:tl2br w:val="nil"/>
                    <w:tr2bl w:val="nil"/>
                  </w:tcBorders>
                  <w:noWrap w:val="0"/>
                  <w:vAlign w:val="center"/>
                </w:tcPr>
                <w:p w14:paraId="0EB77132">
                  <w:pPr>
                    <w:pStyle w:val="104"/>
                    <w:jc w:val="cente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pPr>
                  <w:r>
                    <w:rPr>
                      <w:rFonts w:hint="eastAsia" w:cs="Times New Roman"/>
                      <w:color w:val="000000" w:themeColor="text1"/>
                      <w:kern w:val="0"/>
                      <w:sz w:val="20"/>
                      <w:u w:val="wave"/>
                      <w:lang w:val="en-US" w:eastAsia="zh-CN"/>
                      <w14:textFill>
                        <w14:solidFill>
                          <w14:schemeClr w14:val="tx1"/>
                        </w14:solidFill>
                      </w14:textFill>
                    </w:rPr>
                    <w:t>3</w:t>
                  </w:r>
                  <w: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t>个</w:t>
                  </w:r>
                </w:p>
              </w:tc>
              <w:tc>
                <w:tcPr>
                  <w:tcW w:w="3343" w:type="dxa"/>
                  <w:vMerge w:val="restart"/>
                  <w:tcBorders>
                    <w:tl2br w:val="nil"/>
                    <w:tr2bl w:val="nil"/>
                  </w:tcBorders>
                  <w:noWrap w:val="0"/>
                  <w:vAlign w:val="center"/>
                </w:tcPr>
                <w:p w14:paraId="2EF41C2B">
                  <w:pPr>
                    <w:pStyle w:val="104"/>
                    <w:jc w:val="cente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pPr>
                  <w: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t>林地</w:t>
                  </w:r>
                </w:p>
              </w:tc>
            </w:tr>
            <w:tr w14:paraId="753C8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61" w:type="dxa"/>
                  <w:vMerge w:val="continue"/>
                  <w:tcBorders>
                    <w:tl2br w:val="nil"/>
                    <w:tr2bl w:val="nil"/>
                  </w:tcBorders>
                  <w:noWrap w:val="0"/>
                  <w:vAlign w:val="center"/>
                </w:tcPr>
                <w:p w14:paraId="5DE6587A">
                  <w:pPr>
                    <w:pStyle w:val="104"/>
                    <w:jc w:val="cente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pPr>
                </w:p>
              </w:tc>
              <w:tc>
                <w:tcPr>
                  <w:tcW w:w="1540" w:type="dxa"/>
                  <w:tcBorders>
                    <w:tl2br w:val="nil"/>
                    <w:tr2bl w:val="nil"/>
                  </w:tcBorders>
                  <w:noWrap w:val="0"/>
                  <w:vAlign w:val="center"/>
                </w:tcPr>
                <w:p w14:paraId="3B147028">
                  <w:pPr>
                    <w:pStyle w:val="104"/>
                    <w:jc w:val="cente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pPr>
                  <w: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t>灌丛</w:t>
                  </w:r>
                </w:p>
              </w:tc>
              <w:tc>
                <w:tcPr>
                  <w:tcW w:w="1734" w:type="dxa"/>
                  <w:tcBorders>
                    <w:tl2br w:val="nil"/>
                    <w:tr2bl w:val="nil"/>
                  </w:tcBorders>
                  <w:noWrap w:val="0"/>
                  <w:vAlign w:val="center"/>
                </w:tcPr>
                <w:p w14:paraId="54068AA8">
                  <w:pPr>
                    <w:pStyle w:val="104"/>
                    <w:jc w:val="cente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pPr>
                  <w:r>
                    <w:rPr>
                      <w:rFonts w:hint="eastAsia" w:ascii="Times New Roman" w:hAnsi="Times New Roman" w:eastAsia="宋体" w:cs="Times New Roman"/>
                      <w:color w:val="000000" w:themeColor="text1"/>
                      <w:kern w:val="0"/>
                      <w:sz w:val="20"/>
                      <w:u w:val="wave"/>
                      <w:lang w:val="en-US" w:eastAsia="zh-CN"/>
                      <w14:textFill>
                        <w14:solidFill>
                          <w14:schemeClr w14:val="tx1"/>
                        </w14:solidFill>
                      </w14:textFill>
                    </w:rPr>
                    <w:t>4</w:t>
                  </w:r>
                  <w: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t>个</w:t>
                  </w:r>
                </w:p>
              </w:tc>
              <w:tc>
                <w:tcPr>
                  <w:tcW w:w="3343" w:type="dxa"/>
                  <w:vMerge w:val="continue"/>
                  <w:tcBorders>
                    <w:tl2br w:val="nil"/>
                    <w:tr2bl w:val="nil"/>
                  </w:tcBorders>
                  <w:noWrap w:val="0"/>
                  <w:vAlign w:val="center"/>
                </w:tcPr>
                <w:p w14:paraId="4AC4F0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u w:val="wave"/>
                      <w14:textFill>
                        <w14:solidFill>
                          <w14:schemeClr w14:val="tx1"/>
                        </w14:solidFill>
                      </w14:textFill>
                    </w:rPr>
                  </w:pPr>
                </w:p>
              </w:tc>
            </w:tr>
            <w:tr w14:paraId="53288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961" w:type="dxa"/>
                  <w:vMerge w:val="continue"/>
                  <w:tcBorders>
                    <w:tl2br w:val="nil"/>
                    <w:tr2bl w:val="nil"/>
                  </w:tcBorders>
                  <w:noWrap w:val="0"/>
                  <w:vAlign w:val="center"/>
                </w:tcPr>
                <w:p w14:paraId="4C49F1B5">
                  <w:pPr>
                    <w:pStyle w:val="104"/>
                    <w:jc w:val="cente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pPr>
                </w:p>
              </w:tc>
              <w:tc>
                <w:tcPr>
                  <w:tcW w:w="1540" w:type="dxa"/>
                  <w:tcBorders>
                    <w:tl2br w:val="nil"/>
                    <w:tr2bl w:val="nil"/>
                  </w:tcBorders>
                  <w:noWrap w:val="0"/>
                  <w:vAlign w:val="center"/>
                </w:tcPr>
                <w:p w14:paraId="4297D4A5">
                  <w:pPr>
                    <w:pStyle w:val="104"/>
                    <w:jc w:val="cente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pPr>
                  <w: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t>灌草丛</w:t>
                  </w:r>
                </w:p>
              </w:tc>
              <w:tc>
                <w:tcPr>
                  <w:tcW w:w="1734" w:type="dxa"/>
                  <w:tcBorders>
                    <w:tl2br w:val="nil"/>
                    <w:tr2bl w:val="nil"/>
                  </w:tcBorders>
                  <w:noWrap w:val="0"/>
                  <w:vAlign w:val="center"/>
                </w:tcPr>
                <w:p w14:paraId="2C0BA26D">
                  <w:pPr>
                    <w:pStyle w:val="104"/>
                    <w:jc w:val="cente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pPr>
                  <w:r>
                    <w:rPr>
                      <w:rFonts w:hint="eastAsia" w:cs="Times New Roman"/>
                      <w:color w:val="000000" w:themeColor="text1"/>
                      <w:kern w:val="0"/>
                      <w:sz w:val="20"/>
                      <w:u w:val="wave"/>
                      <w:lang w:val="en-US" w:eastAsia="zh-CN"/>
                      <w14:textFill>
                        <w14:solidFill>
                          <w14:schemeClr w14:val="tx1"/>
                        </w14:solidFill>
                      </w14:textFill>
                    </w:rPr>
                    <w:t>1</w:t>
                  </w:r>
                  <w: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t>个</w:t>
                  </w:r>
                </w:p>
              </w:tc>
              <w:tc>
                <w:tcPr>
                  <w:tcW w:w="3343" w:type="dxa"/>
                  <w:vMerge w:val="continue"/>
                  <w:tcBorders>
                    <w:tl2br w:val="nil"/>
                    <w:tr2bl w:val="nil"/>
                  </w:tcBorders>
                  <w:noWrap w:val="0"/>
                  <w:vAlign w:val="center"/>
                </w:tcPr>
                <w:p w14:paraId="158AD8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u w:val="wave"/>
                      <w14:textFill>
                        <w14:solidFill>
                          <w14:schemeClr w14:val="tx1"/>
                        </w14:solidFill>
                      </w14:textFill>
                    </w:rPr>
                  </w:pPr>
                </w:p>
              </w:tc>
            </w:tr>
          </w:tbl>
          <w:p w14:paraId="02B065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u w:val="wave"/>
                <w:lang w:val="en-US" w:eastAsia="zh-CN"/>
                <w14:textFill>
                  <w14:solidFill>
                    <w14:schemeClr w14:val="tx1"/>
                  </w14:solidFill>
                </w14:textFill>
              </w:rPr>
            </w:pPr>
            <w:bookmarkStart w:id="58" w:name="_Hlk117840212"/>
            <w:r>
              <w:rPr>
                <w:rFonts w:hint="default" w:ascii="Times New Roman" w:hAnsi="Times New Roman" w:eastAsia="宋体" w:cs="Times New Roman"/>
                <w:b/>
                <w:bCs/>
                <w:color w:val="000000" w:themeColor="text1"/>
                <w:kern w:val="0"/>
                <w:sz w:val="21"/>
                <w:szCs w:val="21"/>
                <w:highlight w:val="none"/>
                <w:u w:val="wave"/>
                <w:lang w:val="en-US" w:eastAsia="zh-CN"/>
                <w14:textFill>
                  <w14:solidFill>
                    <w14:schemeClr w14:val="tx1"/>
                  </w14:solidFill>
                </w14:textFill>
              </w:rPr>
              <w:t>表3-</w:t>
            </w:r>
            <w:r>
              <w:rPr>
                <w:rFonts w:hint="eastAsia" w:ascii="Times New Roman" w:hAnsi="Times New Roman" w:eastAsia="宋体" w:cs="Times New Roman"/>
                <w:b/>
                <w:bCs/>
                <w:color w:val="000000" w:themeColor="text1"/>
                <w:kern w:val="0"/>
                <w:sz w:val="21"/>
                <w:szCs w:val="21"/>
                <w:highlight w:val="none"/>
                <w:u w:val="wave"/>
                <w:lang w:val="en-US" w:eastAsia="zh-CN"/>
                <w14:textFill>
                  <w14:solidFill>
                    <w14:schemeClr w14:val="tx1"/>
                  </w14:solidFill>
                </w14:textFill>
              </w:rPr>
              <w:t>3</w:t>
            </w:r>
            <w:r>
              <w:rPr>
                <w:rFonts w:hint="default" w:ascii="Times New Roman" w:hAnsi="Times New Roman" w:eastAsia="宋体" w:cs="Times New Roman"/>
                <w:b/>
                <w:bCs/>
                <w:color w:val="000000" w:themeColor="text1"/>
                <w:kern w:val="0"/>
                <w:sz w:val="21"/>
                <w:szCs w:val="21"/>
                <w:highlight w:val="none"/>
                <w:u w:val="wave"/>
                <w:lang w:val="en-US" w:eastAsia="zh-CN"/>
                <w14:textFill>
                  <w14:solidFill>
                    <w14:schemeClr w14:val="tx1"/>
                  </w14:solidFill>
                </w14:textFill>
              </w:rPr>
              <w:t xml:space="preserve">  植物样方设置点位表</w:t>
            </w:r>
          </w:p>
          <w:bookmarkEnd w:id="58"/>
          <w:tbl>
            <w:tblPr>
              <w:tblStyle w:val="26"/>
              <w:tblW w:w="75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1"/>
              <w:gridCol w:w="3422"/>
              <w:gridCol w:w="3422"/>
            </w:tblGrid>
            <w:tr w14:paraId="484FF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1" w:type="dxa"/>
                  <w:tcBorders>
                    <w:tl2br w:val="nil"/>
                    <w:tr2bl w:val="nil"/>
                  </w:tcBorders>
                  <w:noWrap w:val="0"/>
                  <w:vAlign w:val="center"/>
                </w:tcPr>
                <w:p w14:paraId="07AD6777">
                  <w:pPr>
                    <w:pStyle w:val="104"/>
                    <w:jc w:val="center"/>
                    <w:rPr>
                      <w:rFonts w:hint="default" w:ascii="Times New Roman" w:hAnsi="Times New Roman" w:eastAsia="宋体" w:cs="Times New Roman"/>
                      <w:color w:val="000000" w:themeColor="text1"/>
                      <w:kern w:val="0"/>
                      <w:sz w:val="20"/>
                      <w:u w:val="wave"/>
                      <w14:textFill>
                        <w14:solidFill>
                          <w14:schemeClr w14:val="tx1"/>
                        </w14:solidFill>
                      </w14:textFill>
                    </w:rPr>
                  </w:pPr>
                  <w:r>
                    <w:rPr>
                      <w:rFonts w:hint="default" w:ascii="Times New Roman" w:hAnsi="Times New Roman" w:eastAsia="宋体" w:cs="Times New Roman"/>
                      <w:color w:val="000000" w:themeColor="text1"/>
                      <w:kern w:val="0"/>
                      <w:sz w:val="20"/>
                      <w:u w:val="wave"/>
                      <w14:textFill>
                        <w14:solidFill>
                          <w14:schemeClr w14:val="tx1"/>
                        </w14:solidFill>
                      </w14:textFill>
                    </w:rPr>
                    <w:t>编号</w:t>
                  </w:r>
                </w:p>
              </w:tc>
              <w:tc>
                <w:tcPr>
                  <w:tcW w:w="3422" w:type="dxa"/>
                  <w:tcBorders>
                    <w:tl2br w:val="nil"/>
                    <w:tr2bl w:val="nil"/>
                  </w:tcBorders>
                  <w:noWrap w:val="0"/>
                  <w:vAlign w:val="center"/>
                </w:tcPr>
                <w:p w14:paraId="4AE3EC4E">
                  <w:pPr>
                    <w:pStyle w:val="104"/>
                    <w:jc w:val="center"/>
                    <w:rPr>
                      <w:rFonts w:hint="default" w:ascii="Times New Roman" w:hAnsi="Times New Roman" w:eastAsia="宋体" w:cs="Times New Roman"/>
                      <w:color w:val="000000" w:themeColor="text1"/>
                      <w:kern w:val="0"/>
                      <w:sz w:val="20"/>
                      <w:u w:val="wave"/>
                      <w14:textFill>
                        <w14:solidFill>
                          <w14:schemeClr w14:val="tx1"/>
                        </w14:solidFill>
                      </w14:textFill>
                    </w:rPr>
                  </w:pPr>
                  <w:r>
                    <w:rPr>
                      <w:rFonts w:hint="default" w:ascii="Times New Roman" w:hAnsi="Times New Roman" w:eastAsia="宋体" w:cs="Times New Roman"/>
                      <w:color w:val="000000" w:themeColor="text1"/>
                      <w:kern w:val="0"/>
                      <w:sz w:val="20"/>
                      <w:u w:val="wave"/>
                      <w14:textFill>
                        <w14:solidFill>
                          <w14:schemeClr w14:val="tx1"/>
                        </w14:solidFill>
                      </w14:textFill>
                    </w:rPr>
                    <w:t>经纬度坐标</w:t>
                  </w:r>
                </w:p>
              </w:tc>
              <w:tc>
                <w:tcPr>
                  <w:tcW w:w="3422" w:type="dxa"/>
                  <w:tcBorders>
                    <w:tl2br w:val="nil"/>
                    <w:tr2bl w:val="nil"/>
                  </w:tcBorders>
                  <w:noWrap w:val="0"/>
                  <w:vAlign w:val="center"/>
                </w:tcPr>
                <w:p w14:paraId="438DBCF7">
                  <w:pPr>
                    <w:pStyle w:val="104"/>
                    <w:jc w:val="center"/>
                    <w:rPr>
                      <w:rFonts w:hint="default" w:ascii="Times New Roman" w:hAnsi="Times New Roman" w:eastAsia="宋体" w:cs="Times New Roman"/>
                      <w:color w:val="000000" w:themeColor="text1"/>
                      <w:kern w:val="0"/>
                      <w:sz w:val="20"/>
                      <w:u w:val="wave"/>
                      <w:lang w:eastAsia="zh-CN"/>
                      <w14:textFill>
                        <w14:solidFill>
                          <w14:schemeClr w14:val="tx1"/>
                        </w14:solidFill>
                      </w14:textFill>
                    </w:rPr>
                  </w:pPr>
                  <w: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t>位置</w:t>
                  </w:r>
                </w:p>
              </w:tc>
            </w:tr>
            <w:tr w14:paraId="39E7C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1" w:type="dxa"/>
                  <w:tcBorders>
                    <w:tl2br w:val="nil"/>
                    <w:tr2bl w:val="nil"/>
                  </w:tcBorders>
                  <w:noWrap w:val="0"/>
                  <w:vAlign w:val="center"/>
                </w:tcPr>
                <w:p w14:paraId="3B00E5B5">
                  <w:pPr>
                    <w:pStyle w:val="104"/>
                    <w:jc w:val="cente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pPr>
                  <w: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t>1</w:t>
                  </w:r>
                </w:p>
              </w:tc>
              <w:tc>
                <w:tcPr>
                  <w:tcW w:w="3422" w:type="dxa"/>
                  <w:tcBorders>
                    <w:tl2br w:val="nil"/>
                    <w:tr2bl w:val="nil"/>
                  </w:tcBorders>
                  <w:noWrap w:val="0"/>
                  <w:vAlign w:val="center"/>
                </w:tcPr>
                <w:p w14:paraId="5565767E">
                  <w:pPr>
                    <w:pStyle w:val="104"/>
                    <w:jc w:val="cente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pPr>
                  <w: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t>E：109°</w:t>
                  </w:r>
                  <w:r>
                    <w:rPr>
                      <w:rFonts w:hint="eastAsia" w:cs="Times New Roman"/>
                      <w:color w:val="000000" w:themeColor="text1"/>
                      <w:kern w:val="0"/>
                      <w:sz w:val="20"/>
                      <w:u w:val="wave"/>
                      <w:lang w:val="en-US" w:eastAsia="zh-CN"/>
                      <w14:textFill>
                        <w14:solidFill>
                          <w14:schemeClr w14:val="tx1"/>
                        </w14:solidFill>
                      </w14:textFill>
                    </w:rPr>
                    <w:t>73</w:t>
                  </w:r>
                  <w: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t>′</w:t>
                  </w:r>
                  <w:r>
                    <w:rPr>
                      <w:rFonts w:hint="eastAsia" w:cs="Times New Roman"/>
                      <w:color w:val="000000" w:themeColor="text1"/>
                      <w:kern w:val="0"/>
                      <w:sz w:val="20"/>
                      <w:u w:val="wave"/>
                      <w:lang w:val="en-US" w:eastAsia="zh-CN"/>
                      <w14:textFill>
                        <w14:solidFill>
                          <w14:schemeClr w14:val="tx1"/>
                        </w14:solidFill>
                      </w14:textFill>
                    </w:rPr>
                    <w:t>07.449</w:t>
                  </w:r>
                  <w: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t>″</w:t>
                  </w:r>
                  <w:r>
                    <w:rPr>
                      <w:rFonts w:hint="eastAsia" w:cs="Times New Roman"/>
                      <w:color w:val="000000" w:themeColor="text1"/>
                      <w:kern w:val="0"/>
                      <w:sz w:val="20"/>
                      <w:u w:val="wav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t>N：26°</w:t>
                  </w:r>
                  <w:r>
                    <w:rPr>
                      <w:rFonts w:hint="eastAsia" w:cs="Times New Roman"/>
                      <w:color w:val="000000" w:themeColor="text1"/>
                      <w:kern w:val="0"/>
                      <w:sz w:val="20"/>
                      <w:u w:val="wave"/>
                      <w:lang w:val="en-US" w:eastAsia="zh-CN"/>
                      <w14:textFill>
                        <w14:solidFill>
                          <w14:schemeClr w14:val="tx1"/>
                        </w14:solidFill>
                      </w14:textFill>
                    </w:rPr>
                    <w:t>15</w:t>
                  </w:r>
                  <w: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t>′</w:t>
                  </w:r>
                  <w:r>
                    <w:rPr>
                      <w:rFonts w:hint="eastAsia" w:cs="Times New Roman"/>
                      <w:color w:val="000000" w:themeColor="text1"/>
                      <w:kern w:val="0"/>
                      <w:sz w:val="20"/>
                      <w:u w:val="wave"/>
                      <w:lang w:val="en-US" w:eastAsia="zh-CN"/>
                      <w14:textFill>
                        <w14:solidFill>
                          <w14:schemeClr w14:val="tx1"/>
                        </w14:solidFill>
                      </w14:textFill>
                    </w:rPr>
                    <w:t>58.181</w:t>
                  </w:r>
                  <w: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t>″</w:t>
                  </w:r>
                </w:p>
              </w:tc>
              <w:tc>
                <w:tcPr>
                  <w:tcW w:w="3422" w:type="dxa"/>
                  <w:tcBorders>
                    <w:tl2br w:val="nil"/>
                    <w:tr2bl w:val="nil"/>
                  </w:tcBorders>
                  <w:noWrap w:val="0"/>
                  <w:vAlign w:val="center"/>
                </w:tcPr>
                <w:p w14:paraId="43ED74E0">
                  <w:pPr>
                    <w:pStyle w:val="104"/>
                    <w:jc w:val="cente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pPr>
                  <w:r>
                    <w:rPr>
                      <w:rFonts w:hint="eastAsia" w:cs="Times New Roman"/>
                      <w:color w:val="000000" w:themeColor="text1"/>
                      <w:kern w:val="0"/>
                      <w:sz w:val="20"/>
                      <w:u w:val="wave"/>
                      <w:lang w:val="en-US" w:eastAsia="zh-CN"/>
                      <w14:textFill>
                        <w14:solidFill>
                          <w14:schemeClr w14:val="tx1"/>
                        </w14:solidFill>
                      </w14:textFill>
                    </w:rPr>
                    <w:t>1号风机位</w:t>
                  </w:r>
                </w:p>
              </w:tc>
            </w:tr>
            <w:tr w14:paraId="177A2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1" w:type="dxa"/>
                  <w:tcBorders>
                    <w:tl2br w:val="nil"/>
                    <w:tr2bl w:val="nil"/>
                  </w:tcBorders>
                  <w:noWrap w:val="0"/>
                  <w:vAlign w:val="center"/>
                </w:tcPr>
                <w:p w14:paraId="5C29E44F">
                  <w:pPr>
                    <w:pStyle w:val="104"/>
                    <w:jc w:val="cente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pPr>
                  <w: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t>2</w:t>
                  </w:r>
                </w:p>
              </w:tc>
              <w:tc>
                <w:tcPr>
                  <w:tcW w:w="3422" w:type="dxa"/>
                  <w:tcBorders>
                    <w:tl2br w:val="nil"/>
                    <w:tr2bl w:val="nil"/>
                  </w:tcBorders>
                  <w:noWrap w:val="0"/>
                  <w:vAlign w:val="center"/>
                </w:tcPr>
                <w:p w14:paraId="4ACB1DD2">
                  <w:pPr>
                    <w:pStyle w:val="104"/>
                    <w:jc w:val="cente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pPr>
                  <w: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t>E：109°</w:t>
                  </w:r>
                  <w:r>
                    <w:rPr>
                      <w:rFonts w:hint="eastAsia" w:cs="Times New Roman"/>
                      <w:color w:val="000000" w:themeColor="text1"/>
                      <w:kern w:val="0"/>
                      <w:sz w:val="20"/>
                      <w:u w:val="wave"/>
                      <w:lang w:val="en-US" w:eastAsia="zh-CN"/>
                      <w14:textFill>
                        <w14:solidFill>
                          <w14:schemeClr w14:val="tx1"/>
                        </w14:solidFill>
                      </w14:textFill>
                    </w:rPr>
                    <w:t>70</w:t>
                  </w:r>
                  <w: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t>′</w:t>
                  </w:r>
                  <w:r>
                    <w:rPr>
                      <w:rFonts w:hint="eastAsia" w:cs="Times New Roman"/>
                      <w:color w:val="000000" w:themeColor="text1"/>
                      <w:kern w:val="0"/>
                      <w:sz w:val="20"/>
                      <w:u w:val="wave"/>
                      <w:lang w:val="en-US" w:eastAsia="zh-CN"/>
                      <w14:textFill>
                        <w14:solidFill>
                          <w14:schemeClr w14:val="tx1"/>
                        </w14:solidFill>
                      </w14:textFill>
                    </w:rPr>
                    <w:t>23.114</w:t>
                  </w:r>
                  <w: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t>″</w:t>
                  </w:r>
                  <w:r>
                    <w:rPr>
                      <w:rFonts w:hint="eastAsia" w:cs="Times New Roman"/>
                      <w:color w:val="000000" w:themeColor="text1"/>
                      <w:kern w:val="0"/>
                      <w:sz w:val="20"/>
                      <w:u w:val="wav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t>N：26°</w:t>
                  </w:r>
                  <w:r>
                    <w:rPr>
                      <w:rFonts w:hint="eastAsia" w:cs="Times New Roman"/>
                      <w:color w:val="000000" w:themeColor="text1"/>
                      <w:kern w:val="0"/>
                      <w:sz w:val="20"/>
                      <w:u w:val="wave"/>
                      <w:lang w:val="en-US" w:eastAsia="zh-CN"/>
                      <w14:textFill>
                        <w14:solidFill>
                          <w14:schemeClr w14:val="tx1"/>
                        </w14:solidFill>
                      </w14:textFill>
                    </w:rPr>
                    <w:t>15</w:t>
                  </w:r>
                  <w: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t>′</w:t>
                  </w:r>
                  <w:r>
                    <w:rPr>
                      <w:rFonts w:hint="eastAsia" w:cs="Times New Roman"/>
                      <w:color w:val="000000" w:themeColor="text1"/>
                      <w:kern w:val="0"/>
                      <w:sz w:val="20"/>
                      <w:u w:val="wave"/>
                      <w:lang w:val="en-US" w:eastAsia="zh-CN"/>
                      <w14:textFill>
                        <w14:solidFill>
                          <w14:schemeClr w14:val="tx1"/>
                        </w14:solidFill>
                      </w14:textFill>
                    </w:rPr>
                    <w:t>49.110</w:t>
                  </w:r>
                  <w: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t>″</w:t>
                  </w:r>
                </w:p>
              </w:tc>
              <w:tc>
                <w:tcPr>
                  <w:tcW w:w="3422" w:type="dxa"/>
                  <w:tcBorders>
                    <w:tl2br w:val="nil"/>
                    <w:tr2bl w:val="nil"/>
                  </w:tcBorders>
                  <w:noWrap w:val="0"/>
                  <w:vAlign w:val="center"/>
                </w:tcPr>
                <w:p w14:paraId="0F811CC9">
                  <w:pPr>
                    <w:pStyle w:val="104"/>
                    <w:jc w:val="cente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pPr>
                  <w:r>
                    <w:rPr>
                      <w:rFonts w:hint="eastAsia" w:cs="Times New Roman"/>
                      <w:color w:val="000000" w:themeColor="text1"/>
                      <w:kern w:val="0"/>
                      <w:sz w:val="20"/>
                      <w:u w:val="wave"/>
                      <w:lang w:val="en-US" w:eastAsia="zh-CN"/>
                      <w14:textFill>
                        <w14:solidFill>
                          <w14:schemeClr w14:val="tx1"/>
                        </w14:solidFill>
                      </w14:textFill>
                    </w:rPr>
                    <w:t>4号风机位</w:t>
                  </w:r>
                </w:p>
              </w:tc>
            </w:tr>
            <w:tr w14:paraId="760FC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1" w:type="dxa"/>
                  <w:tcBorders>
                    <w:tl2br w:val="nil"/>
                    <w:tr2bl w:val="nil"/>
                  </w:tcBorders>
                  <w:noWrap w:val="0"/>
                  <w:vAlign w:val="center"/>
                </w:tcPr>
                <w:p w14:paraId="08666B93">
                  <w:pPr>
                    <w:pStyle w:val="104"/>
                    <w:jc w:val="cente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pPr>
                  <w: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t>3</w:t>
                  </w:r>
                </w:p>
              </w:tc>
              <w:tc>
                <w:tcPr>
                  <w:tcW w:w="3422" w:type="dxa"/>
                  <w:tcBorders>
                    <w:tl2br w:val="nil"/>
                    <w:tr2bl w:val="nil"/>
                  </w:tcBorders>
                  <w:noWrap w:val="0"/>
                  <w:vAlign w:val="center"/>
                </w:tcPr>
                <w:p w14:paraId="34F278A3">
                  <w:pPr>
                    <w:pStyle w:val="104"/>
                    <w:jc w:val="cente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pPr>
                  <w:r>
                    <w:rPr>
                      <w:rFonts w:hint="eastAsia" w:cs="Times New Roman"/>
                      <w:color w:val="000000" w:themeColor="text1"/>
                      <w:kern w:val="0"/>
                      <w:sz w:val="20"/>
                      <w:u w:val="wave"/>
                      <w:lang w:val="en-US" w:eastAsia="zh-CN"/>
                      <w14:textFill>
                        <w14:solidFill>
                          <w14:schemeClr w14:val="tx1"/>
                        </w14:solidFill>
                      </w14:textFill>
                    </w:rPr>
                    <w:t>E：</w:t>
                  </w:r>
                  <w: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t>109°</w:t>
                  </w:r>
                  <w:r>
                    <w:rPr>
                      <w:rFonts w:hint="eastAsia" w:cs="Times New Roman"/>
                      <w:color w:val="000000" w:themeColor="text1"/>
                      <w:kern w:val="0"/>
                      <w:sz w:val="20"/>
                      <w:u w:val="wave"/>
                      <w:lang w:val="en-US" w:eastAsia="zh-CN"/>
                      <w14:textFill>
                        <w14:solidFill>
                          <w14:schemeClr w14:val="tx1"/>
                        </w14:solidFill>
                      </w14:textFill>
                    </w:rPr>
                    <w:t>64</w:t>
                  </w:r>
                  <w: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t>′</w:t>
                  </w:r>
                  <w:r>
                    <w:rPr>
                      <w:rFonts w:hint="eastAsia" w:cs="Times New Roman"/>
                      <w:color w:val="000000" w:themeColor="text1"/>
                      <w:kern w:val="0"/>
                      <w:sz w:val="20"/>
                      <w:u w:val="wave"/>
                      <w:lang w:val="en-US" w:eastAsia="zh-CN"/>
                      <w14:textFill>
                        <w14:solidFill>
                          <w14:schemeClr w14:val="tx1"/>
                        </w14:solidFill>
                      </w14:textFill>
                    </w:rPr>
                    <w:t>11.516</w:t>
                  </w:r>
                  <w: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t>″</w:t>
                  </w:r>
                  <w:r>
                    <w:rPr>
                      <w:rFonts w:hint="eastAsia" w:cs="Times New Roman"/>
                      <w:color w:val="000000" w:themeColor="text1"/>
                      <w:kern w:val="0"/>
                      <w:sz w:val="20"/>
                      <w:u w:val="wav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t>N：26°</w:t>
                  </w:r>
                  <w:r>
                    <w:rPr>
                      <w:rFonts w:hint="eastAsia" w:cs="Times New Roman"/>
                      <w:color w:val="000000" w:themeColor="text1"/>
                      <w:kern w:val="0"/>
                      <w:sz w:val="20"/>
                      <w:u w:val="wave"/>
                      <w:lang w:val="en-US" w:eastAsia="zh-CN"/>
                      <w14:textFill>
                        <w14:solidFill>
                          <w14:schemeClr w14:val="tx1"/>
                        </w14:solidFill>
                      </w14:textFill>
                    </w:rPr>
                    <w:t>10</w:t>
                  </w:r>
                  <w: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t>′</w:t>
                  </w:r>
                  <w:r>
                    <w:rPr>
                      <w:rFonts w:hint="eastAsia" w:cs="Times New Roman"/>
                      <w:color w:val="000000" w:themeColor="text1"/>
                      <w:kern w:val="0"/>
                      <w:sz w:val="20"/>
                      <w:u w:val="wave"/>
                      <w:lang w:val="en-US" w:eastAsia="zh-CN"/>
                      <w14:textFill>
                        <w14:solidFill>
                          <w14:schemeClr w14:val="tx1"/>
                        </w14:solidFill>
                      </w14:textFill>
                    </w:rPr>
                    <w:t>83.345</w:t>
                  </w:r>
                  <w: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t>″</w:t>
                  </w:r>
                </w:p>
              </w:tc>
              <w:tc>
                <w:tcPr>
                  <w:tcW w:w="3422" w:type="dxa"/>
                  <w:tcBorders>
                    <w:tl2br w:val="nil"/>
                    <w:tr2bl w:val="nil"/>
                  </w:tcBorders>
                  <w:noWrap w:val="0"/>
                  <w:vAlign w:val="center"/>
                </w:tcPr>
                <w:p w14:paraId="2B309A25">
                  <w:pPr>
                    <w:pStyle w:val="104"/>
                    <w:jc w:val="cente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pPr>
                  <w:r>
                    <w:rPr>
                      <w:rFonts w:hint="eastAsia" w:cs="Times New Roman"/>
                      <w:color w:val="000000" w:themeColor="text1"/>
                      <w:kern w:val="0"/>
                      <w:sz w:val="20"/>
                      <w:u w:val="wave"/>
                      <w:lang w:val="en-US" w:eastAsia="zh-CN"/>
                      <w14:textFill>
                        <w14:solidFill>
                          <w14:schemeClr w14:val="tx1"/>
                        </w14:solidFill>
                      </w14:textFill>
                    </w:rPr>
                    <w:t>15号风机位</w:t>
                  </w:r>
                </w:p>
              </w:tc>
            </w:tr>
            <w:tr w14:paraId="3F691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1" w:type="dxa"/>
                  <w:tcBorders>
                    <w:tl2br w:val="nil"/>
                    <w:tr2bl w:val="nil"/>
                  </w:tcBorders>
                  <w:noWrap w:val="0"/>
                  <w:vAlign w:val="center"/>
                </w:tcPr>
                <w:p w14:paraId="56C614B8">
                  <w:pPr>
                    <w:pStyle w:val="104"/>
                    <w:jc w:val="cente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pPr>
                  <w: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t>4</w:t>
                  </w:r>
                </w:p>
              </w:tc>
              <w:tc>
                <w:tcPr>
                  <w:tcW w:w="3422" w:type="dxa"/>
                  <w:tcBorders>
                    <w:tl2br w:val="nil"/>
                    <w:tr2bl w:val="nil"/>
                  </w:tcBorders>
                  <w:noWrap w:val="0"/>
                  <w:vAlign w:val="center"/>
                </w:tcPr>
                <w:p w14:paraId="5CB3F222">
                  <w:pPr>
                    <w:pStyle w:val="104"/>
                    <w:jc w:val="cente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pPr>
                  <w: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t>E</w:t>
                  </w:r>
                  <w:r>
                    <w:rPr>
                      <w:rFonts w:hint="eastAsia" w:cs="Times New Roman"/>
                      <w:color w:val="000000" w:themeColor="text1"/>
                      <w:kern w:val="0"/>
                      <w:sz w:val="20"/>
                      <w:u w:val="wav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t>109°</w:t>
                  </w:r>
                  <w:r>
                    <w:rPr>
                      <w:rFonts w:hint="eastAsia" w:cs="Times New Roman"/>
                      <w:color w:val="000000" w:themeColor="text1"/>
                      <w:kern w:val="0"/>
                      <w:sz w:val="20"/>
                      <w:u w:val="wave"/>
                      <w:lang w:val="en-US" w:eastAsia="zh-CN"/>
                      <w14:textFill>
                        <w14:solidFill>
                          <w14:schemeClr w14:val="tx1"/>
                        </w14:solidFill>
                      </w14:textFill>
                    </w:rPr>
                    <w:t>72</w:t>
                  </w:r>
                  <w: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t>′</w:t>
                  </w:r>
                  <w:r>
                    <w:rPr>
                      <w:rFonts w:hint="eastAsia" w:cs="Times New Roman"/>
                      <w:color w:val="000000" w:themeColor="text1"/>
                      <w:kern w:val="0"/>
                      <w:sz w:val="20"/>
                      <w:u w:val="wave"/>
                      <w:lang w:val="en-US" w:eastAsia="zh-CN"/>
                      <w14:textFill>
                        <w14:solidFill>
                          <w14:schemeClr w14:val="tx1"/>
                        </w14:solidFill>
                      </w14:textFill>
                    </w:rPr>
                    <w:t>12.743</w:t>
                  </w:r>
                  <w: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t>″</w:t>
                  </w:r>
                  <w:r>
                    <w:rPr>
                      <w:rFonts w:hint="eastAsia" w:cs="Times New Roman"/>
                      <w:color w:val="000000" w:themeColor="text1"/>
                      <w:kern w:val="0"/>
                      <w:sz w:val="20"/>
                      <w:u w:val="wav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t>N</w:t>
                  </w:r>
                  <w:r>
                    <w:rPr>
                      <w:rFonts w:hint="eastAsia" w:cs="Times New Roman"/>
                      <w:color w:val="000000" w:themeColor="text1"/>
                      <w:kern w:val="0"/>
                      <w:sz w:val="20"/>
                      <w:u w:val="wav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t>26°</w:t>
                  </w:r>
                  <w:r>
                    <w:rPr>
                      <w:rFonts w:hint="eastAsia" w:cs="Times New Roman"/>
                      <w:color w:val="000000" w:themeColor="text1"/>
                      <w:kern w:val="0"/>
                      <w:sz w:val="20"/>
                      <w:u w:val="wave"/>
                      <w:lang w:val="en-US" w:eastAsia="zh-CN"/>
                      <w14:textFill>
                        <w14:solidFill>
                          <w14:schemeClr w14:val="tx1"/>
                        </w14:solidFill>
                      </w14:textFill>
                    </w:rPr>
                    <w:t>17</w:t>
                  </w:r>
                  <w: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t>′</w:t>
                  </w:r>
                  <w:r>
                    <w:rPr>
                      <w:rFonts w:hint="eastAsia" w:cs="Times New Roman"/>
                      <w:color w:val="000000" w:themeColor="text1"/>
                      <w:kern w:val="0"/>
                      <w:sz w:val="20"/>
                      <w:u w:val="wave"/>
                      <w:lang w:val="en-US" w:eastAsia="zh-CN"/>
                      <w14:textFill>
                        <w14:solidFill>
                          <w14:schemeClr w14:val="tx1"/>
                        </w14:solidFill>
                      </w14:textFill>
                    </w:rPr>
                    <w:t>51.204</w:t>
                  </w:r>
                  <w: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t xml:space="preserve">″ </w:t>
                  </w:r>
                </w:p>
              </w:tc>
              <w:tc>
                <w:tcPr>
                  <w:tcW w:w="3422" w:type="dxa"/>
                  <w:tcBorders>
                    <w:tl2br w:val="nil"/>
                    <w:tr2bl w:val="nil"/>
                  </w:tcBorders>
                  <w:noWrap w:val="0"/>
                  <w:vAlign w:val="center"/>
                </w:tcPr>
                <w:p w14:paraId="43312E05">
                  <w:pPr>
                    <w:pStyle w:val="104"/>
                    <w:jc w:val="cente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pPr>
                  <w:r>
                    <w:rPr>
                      <w:rFonts w:hint="eastAsia" w:ascii="Times New Roman" w:hAnsi="Times New Roman" w:eastAsia="宋体" w:cs="Times New Roman"/>
                      <w:color w:val="000000" w:themeColor="text1"/>
                      <w:kern w:val="0"/>
                      <w:sz w:val="20"/>
                      <w:u w:val="wave"/>
                      <w:lang w:val="en-US" w:eastAsia="zh-CN"/>
                      <w14:textFill>
                        <w14:solidFill>
                          <w14:schemeClr w14:val="tx1"/>
                        </w14:solidFill>
                      </w14:textFill>
                    </w:rPr>
                    <w:t>拟建升压站</w:t>
                  </w:r>
                </w:p>
              </w:tc>
            </w:tr>
            <w:tr w14:paraId="3C08F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1" w:type="dxa"/>
                  <w:tcBorders>
                    <w:tl2br w:val="nil"/>
                    <w:tr2bl w:val="nil"/>
                  </w:tcBorders>
                  <w:noWrap w:val="0"/>
                  <w:vAlign w:val="center"/>
                </w:tcPr>
                <w:p w14:paraId="6827F8E7">
                  <w:pPr>
                    <w:pStyle w:val="104"/>
                    <w:jc w:val="cente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pPr>
                  <w: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t>5</w:t>
                  </w:r>
                </w:p>
              </w:tc>
              <w:tc>
                <w:tcPr>
                  <w:tcW w:w="3422" w:type="dxa"/>
                  <w:tcBorders>
                    <w:tl2br w:val="nil"/>
                    <w:tr2bl w:val="nil"/>
                  </w:tcBorders>
                  <w:noWrap w:val="0"/>
                  <w:vAlign w:val="center"/>
                </w:tcPr>
                <w:p w14:paraId="3F60FFAB">
                  <w:pPr>
                    <w:pStyle w:val="104"/>
                    <w:jc w:val="cente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pPr>
                  <w:r>
                    <w:rPr>
                      <w:rFonts w:hint="eastAsia" w:cs="Times New Roman"/>
                      <w:color w:val="000000" w:themeColor="text1"/>
                      <w:kern w:val="0"/>
                      <w:sz w:val="20"/>
                      <w:u w:val="wave"/>
                      <w:lang w:val="en-US" w:eastAsia="zh-CN"/>
                      <w14:textFill>
                        <w14:solidFill>
                          <w14:schemeClr w14:val="tx1"/>
                        </w14:solidFill>
                      </w14:textFill>
                    </w:rPr>
                    <w:t>E：</w:t>
                  </w:r>
                  <w: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t>109°</w:t>
                  </w:r>
                  <w:r>
                    <w:rPr>
                      <w:rFonts w:hint="eastAsia" w:cs="Times New Roman"/>
                      <w:color w:val="000000" w:themeColor="text1"/>
                      <w:kern w:val="0"/>
                      <w:sz w:val="20"/>
                      <w:u w:val="wave"/>
                      <w:lang w:val="en-US" w:eastAsia="zh-CN"/>
                      <w14:textFill>
                        <w14:solidFill>
                          <w14:schemeClr w14:val="tx1"/>
                        </w14:solidFill>
                      </w14:textFill>
                    </w:rPr>
                    <w:t>76</w:t>
                  </w:r>
                  <w: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t>′</w:t>
                  </w:r>
                  <w:r>
                    <w:rPr>
                      <w:rFonts w:hint="eastAsia" w:cs="Times New Roman"/>
                      <w:color w:val="000000" w:themeColor="text1"/>
                      <w:kern w:val="0"/>
                      <w:sz w:val="20"/>
                      <w:u w:val="wave"/>
                      <w:lang w:val="en-US" w:eastAsia="zh-CN"/>
                      <w14:textFill>
                        <w14:solidFill>
                          <w14:schemeClr w14:val="tx1"/>
                        </w14:solidFill>
                      </w14:textFill>
                    </w:rPr>
                    <w:t>51.767</w:t>
                  </w:r>
                  <w: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t>″、N</w:t>
                  </w:r>
                  <w:r>
                    <w:rPr>
                      <w:rFonts w:hint="eastAsia" w:cs="Times New Roman"/>
                      <w:color w:val="000000" w:themeColor="text1"/>
                      <w:kern w:val="0"/>
                      <w:sz w:val="20"/>
                      <w:u w:val="wav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t>26°</w:t>
                  </w:r>
                  <w:r>
                    <w:rPr>
                      <w:rFonts w:hint="eastAsia" w:cs="Times New Roman"/>
                      <w:color w:val="000000" w:themeColor="text1"/>
                      <w:kern w:val="0"/>
                      <w:sz w:val="20"/>
                      <w:u w:val="wave"/>
                      <w:lang w:val="en-US" w:eastAsia="zh-CN"/>
                      <w14:textFill>
                        <w14:solidFill>
                          <w14:schemeClr w14:val="tx1"/>
                        </w14:solidFill>
                      </w14:textFill>
                    </w:rPr>
                    <w:t>17</w:t>
                  </w:r>
                  <w: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t>′</w:t>
                  </w:r>
                  <w:r>
                    <w:rPr>
                      <w:rFonts w:hint="eastAsia" w:cs="Times New Roman"/>
                      <w:color w:val="000000" w:themeColor="text1"/>
                      <w:kern w:val="0"/>
                      <w:sz w:val="20"/>
                      <w:u w:val="wave"/>
                      <w:lang w:val="en-US" w:eastAsia="zh-CN"/>
                      <w14:textFill>
                        <w14:solidFill>
                          <w14:schemeClr w14:val="tx1"/>
                        </w14:solidFill>
                      </w14:textFill>
                    </w:rPr>
                    <w:t>26.940</w:t>
                  </w:r>
                  <w: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t>″</w:t>
                  </w:r>
                </w:p>
              </w:tc>
              <w:tc>
                <w:tcPr>
                  <w:tcW w:w="3422" w:type="dxa"/>
                  <w:tcBorders>
                    <w:tl2br w:val="nil"/>
                    <w:tr2bl w:val="nil"/>
                  </w:tcBorders>
                  <w:noWrap w:val="0"/>
                  <w:vAlign w:val="center"/>
                </w:tcPr>
                <w:p w14:paraId="679DE1F5">
                  <w:pPr>
                    <w:pStyle w:val="104"/>
                    <w:jc w:val="cente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pPr>
                  <w:r>
                    <w:rPr>
                      <w:rFonts w:hint="eastAsia" w:cs="Times New Roman"/>
                      <w:color w:val="000000" w:themeColor="text1"/>
                      <w:kern w:val="0"/>
                      <w:sz w:val="20"/>
                      <w:u w:val="wave"/>
                      <w:lang w:val="en-US" w:eastAsia="zh-CN"/>
                      <w14:textFill>
                        <w14:solidFill>
                          <w14:schemeClr w14:val="tx1"/>
                        </w14:solidFill>
                      </w14:textFill>
                    </w:rPr>
                    <w:t>1号弃渣场</w:t>
                  </w:r>
                </w:p>
              </w:tc>
            </w:tr>
            <w:tr w14:paraId="4A973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1" w:type="dxa"/>
                  <w:tcBorders>
                    <w:tl2br w:val="nil"/>
                    <w:tr2bl w:val="nil"/>
                  </w:tcBorders>
                  <w:noWrap w:val="0"/>
                  <w:vAlign w:val="center"/>
                </w:tcPr>
                <w:p w14:paraId="1906C457">
                  <w:pPr>
                    <w:pStyle w:val="104"/>
                    <w:jc w:val="cente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pPr>
                  <w:r>
                    <w:rPr>
                      <w:rFonts w:hint="default" w:ascii="Times New Roman" w:hAnsi="Times New Roman" w:eastAsia="宋体" w:cs="Times New Roman"/>
                      <w:color w:val="000000" w:themeColor="text1"/>
                      <w:kern w:val="0"/>
                      <w:sz w:val="20"/>
                      <w:u w:val="wave"/>
                      <w14:textFill>
                        <w14:solidFill>
                          <w14:schemeClr w14:val="tx1"/>
                        </w14:solidFill>
                      </w14:textFill>
                    </w:rPr>
                    <w:t>6</w:t>
                  </w:r>
                </w:p>
              </w:tc>
              <w:tc>
                <w:tcPr>
                  <w:tcW w:w="3422" w:type="dxa"/>
                  <w:tcBorders>
                    <w:tl2br w:val="nil"/>
                    <w:tr2bl w:val="nil"/>
                  </w:tcBorders>
                  <w:noWrap w:val="0"/>
                  <w:vAlign w:val="center"/>
                </w:tcPr>
                <w:p w14:paraId="4E8AFA17">
                  <w:pPr>
                    <w:pStyle w:val="104"/>
                    <w:jc w:val="cente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pPr>
                  <w: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t>E</w:t>
                  </w:r>
                  <w:r>
                    <w:rPr>
                      <w:rFonts w:hint="eastAsia" w:cs="Times New Roman"/>
                      <w:color w:val="000000" w:themeColor="text1"/>
                      <w:kern w:val="0"/>
                      <w:sz w:val="20"/>
                      <w:u w:val="wav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t>109°</w:t>
                  </w:r>
                  <w:r>
                    <w:rPr>
                      <w:rFonts w:hint="eastAsia" w:cs="Times New Roman"/>
                      <w:color w:val="000000" w:themeColor="text1"/>
                      <w:kern w:val="0"/>
                      <w:sz w:val="20"/>
                      <w:u w:val="wave"/>
                      <w:lang w:val="en-US" w:eastAsia="zh-CN"/>
                      <w14:textFill>
                        <w14:solidFill>
                          <w14:schemeClr w14:val="tx1"/>
                        </w14:solidFill>
                      </w14:textFill>
                    </w:rPr>
                    <w:t>74</w:t>
                  </w:r>
                  <w: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t>′</w:t>
                  </w:r>
                  <w:r>
                    <w:rPr>
                      <w:rFonts w:hint="eastAsia" w:cs="Times New Roman"/>
                      <w:color w:val="000000" w:themeColor="text1"/>
                      <w:kern w:val="0"/>
                      <w:sz w:val="20"/>
                      <w:u w:val="wave"/>
                      <w:lang w:val="en-US" w:eastAsia="zh-CN"/>
                      <w14:textFill>
                        <w14:solidFill>
                          <w14:schemeClr w14:val="tx1"/>
                        </w14:solidFill>
                      </w14:textFill>
                    </w:rPr>
                    <w:t>75.532</w:t>
                  </w:r>
                  <w: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t>″、N</w:t>
                  </w:r>
                  <w:r>
                    <w:rPr>
                      <w:rFonts w:hint="eastAsia" w:cs="Times New Roman"/>
                      <w:color w:val="000000" w:themeColor="text1"/>
                      <w:kern w:val="0"/>
                      <w:sz w:val="20"/>
                      <w:u w:val="wav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t>26°</w:t>
                  </w:r>
                  <w:r>
                    <w:rPr>
                      <w:rFonts w:hint="eastAsia" w:cs="Times New Roman"/>
                      <w:color w:val="000000" w:themeColor="text1"/>
                      <w:kern w:val="0"/>
                      <w:sz w:val="20"/>
                      <w:u w:val="wave"/>
                      <w:lang w:val="en-US" w:eastAsia="zh-CN"/>
                      <w14:textFill>
                        <w14:solidFill>
                          <w14:schemeClr w14:val="tx1"/>
                        </w14:solidFill>
                      </w14:textFill>
                    </w:rPr>
                    <w:t>17</w:t>
                  </w:r>
                  <w: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t>′</w:t>
                  </w:r>
                  <w:r>
                    <w:rPr>
                      <w:rFonts w:hint="eastAsia" w:cs="Times New Roman"/>
                      <w:color w:val="000000" w:themeColor="text1"/>
                      <w:kern w:val="0"/>
                      <w:sz w:val="20"/>
                      <w:u w:val="wave"/>
                      <w:lang w:val="en-US" w:eastAsia="zh-CN"/>
                      <w14:textFill>
                        <w14:solidFill>
                          <w14:schemeClr w14:val="tx1"/>
                        </w14:solidFill>
                      </w14:textFill>
                    </w:rPr>
                    <w:t>05.593</w:t>
                  </w:r>
                  <w: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t>″</w:t>
                  </w:r>
                </w:p>
              </w:tc>
              <w:tc>
                <w:tcPr>
                  <w:tcW w:w="3422" w:type="dxa"/>
                  <w:tcBorders>
                    <w:tl2br w:val="nil"/>
                    <w:tr2bl w:val="nil"/>
                  </w:tcBorders>
                  <w:noWrap w:val="0"/>
                  <w:vAlign w:val="center"/>
                </w:tcPr>
                <w:p w14:paraId="2EB4857A">
                  <w:pPr>
                    <w:pStyle w:val="104"/>
                    <w:jc w:val="cente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pPr>
                  <w:r>
                    <w:rPr>
                      <w:rFonts w:hint="eastAsia" w:cs="Times New Roman"/>
                      <w:color w:val="000000" w:themeColor="text1"/>
                      <w:kern w:val="0"/>
                      <w:sz w:val="20"/>
                      <w:u w:val="wave"/>
                      <w:lang w:val="en-US" w:eastAsia="zh-CN"/>
                      <w14:textFill>
                        <w14:solidFill>
                          <w14:schemeClr w14:val="tx1"/>
                        </w14:solidFill>
                      </w14:textFill>
                    </w:rPr>
                    <w:t>进场道路</w:t>
                  </w:r>
                </w:p>
              </w:tc>
            </w:tr>
            <w:tr w14:paraId="391AD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1" w:type="dxa"/>
                  <w:tcBorders>
                    <w:tl2br w:val="nil"/>
                    <w:tr2bl w:val="nil"/>
                  </w:tcBorders>
                  <w:noWrap w:val="0"/>
                  <w:vAlign w:val="center"/>
                </w:tcPr>
                <w:p w14:paraId="19458E54">
                  <w:pPr>
                    <w:pStyle w:val="104"/>
                    <w:jc w:val="cente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pPr>
                  <w:r>
                    <w:rPr>
                      <w:rFonts w:hint="default" w:ascii="Times New Roman" w:hAnsi="Times New Roman" w:eastAsia="宋体" w:cs="Times New Roman"/>
                      <w:color w:val="000000" w:themeColor="text1"/>
                      <w:kern w:val="0"/>
                      <w:sz w:val="20"/>
                      <w:u w:val="wave"/>
                      <w14:textFill>
                        <w14:solidFill>
                          <w14:schemeClr w14:val="tx1"/>
                        </w14:solidFill>
                      </w14:textFill>
                    </w:rPr>
                    <w:t>7</w:t>
                  </w:r>
                </w:p>
              </w:tc>
              <w:tc>
                <w:tcPr>
                  <w:tcW w:w="3422" w:type="dxa"/>
                  <w:tcBorders>
                    <w:tl2br w:val="nil"/>
                    <w:tr2bl w:val="nil"/>
                  </w:tcBorders>
                  <w:noWrap w:val="0"/>
                  <w:vAlign w:val="center"/>
                </w:tcPr>
                <w:p w14:paraId="3ACE3ADE">
                  <w:pPr>
                    <w:pStyle w:val="104"/>
                    <w:jc w:val="cente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pPr>
                  <w:r>
                    <w:rPr>
                      <w:rFonts w:hint="eastAsia" w:cs="Times New Roman"/>
                      <w:color w:val="000000" w:themeColor="text1"/>
                      <w:kern w:val="0"/>
                      <w:sz w:val="20"/>
                      <w:u w:val="wave"/>
                      <w:lang w:val="en-US" w:eastAsia="zh-CN"/>
                      <w14:textFill>
                        <w14:solidFill>
                          <w14:schemeClr w14:val="tx1"/>
                        </w14:solidFill>
                      </w14:textFill>
                    </w:rPr>
                    <w:t>E：</w:t>
                  </w:r>
                  <w: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t>109°</w:t>
                  </w:r>
                  <w:r>
                    <w:rPr>
                      <w:rFonts w:hint="eastAsia" w:cs="Times New Roman"/>
                      <w:color w:val="000000" w:themeColor="text1"/>
                      <w:kern w:val="0"/>
                      <w:sz w:val="20"/>
                      <w:u w:val="wave"/>
                      <w:lang w:val="en-US" w:eastAsia="zh-CN"/>
                      <w14:textFill>
                        <w14:solidFill>
                          <w14:schemeClr w14:val="tx1"/>
                        </w14:solidFill>
                      </w14:textFill>
                    </w:rPr>
                    <w:t>68</w:t>
                  </w:r>
                  <w: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t>′</w:t>
                  </w:r>
                  <w:r>
                    <w:rPr>
                      <w:rFonts w:hint="eastAsia" w:cs="Times New Roman"/>
                      <w:color w:val="000000" w:themeColor="text1"/>
                      <w:kern w:val="0"/>
                      <w:sz w:val="20"/>
                      <w:u w:val="wave"/>
                      <w:lang w:val="en-US" w:eastAsia="zh-CN"/>
                      <w14:textFill>
                        <w14:solidFill>
                          <w14:schemeClr w14:val="tx1"/>
                        </w14:solidFill>
                      </w14:textFill>
                    </w:rPr>
                    <w:t>03.593</w:t>
                  </w:r>
                  <w: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t>″、N</w:t>
                  </w:r>
                  <w:r>
                    <w:rPr>
                      <w:rFonts w:hint="eastAsia" w:cs="Times New Roman"/>
                      <w:color w:val="000000" w:themeColor="text1"/>
                      <w:kern w:val="0"/>
                      <w:sz w:val="20"/>
                      <w:u w:val="wav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t>26°</w:t>
                  </w:r>
                  <w:r>
                    <w:rPr>
                      <w:rFonts w:hint="eastAsia" w:cs="Times New Roman"/>
                      <w:color w:val="000000" w:themeColor="text1"/>
                      <w:kern w:val="0"/>
                      <w:sz w:val="20"/>
                      <w:u w:val="wave"/>
                      <w:lang w:val="en-US" w:eastAsia="zh-CN"/>
                      <w14:textFill>
                        <w14:solidFill>
                          <w14:schemeClr w14:val="tx1"/>
                        </w14:solidFill>
                      </w14:textFill>
                    </w:rPr>
                    <w:t>44</w:t>
                  </w:r>
                  <w: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t>′</w:t>
                  </w:r>
                  <w:r>
                    <w:rPr>
                      <w:rFonts w:hint="eastAsia" w:cs="Times New Roman"/>
                      <w:color w:val="000000" w:themeColor="text1"/>
                      <w:kern w:val="0"/>
                      <w:sz w:val="20"/>
                      <w:u w:val="wave"/>
                      <w:lang w:val="en-US" w:eastAsia="zh-CN"/>
                      <w14:textFill>
                        <w14:solidFill>
                          <w14:schemeClr w14:val="tx1"/>
                        </w14:solidFill>
                      </w14:textFill>
                    </w:rPr>
                    <w:t>82.785</w:t>
                  </w:r>
                  <w: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t>″</w:t>
                  </w:r>
                </w:p>
              </w:tc>
              <w:tc>
                <w:tcPr>
                  <w:tcW w:w="3422" w:type="dxa"/>
                  <w:tcBorders>
                    <w:tl2br w:val="nil"/>
                    <w:tr2bl w:val="nil"/>
                  </w:tcBorders>
                  <w:noWrap w:val="0"/>
                  <w:vAlign w:val="center"/>
                </w:tcPr>
                <w:p w14:paraId="1B054B60">
                  <w:pPr>
                    <w:pStyle w:val="104"/>
                    <w:jc w:val="cente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pPr>
                  <w:r>
                    <w:rPr>
                      <w:rFonts w:hint="eastAsia" w:cs="Times New Roman"/>
                      <w:color w:val="000000" w:themeColor="text1"/>
                      <w:kern w:val="0"/>
                      <w:sz w:val="20"/>
                      <w:u w:val="wave"/>
                      <w:lang w:val="en-US" w:eastAsia="zh-CN"/>
                      <w14:textFill>
                        <w14:solidFill>
                          <w14:schemeClr w14:val="tx1"/>
                        </w14:solidFill>
                      </w14:textFill>
                    </w:rPr>
                    <w:t>10</w:t>
                  </w:r>
                  <w: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t>号风机</w:t>
                  </w:r>
                  <w:r>
                    <w:rPr>
                      <w:rFonts w:hint="eastAsia" w:cs="Times New Roman"/>
                      <w:color w:val="000000" w:themeColor="text1"/>
                      <w:kern w:val="0"/>
                      <w:sz w:val="20"/>
                      <w:u w:val="wave"/>
                      <w:lang w:val="en-US" w:eastAsia="zh-CN"/>
                      <w14:textFill>
                        <w14:solidFill>
                          <w14:schemeClr w14:val="tx1"/>
                        </w14:solidFill>
                      </w14:textFill>
                    </w:rPr>
                    <w:t>位</w:t>
                  </w:r>
                </w:p>
              </w:tc>
            </w:tr>
            <w:tr w14:paraId="54D94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1" w:type="dxa"/>
                  <w:tcBorders>
                    <w:tl2br w:val="nil"/>
                    <w:tr2bl w:val="nil"/>
                  </w:tcBorders>
                  <w:noWrap w:val="0"/>
                  <w:vAlign w:val="center"/>
                </w:tcPr>
                <w:p w14:paraId="71AB3074">
                  <w:pPr>
                    <w:pStyle w:val="104"/>
                    <w:jc w:val="cente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pPr>
                  <w:r>
                    <w:rPr>
                      <w:rFonts w:hint="default" w:ascii="Times New Roman" w:hAnsi="Times New Roman" w:eastAsia="宋体" w:cs="Times New Roman"/>
                      <w:color w:val="000000" w:themeColor="text1"/>
                      <w:kern w:val="0"/>
                      <w:sz w:val="20"/>
                      <w:u w:val="wave"/>
                      <w14:textFill>
                        <w14:solidFill>
                          <w14:schemeClr w14:val="tx1"/>
                        </w14:solidFill>
                      </w14:textFill>
                    </w:rPr>
                    <w:t>8</w:t>
                  </w:r>
                </w:p>
              </w:tc>
              <w:tc>
                <w:tcPr>
                  <w:tcW w:w="3422" w:type="dxa"/>
                  <w:tcBorders>
                    <w:tl2br w:val="nil"/>
                    <w:tr2bl w:val="nil"/>
                  </w:tcBorders>
                  <w:noWrap w:val="0"/>
                  <w:vAlign w:val="center"/>
                </w:tcPr>
                <w:p w14:paraId="526ED4A2">
                  <w:pPr>
                    <w:pStyle w:val="104"/>
                    <w:jc w:val="cente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pPr>
                  <w: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t>E</w:t>
                  </w:r>
                  <w:r>
                    <w:rPr>
                      <w:rFonts w:hint="eastAsia" w:cs="Times New Roman"/>
                      <w:color w:val="000000" w:themeColor="text1"/>
                      <w:kern w:val="0"/>
                      <w:sz w:val="20"/>
                      <w:u w:val="wav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t>109°</w:t>
                  </w:r>
                  <w:r>
                    <w:rPr>
                      <w:rFonts w:hint="eastAsia" w:cs="Times New Roman"/>
                      <w:color w:val="000000" w:themeColor="text1"/>
                      <w:kern w:val="0"/>
                      <w:sz w:val="20"/>
                      <w:u w:val="wave"/>
                      <w:lang w:val="en-US" w:eastAsia="zh-CN"/>
                      <w14:textFill>
                        <w14:solidFill>
                          <w14:schemeClr w14:val="tx1"/>
                        </w14:solidFill>
                      </w14:textFill>
                    </w:rPr>
                    <w:t>67</w:t>
                  </w:r>
                  <w: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t>′1</w:t>
                  </w:r>
                  <w:r>
                    <w:rPr>
                      <w:rFonts w:hint="eastAsia" w:cs="Times New Roman"/>
                      <w:color w:val="000000" w:themeColor="text1"/>
                      <w:kern w:val="0"/>
                      <w:sz w:val="20"/>
                      <w:u w:val="wave"/>
                      <w:lang w:val="en-US" w:eastAsia="zh-CN"/>
                      <w14:textFill>
                        <w14:solidFill>
                          <w14:schemeClr w14:val="tx1"/>
                        </w14:solidFill>
                      </w14:textFill>
                    </w:rPr>
                    <w:t>5</w:t>
                  </w:r>
                  <w: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t>.</w:t>
                  </w:r>
                  <w:r>
                    <w:rPr>
                      <w:rFonts w:hint="eastAsia" w:cs="Times New Roman"/>
                      <w:color w:val="000000" w:themeColor="text1"/>
                      <w:kern w:val="0"/>
                      <w:sz w:val="20"/>
                      <w:u w:val="wave"/>
                      <w:lang w:val="en-US" w:eastAsia="zh-CN"/>
                      <w14:textFill>
                        <w14:solidFill>
                          <w14:schemeClr w14:val="tx1"/>
                        </w14:solidFill>
                      </w14:textFill>
                    </w:rPr>
                    <w:t>174</w:t>
                  </w:r>
                  <w: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t>″、N</w:t>
                  </w:r>
                  <w:r>
                    <w:rPr>
                      <w:rFonts w:hint="eastAsia" w:cs="Times New Roman"/>
                      <w:color w:val="000000" w:themeColor="text1"/>
                      <w:kern w:val="0"/>
                      <w:sz w:val="20"/>
                      <w:u w:val="wav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t>26°</w:t>
                  </w:r>
                  <w:r>
                    <w:rPr>
                      <w:rFonts w:hint="eastAsia" w:cs="Times New Roman"/>
                      <w:color w:val="000000" w:themeColor="text1"/>
                      <w:kern w:val="0"/>
                      <w:sz w:val="20"/>
                      <w:u w:val="wave"/>
                      <w:lang w:val="en-US" w:eastAsia="zh-CN"/>
                      <w14:textFill>
                        <w14:solidFill>
                          <w14:schemeClr w14:val="tx1"/>
                        </w14:solidFill>
                      </w14:textFill>
                    </w:rPr>
                    <w:t>0</w:t>
                  </w:r>
                  <w: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t>9′</w:t>
                  </w:r>
                  <w:r>
                    <w:rPr>
                      <w:rFonts w:hint="eastAsia" w:cs="Times New Roman"/>
                      <w:color w:val="000000" w:themeColor="text1"/>
                      <w:kern w:val="0"/>
                      <w:sz w:val="20"/>
                      <w:u w:val="wave"/>
                      <w:lang w:val="en-US" w:eastAsia="zh-CN"/>
                      <w14:textFill>
                        <w14:solidFill>
                          <w14:schemeClr w14:val="tx1"/>
                        </w14:solidFill>
                      </w14:textFill>
                    </w:rPr>
                    <w:t>92.714</w:t>
                  </w:r>
                  <w: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t>″</w:t>
                  </w:r>
                </w:p>
              </w:tc>
              <w:tc>
                <w:tcPr>
                  <w:tcW w:w="3422" w:type="dxa"/>
                  <w:tcBorders>
                    <w:tl2br w:val="nil"/>
                    <w:tr2bl w:val="nil"/>
                  </w:tcBorders>
                  <w:noWrap w:val="0"/>
                  <w:vAlign w:val="center"/>
                </w:tcPr>
                <w:p w14:paraId="5A72450D">
                  <w:pPr>
                    <w:pStyle w:val="104"/>
                    <w:jc w:val="cente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pPr>
                  <w:r>
                    <w:rPr>
                      <w:rFonts w:hint="eastAsia" w:cs="Times New Roman"/>
                      <w:color w:val="000000" w:themeColor="text1"/>
                      <w:kern w:val="0"/>
                      <w:sz w:val="20"/>
                      <w:u w:val="wave"/>
                      <w:lang w:val="en-US" w:eastAsia="zh-CN"/>
                      <w14:textFill>
                        <w14:solidFill>
                          <w14:schemeClr w14:val="tx1"/>
                        </w14:solidFill>
                      </w14:textFill>
                    </w:rPr>
                    <w:t>7号弃渣场</w:t>
                  </w:r>
                </w:p>
              </w:tc>
            </w:tr>
            <w:tr w14:paraId="5D569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1" w:type="dxa"/>
                  <w:tcBorders>
                    <w:tl2br w:val="nil"/>
                    <w:tr2bl w:val="nil"/>
                  </w:tcBorders>
                  <w:noWrap w:val="0"/>
                  <w:vAlign w:val="center"/>
                </w:tcPr>
                <w:p w14:paraId="0DE20D53">
                  <w:pPr>
                    <w:pStyle w:val="104"/>
                    <w:jc w:val="center"/>
                    <w:rPr>
                      <w:rFonts w:hint="eastAsia" w:ascii="Times New Roman" w:hAnsi="Times New Roman" w:eastAsia="宋体" w:cs="Times New Roman"/>
                      <w:color w:val="000000" w:themeColor="text1"/>
                      <w:kern w:val="0"/>
                      <w:sz w:val="20"/>
                      <w:u w:val="wave"/>
                      <w:lang w:val="en-US" w:eastAsia="zh-CN"/>
                      <w14:textFill>
                        <w14:solidFill>
                          <w14:schemeClr w14:val="tx1"/>
                        </w14:solidFill>
                      </w14:textFill>
                    </w:rPr>
                  </w:pPr>
                  <w:r>
                    <w:rPr>
                      <w:rFonts w:hint="eastAsia" w:cs="Times New Roman"/>
                      <w:color w:val="000000" w:themeColor="text1"/>
                      <w:kern w:val="0"/>
                      <w:sz w:val="20"/>
                      <w:u w:val="wave"/>
                      <w:lang w:val="en-US" w:eastAsia="zh-CN"/>
                      <w14:textFill>
                        <w14:solidFill>
                          <w14:schemeClr w14:val="tx1"/>
                        </w14:solidFill>
                      </w14:textFill>
                    </w:rPr>
                    <w:t>9</w:t>
                  </w:r>
                </w:p>
              </w:tc>
              <w:tc>
                <w:tcPr>
                  <w:tcW w:w="3422" w:type="dxa"/>
                  <w:tcBorders>
                    <w:tl2br w:val="nil"/>
                    <w:tr2bl w:val="nil"/>
                  </w:tcBorders>
                  <w:noWrap w:val="0"/>
                  <w:vAlign w:val="center"/>
                </w:tcPr>
                <w:p w14:paraId="5A6A0B40">
                  <w:pPr>
                    <w:pStyle w:val="104"/>
                    <w:jc w:val="cente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pPr>
                  <w: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t>E</w:t>
                  </w:r>
                  <w:r>
                    <w:rPr>
                      <w:rFonts w:hint="eastAsia" w:cs="Times New Roman"/>
                      <w:color w:val="000000" w:themeColor="text1"/>
                      <w:kern w:val="0"/>
                      <w:sz w:val="20"/>
                      <w:u w:val="wav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t>109°</w:t>
                  </w:r>
                  <w:r>
                    <w:rPr>
                      <w:rFonts w:hint="eastAsia" w:cs="Times New Roman"/>
                      <w:color w:val="000000" w:themeColor="text1"/>
                      <w:kern w:val="0"/>
                      <w:sz w:val="20"/>
                      <w:u w:val="wave"/>
                      <w:lang w:val="en-US" w:eastAsia="zh-CN"/>
                      <w14:textFill>
                        <w14:solidFill>
                          <w14:schemeClr w14:val="tx1"/>
                        </w14:solidFill>
                      </w14:textFill>
                    </w:rPr>
                    <w:t>68</w:t>
                  </w:r>
                  <w: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t>′</w:t>
                  </w:r>
                  <w:r>
                    <w:rPr>
                      <w:rFonts w:hint="eastAsia" w:cs="Times New Roman"/>
                      <w:color w:val="000000" w:themeColor="text1"/>
                      <w:kern w:val="0"/>
                      <w:sz w:val="20"/>
                      <w:u w:val="wave"/>
                      <w:lang w:val="en-US" w:eastAsia="zh-CN"/>
                      <w14:textFill>
                        <w14:solidFill>
                          <w14:schemeClr w14:val="tx1"/>
                        </w14:solidFill>
                      </w14:textFill>
                    </w:rPr>
                    <w:t>60.396</w:t>
                  </w:r>
                  <w: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t>″、N</w:t>
                  </w:r>
                  <w:r>
                    <w:rPr>
                      <w:rFonts w:hint="eastAsia" w:cs="Times New Roman"/>
                      <w:color w:val="000000" w:themeColor="text1"/>
                      <w:kern w:val="0"/>
                      <w:sz w:val="20"/>
                      <w:u w:val="wav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t>26°</w:t>
                  </w:r>
                  <w:r>
                    <w:rPr>
                      <w:rFonts w:hint="eastAsia" w:cs="Times New Roman"/>
                      <w:color w:val="000000" w:themeColor="text1"/>
                      <w:kern w:val="0"/>
                      <w:sz w:val="20"/>
                      <w:u w:val="wave"/>
                      <w:lang w:val="en-US" w:eastAsia="zh-CN"/>
                      <w14:textFill>
                        <w14:solidFill>
                          <w14:schemeClr w14:val="tx1"/>
                        </w14:solidFill>
                      </w14:textFill>
                    </w:rPr>
                    <w:t>14</w:t>
                  </w:r>
                  <w: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t>′</w:t>
                  </w:r>
                  <w:r>
                    <w:rPr>
                      <w:rFonts w:hint="eastAsia" w:cs="Times New Roman"/>
                      <w:color w:val="000000" w:themeColor="text1"/>
                      <w:kern w:val="0"/>
                      <w:sz w:val="20"/>
                      <w:u w:val="wave"/>
                      <w:lang w:val="en-US" w:eastAsia="zh-CN"/>
                      <w14:textFill>
                        <w14:solidFill>
                          <w14:schemeClr w14:val="tx1"/>
                        </w14:solidFill>
                      </w14:textFill>
                    </w:rPr>
                    <w:t>36.517</w:t>
                  </w:r>
                  <w:r>
                    <w:rPr>
                      <w:rFonts w:hint="default" w:ascii="Times New Roman" w:hAnsi="Times New Roman" w:eastAsia="宋体" w:cs="Times New Roman"/>
                      <w:color w:val="000000" w:themeColor="text1"/>
                      <w:kern w:val="0"/>
                      <w:sz w:val="20"/>
                      <w:u w:val="wave"/>
                      <w:lang w:val="en-US" w:eastAsia="zh-CN"/>
                      <w14:textFill>
                        <w14:solidFill>
                          <w14:schemeClr w14:val="tx1"/>
                        </w14:solidFill>
                      </w14:textFill>
                    </w:rPr>
                    <w:t>″</w:t>
                  </w:r>
                </w:p>
              </w:tc>
              <w:tc>
                <w:tcPr>
                  <w:tcW w:w="3422" w:type="dxa"/>
                  <w:tcBorders>
                    <w:tl2br w:val="nil"/>
                    <w:tr2bl w:val="nil"/>
                  </w:tcBorders>
                  <w:noWrap w:val="0"/>
                  <w:vAlign w:val="center"/>
                </w:tcPr>
                <w:p w14:paraId="32BD7A8A">
                  <w:pPr>
                    <w:pStyle w:val="104"/>
                    <w:jc w:val="center"/>
                    <w:rPr>
                      <w:rFonts w:hint="default" w:cs="Times New Roman"/>
                      <w:color w:val="000000" w:themeColor="text1"/>
                      <w:kern w:val="0"/>
                      <w:sz w:val="20"/>
                      <w:u w:val="wave"/>
                      <w:lang w:val="en-US" w:eastAsia="zh-CN"/>
                      <w14:textFill>
                        <w14:solidFill>
                          <w14:schemeClr w14:val="tx1"/>
                        </w14:solidFill>
                      </w14:textFill>
                    </w:rPr>
                  </w:pPr>
                  <w:r>
                    <w:rPr>
                      <w:rFonts w:hint="eastAsia" w:cs="Times New Roman"/>
                      <w:color w:val="000000" w:themeColor="text1"/>
                      <w:kern w:val="0"/>
                      <w:sz w:val="20"/>
                      <w:u w:val="wave"/>
                      <w:lang w:val="en-US" w:eastAsia="zh-CN"/>
                      <w14:textFill>
                        <w14:solidFill>
                          <w14:schemeClr w14:val="tx1"/>
                        </w14:solidFill>
                      </w14:textFill>
                    </w:rPr>
                    <w:t>8号风机位</w:t>
                  </w:r>
                </w:p>
              </w:tc>
            </w:tr>
          </w:tbl>
          <w:p w14:paraId="2EDB1D7D">
            <w:pPr>
              <w:pStyle w:val="4"/>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3.5.1 </w:t>
            </w:r>
            <w:bookmarkEnd w:id="54"/>
            <w:bookmarkStart w:id="59" w:name="_Toc10086_WPSOffice_Level2"/>
            <w:bookmarkStart w:id="60" w:name="_Toc119425259"/>
            <w:bookmarkStart w:id="61" w:name="_Toc4999"/>
            <w:bookmarkStart w:id="62" w:name="_Toc28975_WPSOffice_Level2"/>
            <w:r>
              <w:rPr>
                <w:color w:val="000000" w:themeColor="text1"/>
                <w:highlight w:val="none"/>
                <w14:textFill>
                  <w14:solidFill>
                    <w14:schemeClr w14:val="tx1"/>
                  </w14:solidFill>
                </w14:textFill>
              </w:rPr>
              <w:t>生态系统现状</w:t>
            </w:r>
            <w:bookmarkEnd w:id="59"/>
            <w:bookmarkEnd w:id="60"/>
            <w:bookmarkEnd w:id="61"/>
            <w:bookmarkEnd w:id="62"/>
          </w:p>
          <w:p w14:paraId="47BE9EDD">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根据评价区土地类型，结合遥感影像数据，将评价区内生态系统划分为森林生态系统、灌丛/草地生态系统、湿地生态系统、农业生态系统、城镇生态系统。</w:t>
            </w:r>
          </w:p>
          <w:bookmarkEnd w:id="55"/>
          <w:p w14:paraId="5E0E0187">
            <w:pPr>
              <w:ind w:firstLine="480" w:firstLineChars="200"/>
              <w:rPr>
                <w:color w:val="000000" w:themeColor="text1"/>
                <w:u w:val="none"/>
                <w14:textFill>
                  <w14:solidFill>
                    <w14:schemeClr w14:val="tx1"/>
                  </w14:solidFill>
                </w14:textFill>
              </w:rPr>
            </w:pPr>
            <w:r>
              <w:rPr>
                <w:color w:val="000000" w:themeColor="text1"/>
                <w:u w:val="none"/>
                <w14:textFill>
                  <w14:solidFill>
                    <w14:schemeClr w14:val="tx1"/>
                  </w14:solidFill>
                </w14:textFill>
              </w:rPr>
              <w:t>（</w:t>
            </w:r>
            <w:r>
              <w:rPr>
                <w:rFonts w:hint="eastAsia"/>
                <w:color w:val="000000" w:themeColor="text1"/>
                <w:u w:val="none"/>
                <w14:textFill>
                  <w14:solidFill>
                    <w14:schemeClr w14:val="tx1"/>
                  </w14:solidFill>
                </w14:textFill>
              </w:rPr>
              <w:t>1</w:t>
            </w:r>
            <w:r>
              <w:rPr>
                <w:color w:val="000000" w:themeColor="text1"/>
                <w:u w:val="none"/>
                <w14:textFill>
                  <w14:solidFill>
                    <w14:schemeClr w14:val="tx1"/>
                  </w14:solidFill>
                </w14:textFill>
              </w:rPr>
              <w:t>）</w:t>
            </w:r>
            <w:r>
              <w:rPr>
                <w:rFonts w:hint="eastAsia"/>
                <w:color w:val="000000" w:themeColor="text1"/>
                <w:u w:val="none"/>
                <w14:textFill>
                  <w14:solidFill>
                    <w14:schemeClr w14:val="tx1"/>
                  </w14:solidFill>
                </w14:textFill>
              </w:rPr>
              <w:t>风机平台生态环境现状</w:t>
            </w:r>
          </w:p>
          <w:p w14:paraId="789EB420">
            <w:pPr>
              <w:ind w:firstLine="480" w:firstLineChars="200"/>
              <w:rPr>
                <w:rFonts w:hint="eastAsia" w:eastAsia="宋体"/>
                <w:color w:val="000000" w:themeColor="text1"/>
                <w:u w:val="none"/>
                <w:lang w:val="en-US" w:eastAsia="zh-CN"/>
                <w14:textFill>
                  <w14:solidFill>
                    <w14:schemeClr w14:val="tx1"/>
                  </w14:solidFill>
                </w14:textFill>
              </w:rPr>
            </w:pPr>
            <w:r>
              <w:rPr>
                <w:rFonts w:hint="eastAsia"/>
                <w:color w:val="000000" w:themeColor="text1"/>
                <w:u w:val="none"/>
                <w14:textFill>
                  <w14:solidFill>
                    <w14:schemeClr w14:val="tx1"/>
                  </w14:solidFill>
                </w14:textFill>
              </w:rPr>
              <w:t>拟建项目</w:t>
            </w:r>
            <w:r>
              <w:rPr>
                <w:color w:val="000000" w:themeColor="text1"/>
                <w:u w:val="none"/>
                <w14:textFill>
                  <w14:solidFill>
                    <w14:schemeClr w14:val="tx1"/>
                  </w14:solidFill>
                </w14:textFill>
              </w:rPr>
              <w:t>风电场装机容量</w:t>
            </w:r>
            <w:r>
              <w:rPr>
                <w:rFonts w:hint="eastAsia"/>
                <w:color w:val="000000" w:themeColor="text1"/>
                <w:u w:val="none"/>
                <w:lang w:val="en-US" w:eastAsia="zh-CN"/>
                <w14:textFill>
                  <w14:solidFill>
                    <w14:schemeClr w14:val="tx1"/>
                  </w14:solidFill>
                </w14:textFill>
              </w:rPr>
              <w:t>75</w:t>
            </w:r>
            <w:r>
              <w:rPr>
                <w:color w:val="000000" w:themeColor="text1"/>
                <w:u w:val="none"/>
                <w14:textFill>
                  <w14:solidFill>
                    <w14:schemeClr w14:val="tx1"/>
                  </w14:solidFill>
                </w14:textFill>
              </w:rPr>
              <w:t>MW，</w:t>
            </w:r>
            <w:r>
              <w:rPr>
                <w:rFonts w:hint="eastAsia"/>
                <w:color w:val="000000" w:themeColor="text1"/>
                <w:u w:val="none"/>
                <w14:textFill>
                  <w14:solidFill>
                    <w14:schemeClr w14:val="tx1"/>
                  </w14:solidFill>
                </w14:textFill>
              </w:rPr>
              <w:t>共设计安装</w:t>
            </w:r>
            <w:r>
              <w:rPr>
                <w:rFonts w:hint="eastAsia"/>
                <w:color w:val="000000" w:themeColor="text1"/>
                <w:u w:val="none"/>
                <w:lang w:val="en-US" w:eastAsia="zh-CN"/>
                <w14:textFill>
                  <w14:solidFill>
                    <w14:schemeClr w14:val="tx1"/>
                  </w14:solidFill>
                </w14:textFill>
              </w:rPr>
              <w:t>15</w:t>
            </w:r>
            <w:r>
              <w:rPr>
                <w:rFonts w:hint="eastAsia"/>
                <w:color w:val="000000" w:themeColor="text1"/>
                <w:u w:val="none"/>
                <w14:textFill>
                  <w14:solidFill>
                    <w14:schemeClr w14:val="tx1"/>
                  </w14:solidFill>
                </w14:textFill>
              </w:rPr>
              <w:t>台</w:t>
            </w:r>
            <w:r>
              <w:rPr>
                <w:rFonts w:hint="eastAsia"/>
                <w:color w:val="000000" w:themeColor="text1"/>
                <w:u w:val="none"/>
                <w:lang w:val="en-US" w:eastAsia="zh-CN"/>
                <w14:textFill>
                  <w14:solidFill>
                    <w14:schemeClr w14:val="tx1"/>
                  </w14:solidFill>
                </w14:textFill>
              </w:rPr>
              <w:t>风机</w:t>
            </w:r>
            <w:r>
              <w:rPr>
                <w:rFonts w:hint="eastAsia"/>
                <w:color w:val="000000" w:themeColor="text1"/>
                <w:u w:val="none"/>
                <w:lang w:eastAsia="zh-CN"/>
                <w14:textFill>
                  <w14:solidFill>
                    <w14:schemeClr w14:val="tx1"/>
                  </w14:solidFill>
                </w14:textFill>
              </w:rPr>
              <w:t>。</w:t>
            </w:r>
          </w:p>
          <w:p w14:paraId="6DC1B244">
            <w:pPr>
              <w:pStyle w:val="89"/>
              <w:ind w:firstLine="2530" w:firstLineChars="1200"/>
              <w:jc w:val="both"/>
              <w:rPr>
                <w:rStyle w:val="32"/>
                <w:b w:val="0"/>
                <w:color w:val="000000" w:themeColor="text1"/>
                <w:szCs w:val="24"/>
                <w:u w:val="none"/>
                <w14:textFill>
                  <w14:solidFill>
                    <w14:schemeClr w14:val="tx1"/>
                  </w14:solidFill>
                </w14:textFill>
              </w:rPr>
            </w:pPr>
            <w:r>
              <w:rPr>
                <w:color w:val="000000" w:themeColor="text1"/>
                <w:u w:val="none"/>
                <w14:textFill>
                  <w14:solidFill>
                    <w14:schemeClr w14:val="tx1"/>
                  </w14:solidFill>
                </w14:textFill>
              </w:rPr>
              <w:t>表</w:t>
            </w:r>
            <w:r>
              <w:rPr>
                <w:rFonts w:hint="eastAsia"/>
                <w:color w:val="000000" w:themeColor="text1"/>
                <w:u w:val="none"/>
                <w14:textFill>
                  <w14:solidFill>
                    <w14:schemeClr w14:val="tx1"/>
                  </w14:solidFill>
                </w14:textFill>
              </w:rPr>
              <w:t>3.5-</w:t>
            </w:r>
            <w:r>
              <w:rPr>
                <w:rFonts w:hint="eastAsia"/>
                <w:color w:val="000000" w:themeColor="text1"/>
                <w:u w:val="none"/>
                <w:lang w:val="en-US" w:eastAsia="zh-CN"/>
                <w14:textFill>
                  <w14:solidFill>
                    <w14:schemeClr w14:val="tx1"/>
                  </w14:solidFill>
                </w14:textFill>
              </w:rPr>
              <w:t>2</w:t>
            </w:r>
            <w:r>
              <w:rPr>
                <w:color w:val="000000" w:themeColor="text1"/>
                <w:u w:val="none"/>
                <w14:textFill>
                  <w14:solidFill>
                    <w14:schemeClr w14:val="tx1"/>
                  </w14:solidFill>
                </w14:textFill>
              </w:rPr>
              <w:t xml:space="preserve">  风电机组区生态环境现状</w:t>
            </w:r>
          </w:p>
          <w:tbl>
            <w:tblPr>
              <w:tblStyle w:val="27"/>
              <w:tblW w:w="7572"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761"/>
              <w:gridCol w:w="1026"/>
              <w:gridCol w:w="917"/>
              <w:gridCol w:w="1262"/>
              <w:gridCol w:w="613"/>
              <w:gridCol w:w="686"/>
              <w:gridCol w:w="741"/>
              <w:gridCol w:w="800"/>
              <w:gridCol w:w="766"/>
            </w:tblGrid>
            <w:tr w14:paraId="5CCA45E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 w:hRule="atLeast"/>
                <w:jc w:val="center"/>
              </w:trPr>
              <w:tc>
                <w:tcPr>
                  <w:tcW w:w="512" w:type="dxa"/>
                  <w:vAlign w:val="center"/>
                </w:tcPr>
                <w:p w14:paraId="2A911B66">
                  <w:pPr>
                    <w:pStyle w:val="104"/>
                    <w:jc w:val="center"/>
                    <w:rPr>
                      <w:rFonts w:ascii="宋体" w:hAnsi="宋体" w:cs="宋体"/>
                      <w:b/>
                      <w:color w:val="000000" w:themeColor="text1"/>
                      <w:kern w:val="0"/>
                      <w:sz w:val="20"/>
                      <w:u w:val="none"/>
                      <w14:textFill>
                        <w14:solidFill>
                          <w14:schemeClr w14:val="tx1"/>
                        </w14:solidFill>
                      </w14:textFill>
                    </w:rPr>
                  </w:pPr>
                  <w:r>
                    <w:rPr>
                      <w:rFonts w:hint="eastAsia" w:ascii="宋体" w:hAnsi="宋体" w:cs="宋体"/>
                      <w:b/>
                      <w:color w:val="000000" w:themeColor="text1"/>
                      <w:kern w:val="0"/>
                      <w:sz w:val="20"/>
                      <w:u w:val="none"/>
                      <w14:textFill>
                        <w14:solidFill>
                          <w14:schemeClr w14:val="tx1"/>
                        </w14:solidFill>
                      </w14:textFill>
                    </w:rPr>
                    <w:t>编号</w:t>
                  </w:r>
                </w:p>
              </w:tc>
              <w:tc>
                <w:tcPr>
                  <w:tcW w:w="1386" w:type="dxa"/>
                  <w:vAlign w:val="center"/>
                </w:tcPr>
                <w:p w14:paraId="1E194A4D">
                  <w:pPr>
                    <w:pStyle w:val="104"/>
                    <w:jc w:val="center"/>
                    <w:rPr>
                      <w:rFonts w:ascii="宋体" w:hAnsi="宋体" w:cs="宋体"/>
                      <w:b/>
                      <w:color w:val="000000" w:themeColor="text1"/>
                      <w:kern w:val="0"/>
                      <w:sz w:val="20"/>
                      <w:u w:val="none"/>
                      <w14:textFill>
                        <w14:solidFill>
                          <w14:schemeClr w14:val="tx1"/>
                        </w14:solidFill>
                      </w14:textFill>
                    </w:rPr>
                  </w:pPr>
                  <w:r>
                    <w:rPr>
                      <w:rFonts w:hint="eastAsia" w:ascii="宋体" w:hAnsi="宋体" w:cs="宋体"/>
                      <w:b/>
                      <w:color w:val="000000" w:themeColor="text1"/>
                      <w:kern w:val="0"/>
                      <w:sz w:val="20"/>
                      <w:u w:val="none"/>
                      <w14:textFill>
                        <w14:solidFill>
                          <w14:schemeClr w14:val="tx1"/>
                        </w14:solidFill>
                      </w14:textFill>
                    </w:rPr>
                    <w:t>植被现状</w:t>
                  </w:r>
                </w:p>
              </w:tc>
              <w:tc>
                <w:tcPr>
                  <w:tcW w:w="1181" w:type="dxa"/>
                  <w:vAlign w:val="center"/>
                </w:tcPr>
                <w:p w14:paraId="57570DF3">
                  <w:pPr>
                    <w:pStyle w:val="104"/>
                    <w:jc w:val="center"/>
                    <w:rPr>
                      <w:rFonts w:ascii="宋体" w:hAnsi="宋体" w:cs="宋体"/>
                      <w:b/>
                      <w:color w:val="000000" w:themeColor="text1"/>
                      <w:kern w:val="0"/>
                      <w:sz w:val="20"/>
                      <w:u w:val="none"/>
                      <w14:textFill>
                        <w14:solidFill>
                          <w14:schemeClr w14:val="tx1"/>
                        </w14:solidFill>
                      </w14:textFill>
                    </w:rPr>
                  </w:pPr>
                  <w:r>
                    <w:rPr>
                      <w:rFonts w:hint="eastAsia" w:ascii="宋体" w:hAnsi="宋体" w:cs="宋体"/>
                      <w:b/>
                      <w:color w:val="000000" w:themeColor="text1"/>
                      <w:kern w:val="0"/>
                      <w:sz w:val="20"/>
                      <w:u w:val="none"/>
                      <w14:textFill>
                        <w14:solidFill>
                          <w14:schemeClr w14:val="tx1"/>
                        </w14:solidFill>
                      </w14:textFill>
                    </w:rPr>
                    <w:t>动物现状</w:t>
                  </w:r>
                </w:p>
              </w:tc>
              <w:tc>
                <w:tcPr>
                  <w:tcW w:w="642" w:type="dxa"/>
                  <w:vAlign w:val="center"/>
                </w:tcPr>
                <w:p w14:paraId="61D0FA17">
                  <w:pPr>
                    <w:pStyle w:val="104"/>
                    <w:jc w:val="center"/>
                    <w:rPr>
                      <w:rFonts w:hint="default" w:ascii="宋体" w:hAnsi="宋体" w:eastAsia="宋体" w:cs="宋体"/>
                      <w:b/>
                      <w:color w:val="000000" w:themeColor="text1"/>
                      <w:kern w:val="0"/>
                      <w:sz w:val="20"/>
                      <w:u w:val="none"/>
                      <w:lang w:val="en-US" w:eastAsia="zh-CN"/>
                      <w14:textFill>
                        <w14:solidFill>
                          <w14:schemeClr w14:val="tx1"/>
                        </w14:solidFill>
                      </w14:textFill>
                    </w:rPr>
                  </w:pPr>
                  <w:r>
                    <w:rPr>
                      <w:rFonts w:hint="eastAsia" w:ascii="宋体" w:hAnsi="宋体" w:cs="宋体"/>
                      <w:b/>
                      <w:color w:val="000000" w:themeColor="text1"/>
                      <w:kern w:val="0"/>
                      <w:sz w:val="20"/>
                      <w:u w:val="none"/>
                      <w:lang w:val="en-US" w:eastAsia="zh-CN"/>
                      <w14:textFill>
                        <w14:solidFill>
                          <w14:schemeClr w14:val="tx1"/>
                        </w14:solidFill>
                      </w14:textFill>
                    </w:rPr>
                    <w:t>单位面积林木蓄积量</w:t>
                  </w:r>
                </w:p>
              </w:tc>
              <w:tc>
                <w:tcPr>
                  <w:tcW w:w="785" w:type="dxa"/>
                  <w:vAlign w:val="center"/>
                </w:tcPr>
                <w:p w14:paraId="36E8ABFA">
                  <w:pPr>
                    <w:pStyle w:val="104"/>
                    <w:jc w:val="center"/>
                    <w:rPr>
                      <w:rFonts w:hint="eastAsia" w:ascii="宋体" w:hAnsi="宋体" w:cs="宋体"/>
                      <w:b/>
                      <w:color w:val="000000" w:themeColor="text1"/>
                      <w:kern w:val="0"/>
                      <w:sz w:val="20"/>
                      <w:u w:val="none"/>
                      <w14:textFill>
                        <w14:solidFill>
                          <w14:schemeClr w14:val="tx1"/>
                        </w14:solidFill>
                      </w14:textFill>
                    </w:rPr>
                  </w:pPr>
                  <w:r>
                    <w:rPr>
                      <w:rFonts w:hint="eastAsia" w:ascii="宋体" w:hAnsi="宋体" w:cs="宋体"/>
                      <w:b/>
                      <w:color w:val="000000" w:themeColor="text1"/>
                      <w:kern w:val="0"/>
                      <w:sz w:val="20"/>
                      <w:u w:val="none"/>
                      <w14:textFill>
                        <w14:solidFill>
                          <w14:schemeClr w14:val="tx1"/>
                        </w14:solidFill>
                      </w14:textFill>
                    </w:rPr>
                    <w:t>生态脆弱性</w:t>
                  </w:r>
                </w:p>
              </w:tc>
              <w:tc>
                <w:tcPr>
                  <w:tcW w:w="923" w:type="dxa"/>
                  <w:vAlign w:val="center"/>
                </w:tcPr>
                <w:p w14:paraId="755CE6B6">
                  <w:pPr>
                    <w:pStyle w:val="104"/>
                    <w:jc w:val="center"/>
                    <w:rPr>
                      <w:rFonts w:hint="default" w:ascii="宋体" w:hAnsi="宋体" w:eastAsia="宋体" w:cs="宋体"/>
                      <w:b/>
                      <w:color w:val="000000" w:themeColor="text1"/>
                      <w:kern w:val="0"/>
                      <w:sz w:val="20"/>
                      <w:u w:val="none"/>
                      <w:lang w:val="en-US" w:eastAsia="zh-CN"/>
                      <w14:textFill>
                        <w14:solidFill>
                          <w14:schemeClr w14:val="tx1"/>
                        </w14:solidFill>
                      </w14:textFill>
                    </w:rPr>
                  </w:pPr>
                  <w:r>
                    <w:rPr>
                      <w:rFonts w:hint="eastAsia" w:ascii="宋体" w:hAnsi="宋体" w:cs="宋体"/>
                      <w:b/>
                      <w:color w:val="000000" w:themeColor="text1"/>
                      <w:kern w:val="0"/>
                      <w:sz w:val="20"/>
                      <w:u w:val="none"/>
                      <w:lang w:val="en-US" w:eastAsia="zh-CN"/>
                      <w14:textFill>
                        <w14:solidFill>
                          <w14:schemeClr w14:val="tx1"/>
                        </w14:solidFill>
                      </w14:textFill>
                    </w:rPr>
                    <w:t>风化程度</w:t>
                  </w:r>
                </w:p>
              </w:tc>
              <w:tc>
                <w:tcPr>
                  <w:tcW w:w="851" w:type="dxa"/>
                  <w:vAlign w:val="center"/>
                </w:tcPr>
                <w:p w14:paraId="16BEE3D9">
                  <w:pPr>
                    <w:pStyle w:val="104"/>
                    <w:jc w:val="center"/>
                    <w:rPr>
                      <w:rFonts w:hint="default" w:ascii="宋体" w:hAnsi="宋体" w:eastAsia="宋体" w:cs="宋体"/>
                      <w:b/>
                      <w:color w:val="000000" w:themeColor="text1"/>
                      <w:kern w:val="0"/>
                      <w:sz w:val="20"/>
                      <w:u w:val="none"/>
                      <w:lang w:val="en-US" w:eastAsia="zh-CN"/>
                      <w14:textFill>
                        <w14:solidFill>
                          <w14:schemeClr w14:val="tx1"/>
                        </w14:solidFill>
                      </w14:textFill>
                    </w:rPr>
                  </w:pPr>
                  <w:r>
                    <w:rPr>
                      <w:rFonts w:hint="eastAsia" w:ascii="宋体" w:hAnsi="宋体" w:cs="宋体"/>
                      <w:b/>
                      <w:color w:val="000000" w:themeColor="text1"/>
                      <w:kern w:val="0"/>
                      <w:sz w:val="20"/>
                      <w:u w:val="none"/>
                      <w:lang w:val="en-US" w:eastAsia="zh-CN"/>
                      <w14:textFill>
                        <w14:solidFill>
                          <w14:schemeClr w14:val="tx1"/>
                        </w14:solidFill>
                      </w14:textFill>
                    </w:rPr>
                    <w:t>地质岩性</w:t>
                  </w:r>
                </w:p>
              </w:tc>
              <w:tc>
                <w:tcPr>
                  <w:tcW w:w="547" w:type="dxa"/>
                  <w:vAlign w:val="center"/>
                </w:tcPr>
                <w:p w14:paraId="535F4A99">
                  <w:pPr>
                    <w:pStyle w:val="104"/>
                    <w:jc w:val="center"/>
                    <w:rPr>
                      <w:rFonts w:hint="default" w:ascii="宋体" w:hAnsi="宋体" w:cs="宋体"/>
                      <w:b/>
                      <w:color w:val="000000" w:themeColor="text1"/>
                      <w:kern w:val="0"/>
                      <w:sz w:val="20"/>
                      <w:u w:val="none"/>
                      <w:lang w:val="en-US" w:eastAsia="zh-CN"/>
                      <w14:textFill>
                        <w14:solidFill>
                          <w14:schemeClr w14:val="tx1"/>
                        </w14:solidFill>
                      </w14:textFill>
                    </w:rPr>
                  </w:pPr>
                  <w:r>
                    <w:rPr>
                      <w:rFonts w:hint="eastAsia" w:ascii="宋体" w:hAnsi="宋体" w:cs="宋体"/>
                      <w:b/>
                      <w:color w:val="000000" w:themeColor="text1"/>
                      <w:kern w:val="0"/>
                      <w:sz w:val="20"/>
                      <w:u w:val="none"/>
                      <w:lang w:val="en-US" w:eastAsia="zh-CN"/>
                      <w14:textFill>
                        <w14:solidFill>
                          <w14:schemeClr w14:val="tx1"/>
                        </w14:solidFill>
                      </w14:textFill>
                    </w:rPr>
                    <w:t>海拔</w:t>
                  </w:r>
                  <w:r>
                    <w:rPr>
                      <w:rFonts w:hint="default" w:ascii="Times New Roman" w:hAnsi="Times New Roman" w:eastAsia="宋体" w:cs="Times New Roman"/>
                      <w:color w:val="000000" w:themeColor="text1"/>
                      <w:kern w:val="0"/>
                      <w:sz w:val="21"/>
                      <w:szCs w:val="21"/>
                      <w:highlight w:val="none"/>
                      <w:u w:val="none"/>
                      <w:lang w:val="en-US" w:eastAsia="zh-CN"/>
                      <w14:textFill>
                        <w14:solidFill>
                          <w14:schemeClr w14:val="tx1"/>
                        </w14:solidFill>
                      </w14:textFill>
                    </w:rPr>
                    <w:t>（m）</w:t>
                  </w:r>
                </w:p>
              </w:tc>
              <w:tc>
                <w:tcPr>
                  <w:tcW w:w="745" w:type="dxa"/>
                  <w:vAlign w:val="center"/>
                </w:tcPr>
                <w:p w14:paraId="42DD45C7">
                  <w:pPr>
                    <w:pStyle w:val="104"/>
                    <w:jc w:val="center"/>
                    <w:rPr>
                      <w:rFonts w:hint="default" w:ascii="宋体" w:hAnsi="宋体" w:cs="宋体"/>
                      <w:b/>
                      <w:color w:val="000000" w:themeColor="text1"/>
                      <w:kern w:val="0"/>
                      <w:sz w:val="20"/>
                      <w:u w:val="none"/>
                      <w:lang w:val="en-US" w:eastAsia="zh-CN"/>
                      <w14:textFill>
                        <w14:solidFill>
                          <w14:schemeClr w14:val="tx1"/>
                        </w14:solidFill>
                      </w14:textFill>
                    </w:rPr>
                  </w:pPr>
                  <w:r>
                    <w:rPr>
                      <w:rFonts w:hint="eastAsia" w:ascii="宋体" w:hAnsi="宋体" w:cs="宋体"/>
                      <w:b/>
                      <w:color w:val="000000" w:themeColor="text1"/>
                      <w:kern w:val="0"/>
                      <w:sz w:val="20"/>
                      <w:u w:val="none"/>
                      <w:lang w:val="en-US" w:eastAsia="zh-CN"/>
                      <w14:textFill>
                        <w14:solidFill>
                          <w14:schemeClr w14:val="tx1"/>
                        </w14:solidFill>
                      </w14:textFill>
                    </w:rPr>
                    <w:t>地形坡度</w:t>
                  </w:r>
                  <w:r>
                    <w:rPr>
                      <w:rFonts w:hint="default" w:ascii="Times New Roman" w:hAnsi="Times New Roman" w:eastAsia="宋体" w:cs="Times New Roman"/>
                      <w:color w:val="000000" w:themeColor="text1"/>
                      <w:kern w:val="0"/>
                      <w:sz w:val="21"/>
                      <w:szCs w:val="21"/>
                      <w:highlight w:val="none"/>
                      <w:u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u w:val="none"/>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u w:val="none"/>
                      <w:lang w:val="en-US" w:eastAsia="zh-CN"/>
                      <w14:textFill>
                        <w14:solidFill>
                          <w14:schemeClr w14:val="tx1"/>
                        </w14:solidFill>
                      </w14:textFill>
                    </w:rPr>
                    <w:t>）</w:t>
                  </w:r>
                </w:p>
              </w:tc>
            </w:tr>
            <w:tr w14:paraId="660F10B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503" w:hRule="atLeast"/>
                <w:jc w:val="center"/>
              </w:trPr>
              <w:tc>
                <w:tcPr>
                  <w:tcW w:w="512" w:type="dxa"/>
                  <w:vAlign w:val="center"/>
                </w:tcPr>
                <w:p w14:paraId="5DC2C1C7">
                  <w:pPr>
                    <w:pStyle w:val="23"/>
                    <w:keepNext w:val="0"/>
                    <w:keepLines w:val="0"/>
                    <w:widowControl/>
                    <w:suppressLineNumbers w:val="0"/>
                    <w:adjustRightInd w:val="0"/>
                    <w:snapToGrid w:val="0"/>
                    <w:spacing w:line="240" w:lineRule="auto"/>
                    <w:ind w:left="0" w:leftChars="0" w:firstLine="0" w:firstLineChars="0"/>
                    <w:jc w:val="center"/>
                    <w:rPr>
                      <w:rFonts w:hint="default" w:ascii="Times New Roman" w:hAnsi="Times New Roman" w:eastAsia="宋体" w:cs="Times New Roman"/>
                      <w:color w:val="000000" w:themeColor="text1"/>
                      <w:kern w:val="0"/>
                      <w:sz w:val="20"/>
                      <w:szCs w:val="21"/>
                      <w:u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20"/>
                      <w:szCs w:val="21"/>
                      <w:u w:val="none"/>
                      <w:lang w:val="en-US" w:eastAsia="zh-CN" w:bidi="ar-SA"/>
                      <w14:textFill>
                        <w14:solidFill>
                          <w14:schemeClr w14:val="tx1"/>
                        </w14:solidFill>
                      </w14:textFill>
                    </w:rPr>
                    <w:t>TPS</w:t>
                  </w:r>
                  <w:r>
                    <w:rPr>
                      <w:rFonts w:hint="default" w:ascii="Times New Roman" w:hAnsi="Times New Roman" w:eastAsia="宋体" w:cs="Times New Roman"/>
                      <w:color w:val="000000" w:themeColor="text1"/>
                      <w:kern w:val="0"/>
                      <w:sz w:val="20"/>
                      <w:szCs w:val="21"/>
                      <w:u w:val="none"/>
                      <w:lang w:val="en-US" w:eastAsia="zh-CN" w:bidi="ar-SA"/>
                      <w14:textFill>
                        <w14:solidFill>
                          <w14:schemeClr w14:val="tx1"/>
                        </w14:solidFill>
                      </w14:textFill>
                    </w:rPr>
                    <w:t>1</w:t>
                  </w:r>
                </w:p>
              </w:tc>
              <w:tc>
                <w:tcPr>
                  <w:tcW w:w="1386" w:type="dxa"/>
                  <w:vAlign w:val="center"/>
                </w:tcPr>
                <w:p w14:paraId="40D2F73C">
                  <w:pPr>
                    <w:spacing w:line="240" w:lineRule="auto"/>
                    <w:jc w:val="left"/>
                    <w:rPr>
                      <w:rFonts w:hint="default" w:ascii="Times New Roman" w:hAnsi="Times New Roman" w:cs="Times New Roman"/>
                      <w:color w:val="000000" w:themeColor="text1"/>
                      <w:kern w:val="0"/>
                      <w:sz w:val="20"/>
                      <w:u w:val="none"/>
                      <w14:textFill>
                        <w14:solidFill>
                          <w14:schemeClr w14:val="tx1"/>
                        </w14:solidFill>
                      </w14:textFill>
                    </w:rPr>
                  </w:pPr>
                  <w:r>
                    <w:rPr>
                      <w:rFonts w:hint="default" w:ascii="Times New Roman" w:hAnsi="Times New Roman" w:cs="Times New Roman"/>
                      <w:color w:val="000000" w:themeColor="text1"/>
                      <w:kern w:val="0"/>
                      <w:sz w:val="20"/>
                      <w:u w:val="none"/>
                      <w14:textFill>
                        <w14:solidFill>
                          <w14:schemeClr w14:val="tx1"/>
                        </w14:solidFill>
                      </w14:textFill>
                    </w:rPr>
                    <w:t>平台区域植被以杉木林、毛竹林、</w:t>
                  </w:r>
                  <w:r>
                    <w:rPr>
                      <w:rFonts w:hint="eastAsia" w:ascii="Times New Roman" w:hAnsi="Times New Roman" w:cs="Times New Roman"/>
                      <w:color w:val="000000" w:themeColor="text1"/>
                      <w:kern w:val="0"/>
                      <w:sz w:val="20"/>
                      <w:u w:val="none"/>
                      <w:lang w:val="en-US" w:eastAsia="zh-CN"/>
                      <w14:textFill>
                        <w14:solidFill>
                          <w14:schemeClr w14:val="tx1"/>
                        </w14:solidFill>
                      </w14:textFill>
                    </w:rPr>
                    <w:t>马尾松、盐肤木灌丛</w:t>
                  </w:r>
                  <w:r>
                    <w:rPr>
                      <w:rFonts w:hint="default" w:ascii="Times New Roman" w:hAnsi="Times New Roman" w:cs="Times New Roman"/>
                      <w:color w:val="000000" w:themeColor="text1"/>
                      <w:kern w:val="0"/>
                      <w:sz w:val="20"/>
                      <w:u w:val="none"/>
                      <w14:textFill>
                        <w14:solidFill>
                          <w14:schemeClr w14:val="tx1"/>
                        </w14:solidFill>
                      </w14:textFill>
                    </w:rPr>
                    <w:t>和</w:t>
                  </w:r>
                  <w:r>
                    <w:rPr>
                      <w:rFonts w:hint="eastAsia" w:ascii="Times New Roman" w:hAnsi="Times New Roman" w:cs="Times New Roman"/>
                      <w:color w:val="000000" w:themeColor="text1"/>
                      <w:kern w:val="0"/>
                      <w:sz w:val="20"/>
                      <w:u w:val="none"/>
                      <w:lang w:val="en-US" w:eastAsia="zh-CN"/>
                      <w14:textFill>
                        <w14:solidFill>
                          <w14:schemeClr w14:val="tx1"/>
                        </w14:solidFill>
                      </w14:textFill>
                    </w:rPr>
                    <w:t>狗尾巴草灌草丛</w:t>
                  </w:r>
                  <w:r>
                    <w:rPr>
                      <w:rFonts w:hint="eastAsia" w:cs="Times New Roman"/>
                      <w:color w:val="000000" w:themeColor="text1"/>
                      <w:kern w:val="0"/>
                      <w:sz w:val="20"/>
                      <w:u w:val="none"/>
                      <w:lang w:val="en-US" w:eastAsia="zh-CN"/>
                      <w14:textFill>
                        <w14:solidFill>
                          <w14:schemeClr w14:val="tx1"/>
                        </w14:solidFill>
                      </w14:textFill>
                    </w:rPr>
                    <w:t>为主</w:t>
                  </w:r>
                  <w:r>
                    <w:rPr>
                      <w:rFonts w:hint="default" w:ascii="Times New Roman" w:hAnsi="Times New Roman" w:cs="Times New Roman"/>
                      <w:color w:val="000000" w:themeColor="text1"/>
                      <w:kern w:val="0"/>
                      <w:sz w:val="20"/>
                      <w:u w:val="none"/>
                      <w14:textFill>
                        <w14:solidFill>
                          <w14:schemeClr w14:val="tx1"/>
                        </w14:solidFill>
                      </w14:textFill>
                    </w:rPr>
                    <w:t>，主要植物种类有杉木林、毛竹林、</w:t>
                  </w:r>
                  <w:r>
                    <w:rPr>
                      <w:rFonts w:hint="eastAsia" w:ascii="Times New Roman" w:hAnsi="Times New Roman" w:cs="Times New Roman"/>
                      <w:color w:val="000000" w:themeColor="text1"/>
                      <w:kern w:val="0"/>
                      <w:sz w:val="20"/>
                      <w:u w:val="none"/>
                      <w:lang w:val="en-US" w:eastAsia="zh-CN"/>
                      <w14:textFill>
                        <w14:solidFill>
                          <w14:schemeClr w14:val="tx1"/>
                        </w14:solidFill>
                      </w14:textFill>
                    </w:rPr>
                    <w:t>马尾松、盐肤木</w:t>
                  </w:r>
                  <w:r>
                    <w:rPr>
                      <w:rFonts w:hint="default" w:ascii="Times New Roman" w:hAnsi="Times New Roman" w:cs="Times New Roman"/>
                      <w:color w:val="000000" w:themeColor="text1"/>
                      <w:kern w:val="0"/>
                      <w:sz w:val="20"/>
                      <w:u w:val="none"/>
                      <w14:textFill>
                        <w14:solidFill>
                          <w14:schemeClr w14:val="tx1"/>
                        </w14:solidFill>
                      </w14:textFill>
                    </w:rPr>
                    <w:t>、狗尾草、狗牙根等。</w:t>
                  </w:r>
                </w:p>
              </w:tc>
              <w:tc>
                <w:tcPr>
                  <w:tcW w:w="1181" w:type="dxa"/>
                  <w:vAlign w:val="center"/>
                </w:tcPr>
                <w:p w14:paraId="48F02B32">
                  <w:pPr>
                    <w:pStyle w:val="104"/>
                    <w:jc w:val="left"/>
                    <w:rPr>
                      <w:rFonts w:hint="default" w:ascii="Times New Roman" w:hAnsi="Times New Roman" w:cs="Times New Roman"/>
                      <w:color w:val="000000" w:themeColor="text1"/>
                      <w:kern w:val="0"/>
                      <w:sz w:val="20"/>
                      <w:u w:val="none"/>
                      <w14:textFill>
                        <w14:solidFill>
                          <w14:schemeClr w14:val="tx1"/>
                        </w14:solidFill>
                      </w14:textFill>
                    </w:rPr>
                  </w:pPr>
                  <w:r>
                    <w:rPr>
                      <w:rFonts w:hint="default" w:ascii="Times New Roman" w:hAnsi="Times New Roman" w:cs="Times New Roman"/>
                      <w:color w:val="000000" w:themeColor="text1"/>
                      <w:kern w:val="0"/>
                      <w:sz w:val="20"/>
                      <w:u w:val="none"/>
                      <w14:textFill>
                        <w14:solidFill>
                          <w14:schemeClr w14:val="tx1"/>
                        </w14:solidFill>
                      </w14:textFill>
                    </w:rPr>
                    <w:t>分布于该区域的野生动物主要有华南兔、黄鼬、黄胸鼠等。</w:t>
                  </w:r>
                </w:p>
              </w:tc>
              <w:tc>
                <w:tcPr>
                  <w:tcW w:w="642" w:type="dxa"/>
                  <w:vAlign w:val="center"/>
                </w:tcPr>
                <w:p w14:paraId="42ACA9E3">
                  <w:pPr>
                    <w:pStyle w:val="104"/>
                    <w:jc w:val="left"/>
                    <w:rPr>
                      <w:rFonts w:hint="default" w:ascii="Times New Roman" w:hAnsi="Times New Roman" w:cs="Times New Roman"/>
                      <w:color w:val="000000" w:themeColor="text1"/>
                      <w:kern w:val="0"/>
                      <w:sz w:val="20"/>
                      <w:u w:val="none"/>
                      <w:lang w:val="en-US"/>
                      <w14:textFill>
                        <w14:solidFill>
                          <w14:schemeClr w14:val="tx1"/>
                        </w14:solidFill>
                      </w14:textFill>
                    </w:rPr>
                  </w:pPr>
                  <w:r>
                    <w:rPr>
                      <w:rFonts w:hint="eastAsia" w:ascii="Times New Roman" w:hAnsi="Times New Roman" w:cs="Times New Roman"/>
                      <w:color w:val="000000" w:themeColor="text1"/>
                      <w:kern w:val="0"/>
                      <w:sz w:val="20"/>
                      <w:u w:val="none"/>
                      <w:lang w:val="en-US" w:eastAsia="zh-CN"/>
                      <w14:textFill>
                        <w14:solidFill>
                          <w14:schemeClr w14:val="tx1"/>
                        </w14:solidFill>
                      </w14:textFill>
                    </w:rPr>
                    <w:t>16.4</w:t>
                  </w:r>
                  <w:r>
                    <w:rPr>
                      <w:rFonts w:hint="default" w:ascii="Times New Roman" w:hAnsi="Times New Roman" w:cs="Times New Roman"/>
                      <w:color w:val="000000" w:themeColor="text1"/>
                      <w:kern w:val="0"/>
                      <w:sz w:val="20"/>
                      <w:u w:val="none"/>
                      <w:lang w:val="en-US" w:eastAsia="zh-CN"/>
                      <w14:textFill>
                        <w14:solidFill>
                          <w14:schemeClr w14:val="tx1"/>
                        </w14:solidFill>
                      </w14:textFill>
                    </w:rPr>
                    <w:t>m</w:t>
                  </w:r>
                  <w:r>
                    <w:rPr>
                      <w:rFonts w:hint="default" w:ascii="Times New Roman" w:hAnsi="Times New Roman" w:cs="Times New Roman"/>
                      <w:color w:val="000000" w:themeColor="text1"/>
                      <w:kern w:val="0"/>
                      <w:sz w:val="20"/>
                      <w:u w:val="none"/>
                      <w:vertAlign w:val="superscript"/>
                      <w:lang w:val="en-US" w:eastAsia="zh-CN"/>
                      <w14:textFill>
                        <w14:solidFill>
                          <w14:schemeClr w14:val="tx1"/>
                        </w14:solidFill>
                      </w14:textFill>
                    </w:rPr>
                    <w:t>3</w:t>
                  </w:r>
                  <w:r>
                    <w:rPr>
                      <w:rFonts w:hint="default" w:ascii="Times New Roman" w:hAnsi="Times New Roman" w:cs="Times New Roman"/>
                      <w:color w:val="000000" w:themeColor="text1"/>
                      <w:kern w:val="0"/>
                      <w:sz w:val="20"/>
                      <w:u w:val="none"/>
                      <w:lang w:val="en-US" w:eastAsia="zh-CN"/>
                      <w14:textFill>
                        <w14:solidFill>
                          <w14:schemeClr w14:val="tx1"/>
                        </w14:solidFill>
                      </w14:textFill>
                    </w:rPr>
                    <w:t>/hm</w:t>
                  </w:r>
                  <w:r>
                    <w:rPr>
                      <w:rFonts w:hint="default" w:ascii="Times New Roman" w:hAnsi="Times New Roman" w:cs="Times New Roman"/>
                      <w:color w:val="000000" w:themeColor="text1"/>
                      <w:kern w:val="0"/>
                      <w:sz w:val="20"/>
                      <w:u w:val="none"/>
                      <w:vertAlign w:val="superscript"/>
                      <w:lang w:val="en-US" w:eastAsia="zh-CN"/>
                      <w14:textFill>
                        <w14:solidFill>
                          <w14:schemeClr w14:val="tx1"/>
                        </w14:solidFill>
                      </w14:textFill>
                    </w:rPr>
                    <w:t>2</w:t>
                  </w:r>
                </w:p>
                <w:p w14:paraId="0F5D3C39">
                  <w:pPr>
                    <w:pStyle w:val="104"/>
                    <w:jc w:val="left"/>
                    <w:rPr>
                      <w:rFonts w:hint="default" w:ascii="Times New Roman" w:hAnsi="Times New Roman" w:cs="Times New Roman"/>
                      <w:color w:val="000000" w:themeColor="text1"/>
                      <w:kern w:val="0"/>
                      <w:sz w:val="20"/>
                      <w:u w:val="none"/>
                      <w14:textFill>
                        <w14:solidFill>
                          <w14:schemeClr w14:val="tx1"/>
                        </w14:solidFill>
                      </w14:textFill>
                    </w:rPr>
                  </w:pPr>
                </w:p>
              </w:tc>
              <w:tc>
                <w:tcPr>
                  <w:tcW w:w="785" w:type="dxa"/>
                  <w:vAlign w:val="center"/>
                </w:tcPr>
                <w:p w14:paraId="59F91C38">
                  <w:pPr>
                    <w:pStyle w:val="104"/>
                    <w:spacing w:line="240" w:lineRule="auto"/>
                    <w:jc w:val="left"/>
                    <w:rPr>
                      <w:rFonts w:hint="eastAsia" w:ascii="宋体" w:hAnsi="宋体" w:cs="宋体"/>
                      <w:bCs/>
                      <w:color w:val="000000" w:themeColor="text1"/>
                      <w:kern w:val="0"/>
                      <w:sz w:val="20"/>
                      <w:u w:val="none"/>
                      <w14:textFill>
                        <w14:solidFill>
                          <w14:schemeClr w14:val="tx1"/>
                        </w14:solidFill>
                      </w14:textFill>
                    </w:rPr>
                  </w:pPr>
                  <w:r>
                    <w:rPr>
                      <w:rFonts w:hint="eastAsia" w:ascii="宋体" w:hAnsi="宋体" w:cs="宋体"/>
                      <w:bCs/>
                      <w:color w:val="000000" w:themeColor="text1"/>
                      <w:kern w:val="0"/>
                      <w:sz w:val="20"/>
                      <w:u w:val="none"/>
                      <w14:textFill>
                        <w14:solidFill>
                          <w14:schemeClr w14:val="tx1"/>
                        </w14:solidFill>
                      </w14:textFill>
                    </w:rPr>
                    <w:t>微度脆弱</w:t>
                  </w:r>
                </w:p>
              </w:tc>
              <w:tc>
                <w:tcPr>
                  <w:tcW w:w="923" w:type="dxa"/>
                  <w:vAlign w:val="center"/>
                </w:tcPr>
                <w:p w14:paraId="4A2FE315">
                  <w:pPr>
                    <w:pStyle w:val="104"/>
                    <w:jc w:val="left"/>
                    <w:rPr>
                      <w:rFonts w:hint="default" w:ascii="宋体" w:hAnsi="宋体" w:eastAsia="宋体" w:cs="宋体"/>
                      <w:bCs/>
                      <w:color w:val="000000" w:themeColor="text1"/>
                      <w:kern w:val="0"/>
                      <w:sz w:val="20"/>
                      <w:u w:val="none"/>
                      <w:lang w:val="en-US" w:eastAsia="zh-CN"/>
                      <w14:textFill>
                        <w14:solidFill>
                          <w14:schemeClr w14:val="tx1"/>
                        </w14:solidFill>
                      </w14:textFill>
                    </w:rPr>
                  </w:pPr>
                  <w:r>
                    <w:rPr>
                      <w:rFonts w:hint="eastAsia" w:ascii="宋体" w:hAnsi="宋体" w:cs="宋体"/>
                      <w:bCs/>
                      <w:color w:val="000000" w:themeColor="text1"/>
                      <w:kern w:val="0"/>
                      <w:sz w:val="20"/>
                      <w:u w:val="none"/>
                      <w:lang w:val="en-US" w:eastAsia="zh-CN"/>
                      <w14:textFill>
                        <w14:solidFill>
                          <w14:schemeClr w14:val="tx1"/>
                        </w14:solidFill>
                      </w14:textFill>
                    </w:rPr>
                    <w:t>中等风化</w:t>
                  </w:r>
                </w:p>
              </w:tc>
              <w:tc>
                <w:tcPr>
                  <w:tcW w:w="851" w:type="dxa"/>
                  <w:vAlign w:val="center"/>
                </w:tcPr>
                <w:p w14:paraId="572E687A">
                  <w:pPr>
                    <w:widowControl/>
                    <w:spacing w:line="240" w:lineRule="auto"/>
                    <w:jc w:val="center"/>
                    <w:rPr>
                      <w:rFonts w:hint="eastAsia" w:ascii="宋体" w:hAnsi="宋体" w:eastAsia="宋体" w:cs="宋体"/>
                      <w:color w:val="000000" w:themeColor="text1"/>
                      <w:kern w:val="0"/>
                      <w:sz w:val="20"/>
                      <w:szCs w:val="21"/>
                      <w:u w:val="none"/>
                      <w:lang w:val="en-US" w:eastAsia="zh-CN" w:bidi="ar-SA"/>
                      <w14:textFill>
                        <w14:solidFill>
                          <w14:schemeClr w14:val="tx1"/>
                        </w14:solidFill>
                      </w14:textFill>
                    </w:rPr>
                  </w:pPr>
                  <w:r>
                    <w:rPr>
                      <w:rFonts w:hint="default" w:ascii="宋体" w:hAnsi="宋体" w:eastAsia="宋体" w:cs="宋体"/>
                      <w:color w:val="000000" w:themeColor="text1"/>
                      <w:kern w:val="0"/>
                      <w:sz w:val="20"/>
                      <w:szCs w:val="21"/>
                      <w:u w:val="none"/>
                      <w:lang w:val="en-US" w:eastAsia="zh-CN" w:bidi="ar-SA"/>
                      <w14:textFill>
                        <w14:solidFill>
                          <w14:schemeClr w14:val="tx1"/>
                        </w14:solidFill>
                      </w14:textFill>
                    </w:rPr>
                    <w:t>出露地层主要为石炭系粉砂岩、</w:t>
                  </w:r>
                  <w:r>
                    <w:rPr>
                      <w:rFonts w:hint="eastAsia" w:ascii="宋体" w:hAnsi="宋体" w:cs="宋体"/>
                      <w:color w:val="000000" w:themeColor="text1"/>
                      <w:kern w:val="0"/>
                      <w:sz w:val="20"/>
                      <w:szCs w:val="21"/>
                      <w:u w:val="none"/>
                      <w:lang w:val="en-US" w:eastAsia="zh-CN" w:bidi="ar-SA"/>
                      <w14:textFill>
                        <w14:solidFill>
                          <w14:schemeClr w14:val="tx1"/>
                        </w14:solidFill>
                      </w14:textFill>
                    </w:rPr>
                    <w:t>板</w:t>
                  </w:r>
                  <w:r>
                    <w:rPr>
                      <w:rFonts w:hint="default" w:ascii="宋体" w:hAnsi="宋体" w:eastAsia="宋体" w:cs="宋体"/>
                      <w:color w:val="000000" w:themeColor="text1"/>
                      <w:kern w:val="0"/>
                      <w:sz w:val="20"/>
                      <w:szCs w:val="21"/>
                      <w:u w:val="none"/>
                      <w:lang w:val="en-US" w:eastAsia="zh-CN" w:bidi="ar-SA"/>
                      <w14:textFill>
                        <w14:solidFill>
                          <w14:schemeClr w14:val="tx1"/>
                        </w14:solidFill>
                      </w14:textFill>
                    </w:rPr>
                    <w:t>岩</w:t>
                  </w:r>
                </w:p>
              </w:tc>
              <w:tc>
                <w:tcPr>
                  <w:tcW w:w="547" w:type="dxa"/>
                  <w:vAlign w:val="center"/>
                </w:tcPr>
                <w:p w14:paraId="130BC63D">
                  <w:pPr>
                    <w:pStyle w:val="23"/>
                    <w:keepNext w:val="0"/>
                    <w:keepLines w:val="0"/>
                    <w:widowControl/>
                    <w:suppressLineNumbers w:val="0"/>
                    <w:adjustRightInd w:val="0"/>
                    <w:snapToGrid w:val="0"/>
                    <w:spacing w:line="240" w:lineRule="auto"/>
                    <w:ind w:left="0" w:leftChars="0" w:firstLine="0" w:firstLineChars="0"/>
                    <w:jc w:val="center"/>
                    <w:rPr>
                      <w:rFonts w:hint="default" w:ascii="宋体" w:hAnsi="宋体" w:eastAsia="宋体" w:cs="宋体"/>
                      <w:color w:val="000000" w:themeColor="text1"/>
                      <w:kern w:val="0"/>
                      <w:sz w:val="20"/>
                      <w:szCs w:val="21"/>
                      <w:u w:val="none"/>
                      <w:lang w:val="en-US" w:eastAsia="zh-CN" w:bidi="ar-SA"/>
                      <w14:textFill>
                        <w14:solidFill>
                          <w14:schemeClr w14:val="tx1"/>
                        </w14:solidFill>
                      </w14:textFill>
                    </w:rPr>
                  </w:pPr>
                  <w:r>
                    <w:rPr>
                      <w:rFonts w:hint="eastAsia" w:ascii="Times New Roman" w:hAnsi="Calibri" w:eastAsia="Times New Roman" w:cs="Times New Roman"/>
                      <w:b w:val="0"/>
                      <w:bCs/>
                      <w:color w:val="auto"/>
                      <w:spacing w:val="-4"/>
                      <w:kern w:val="0"/>
                      <w:sz w:val="21"/>
                      <w:szCs w:val="22"/>
                      <w:u w:val="none"/>
                      <w:lang w:val="en-US" w:eastAsia="zh-CN" w:bidi="ar-SA"/>
                    </w:rPr>
                    <w:t>767</w:t>
                  </w:r>
                </w:p>
              </w:tc>
              <w:tc>
                <w:tcPr>
                  <w:tcW w:w="745" w:type="dxa"/>
                  <w:vAlign w:val="center"/>
                </w:tcPr>
                <w:p w14:paraId="0C214007">
                  <w:pPr>
                    <w:widowControl/>
                    <w:spacing w:line="240" w:lineRule="auto"/>
                    <w:jc w:val="center"/>
                    <w:rPr>
                      <w:rFonts w:hint="default" w:ascii="Times New Roman" w:hAnsi="Times New Roman" w:eastAsia="宋体" w:cs="Times New Roman"/>
                      <w:color w:val="000000" w:themeColor="text1"/>
                      <w:kern w:val="0"/>
                      <w:sz w:val="20"/>
                      <w:szCs w:val="21"/>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0"/>
                      <w:szCs w:val="21"/>
                      <w:u w:val="none"/>
                      <w:lang w:val="en-US" w:eastAsia="zh-CN" w:bidi="ar-SA"/>
                      <w14:textFill>
                        <w14:solidFill>
                          <w14:schemeClr w14:val="tx1"/>
                        </w14:solidFill>
                      </w14:textFill>
                    </w:rPr>
                    <w:t>2</w:t>
                  </w:r>
                  <w:r>
                    <w:rPr>
                      <w:rFonts w:hint="eastAsia" w:cs="Times New Roman"/>
                      <w:color w:val="000000" w:themeColor="text1"/>
                      <w:kern w:val="0"/>
                      <w:sz w:val="20"/>
                      <w:szCs w:val="21"/>
                      <w:u w:val="none"/>
                      <w:lang w:val="en-US" w:eastAsia="zh-CN" w:bidi="ar-SA"/>
                      <w14:textFill>
                        <w14:solidFill>
                          <w14:schemeClr w14:val="tx1"/>
                        </w14:solidFill>
                      </w14:textFill>
                    </w:rPr>
                    <w:t>0</w:t>
                  </w:r>
                  <w:r>
                    <w:rPr>
                      <w:rFonts w:hint="default" w:ascii="Times New Roman" w:hAnsi="Times New Roman" w:eastAsia="宋体" w:cs="Times New Roman"/>
                      <w:color w:val="000000" w:themeColor="text1"/>
                      <w:kern w:val="0"/>
                      <w:sz w:val="20"/>
                      <w:szCs w:val="21"/>
                      <w:u w:val="none"/>
                      <w:lang w:val="en-US" w:eastAsia="zh-CN" w:bidi="ar-SA"/>
                      <w14:textFill>
                        <w14:solidFill>
                          <w14:schemeClr w14:val="tx1"/>
                        </w14:solidFill>
                      </w14:textFill>
                    </w:rPr>
                    <w:t>.6，山地</w:t>
                  </w:r>
                </w:p>
              </w:tc>
            </w:tr>
            <w:tr w14:paraId="4FCE5C4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 w:hRule="atLeast"/>
                <w:jc w:val="center"/>
              </w:trPr>
              <w:tc>
                <w:tcPr>
                  <w:tcW w:w="512" w:type="dxa"/>
                  <w:vAlign w:val="center"/>
                </w:tcPr>
                <w:p w14:paraId="341752EB">
                  <w:pPr>
                    <w:keepNext w:val="0"/>
                    <w:keepLines w:val="0"/>
                    <w:widowControl/>
                    <w:suppressLineNumbers w:val="0"/>
                    <w:adjustRightInd w:val="0"/>
                    <w:snapToGrid w:val="0"/>
                    <w:spacing w:line="240" w:lineRule="auto"/>
                    <w:ind w:left="0" w:leftChars="0" w:firstLine="0" w:firstLineChars="0"/>
                    <w:jc w:val="center"/>
                    <w:rPr>
                      <w:rFonts w:hint="default" w:ascii="Times New Roman" w:hAnsi="Times New Roman" w:eastAsia="宋体" w:cs="Times New Roman"/>
                      <w:color w:val="000000" w:themeColor="text1"/>
                      <w:kern w:val="0"/>
                      <w:sz w:val="20"/>
                      <w:szCs w:val="21"/>
                      <w:u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20"/>
                      <w:szCs w:val="21"/>
                      <w:u w:val="none"/>
                      <w:lang w:val="en-US" w:eastAsia="zh-CN" w:bidi="ar-SA"/>
                      <w14:textFill>
                        <w14:solidFill>
                          <w14:schemeClr w14:val="tx1"/>
                        </w14:solidFill>
                      </w14:textFill>
                    </w:rPr>
                    <w:t>TPS</w:t>
                  </w:r>
                  <w:r>
                    <w:rPr>
                      <w:rFonts w:hint="eastAsia" w:cs="Times New Roman"/>
                      <w:color w:val="000000" w:themeColor="text1"/>
                      <w:kern w:val="0"/>
                      <w:sz w:val="20"/>
                      <w:szCs w:val="21"/>
                      <w:u w:val="none"/>
                      <w:lang w:val="en-US" w:eastAsia="zh-CN" w:bidi="ar-SA"/>
                      <w14:textFill>
                        <w14:solidFill>
                          <w14:schemeClr w14:val="tx1"/>
                        </w14:solidFill>
                      </w14:textFill>
                    </w:rPr>
                    <w:t>2</w:t>
                  </w:r>
                </w:p>
              </w:tc>
              <w:tc>
                <w:tcPr>
                  <w:tcW w:w="1386" w:type="dxa"/>
                  <w:vAlign w:val="center"/>
                </w:tcPr>
                <w:p w14:paraId="03CEB5D2">
                  <w:pPr>
                    <w:spacing w:line="240" w:lineRule="auto"/>
                    <w:jc w:val="left"/>
                    <w:rPr>
                      <w:rFonts w:hint="default" w:ascii="Times New Roman" w:hAnsi="Times New Roman" w:cs="Times New Roman"/>
                      <w:color w:val="000000" w:themeColor="text1"/>
                      <w:kern w:val="0"/>
                      <w:sz w:val="20"/>
                      <w:u w:val="none"/>
                      <w14:textFill>
                        <w14:solidFill>
                          <w14:schemeClr w14:val="tx1"/>
                        </w14:solidFill>
                      </w14:textFill>
                    </w:rPr>
                  </w:pPr>
                  <w:r>
                    <w:rPr>
                      <w:rFonts w:hint="default" w:ascii="Times New Roman" w:hAnsi="Times New Roman" w:cs="Times New Roman"/>
                      <w:color w:val="000000" w:themeColor="text1"/>
                      <w:kern w:val="0"/>
                      <w:sz w:val="20"/>
                      <w:u w:val="none"/>
                      <w14:textFill>
                        <w14:solidFill>
                          <w14:schemeClr w14:val="tx1"/>
                        </w14:solidFill>
                      </w14:textFill>
                    </w:rPr>
                    <w:t>平台区域植被以毛竹林、</w:t>
                  </w:r>
                  <w:r>
                    <w:rPr>
                      <w:rFonts w:hint="eastAsia" w:ascii="Times New Roman" w:hAnsi="Times New Roman" w:cs="Times New Roman"/>
                      <w:color w:val="000000" w:themeColor="text1"/>
                      <w:kern w:val="0"/>
                      <w:sz w:val="20"/>
                      <w:u w:val="none"/>
                      <w:lang w:val="en-US" w:eastAsia="zh-CN"/>
                      <w14:textFill>
                        <w14:solidFill>
                          <w14:schemeClr w14:val="tx1"/>
                        </w14:solidFill>
                      </w14:textFill>
                    </w:rPr>
                    <w:t>马尾松、</w:t>
                  </w:r>
                  <w:r>
                    <w:rPr>
                      <w:rFonts w:hint="eastAsia" w:cs="Times New Roman"/>
                      <w:color w:val="000000" w:themeColor="text1"/>
                      <w:kern w:val="0"/>
                      <w:sz w:val="20"/>
                      <w:u w:val="none"/>
                      <w:lang w:val="en-US" w:eastAsia="zh-CN"/>
                      <w14:textFill>
                        <w14:solidFill>
                          <w14:schemeClr w14:val="tx1"/>
                        </w14:solidFill>
                      </w14:textFill>
                    </w:rPr>
                    <w:t>五节芒</w:t>
                  </w:r>
                  <w:r>
                    <w:rPr>
                      <w:rFonts w:hint="default" w:ascii="Times New Roman" w:hAnsi="Times New Roman" w:cs="Times New Roman"/>
                      <w:color w:val="000000" w:themeColor="text1"/>
                      <w:kern w:val="0"/>
                      <w:sz w:val="20"/>
                      <w:u w:val="none"/>
                      <w14:textFill>
                        <w14:solidFill>
                          <w14:schemeClr w14:val="tx1"/>
                        </w14:solidFill>
                      </w14:textFill>
                    </w:rPr>
                    <w:t>灌丛和</w:t>
                  </w:r>
                  <w:r>
                    <w:rPr>
                      <w:rFonts w:hint="eastAsia" w:cs="Times New Roman"/>
                      <w:color w:val="000000" w:themeColor="text1"/>
                      <w:kern w:val="0"/>
                      <w:sz w:val="20"/>
                      <w:u w:val="none"/>
                      <w:lang w:val="en-US" w:eastAsia="zh-CN"/>
                      <w14:textFill>
                        <w14:solidFill>
                          <w14:schemeClr w14:val="tx1"/>
                        </w14:solidFill>
                      </w14:textFill>
                    </w:rPr>
                    <w:t>白茅</w:t>
                  </w:r>
                  <w:r>
                    <w:rPr>
                      <w:rFonts w:hint="default" w:ascii="Times New Roman" w:hAnsi="Times New Roman" w:cs="Times New Roman"/>
                      <w:color w:val="000000" w:themeColor="text1"/>
                      <w:kern w:val="0"/>
                      <w:sz w:val="20"/>
                      <w:u w:val="none"/>
                      <w14:textFill>
                        <w14:solidFill>
                          <w14:schemeClr w14:val="tx1"/>
                        </w14:solidFill>
                      </w14:textFill>
                    </w:rPr>
                    <w:t>灌草丛，主要植物种类有毛竹林、</w:t>
                  </w:r>
                  <w:r>
                    <w:rPr>
                      <w:rFonts w:hint="eastAsia" w:ascii="Times New Roman" w:hAnsi="Times New Roman" w:cs="Times New Roman"/>
                      <w:color w:val="000000" w:themeColor="text1"/>
                      <w:kern w:val="0"/>
                      <w:sz w:val="20"/>
                      <w:u w:val="none"/>
                      <w:lang w:val="en-US" w:eastAsia="zh-CN"/>
                      <w14:textFill>
                        <w14:solidFill>
                          <w14:schemeClr w14:val="tx1"/>
                        </w14:solidFill>
                      </w14:textFill>
                    </w:rPr>
                    <w:t>马尾松、</w:t>
                  </w:r>
                  <w:r>
                    <w:rPr>
                      <w:rFonts w:hint="eastAsia" w:cs="Times New Roman"/>
                      <w:color w:val="000000" w:themeColor="text1"/>
                      <w:kern w:val="0"/>
                      <w:sz w:val="20"/>
                      <w:u w:val="none"/>
                      <w:lang w:val="en-US" w:eastAsia="zh-CN"/>
                      <w14:textFill>
                        <w14:solidFill>
                          <w14:schemeClr w14:val="tx1"/>
                        </w14:solidFill>
                      </w14:textFill>
                    </w:rPr>
                    <w:t>白茅</w:t>
                  </w:r>
                  <w:r>
                    <w:rPr>
                      <w:rFonts w:hint="default" w:ascii="Times New Roman" w:hAnsi="Times New Roman" w:cs="Times New Roman"/>
                      <w:color w:val="000000" w:themeColor="text1"/>
                      <w:kern w:val="0"/>
                      <w:sz w:val="20"/>
                      <w:u w:val="none"/>
                      <w14:textFill>
                        <w14:solidFill>
                          <w14:schemeClr w14:val="tx1"/>
                        </w14:solidFill>
                      </w14:textFill>
                    </w:rPr>
                    <w:t>、狗尾草、</w:t>
                  </w:r>
                  <w:r>
                    <w:rPr>
                      <w:rFonts w:hint="eastAsia" w:cs="Times New Roman"/>
                      <w:color w:val="000000" w:themeColor="text1"/>
                      <w:kern w:val="0"/>
                      <w:sz w:val="20"/>
                      <w:u w:val="none"/>
                      <w:lang w:val="en-US" w:eastAsia="zh-CN"/>
                      <w14:textFill>
                        <w14:solidFill>
                          <w14:schemeClr w14:val="tx1"/>
                        </w14:solidFill>
                      </w14:textFill>
                    </w:rPr>
                    <w:t>五节芒</w:t>
                  </w:r>
                  <w:r>
                    <w:rPr>
                      <w:rFonts w:hint="default" w:ascii="Times New Roman" w:hAnsi="Times New Roman" w:cs="Times New Roman"/>
                      <w:color w:val="000000" w:themeColor="text1"/>
                      <w:kern w:val="0"/>
                      <w:sz w:val="20"/>
                      <w:u w:val="none"/>
                      <w14:textFill>
                        <w14:solidFill>
                          <w14:schemeClr w14:val="tx1"/>
                        </w14:solidFill>
                      </w14:textFill>
                    </w:rPr>
                    <w:t>等。</w:t>
                  </w:r>
                </w:p>
              </w:tc>
              <w:tc>
                <w:tcPr>
                  <w:tcW w:w="1181" w:type="dxa"/>
                  <w:vAlign w:val="center"/>
                </w:tcPr>
                <w:p w14:paraId="12C02814">
                  <w:pPr>
                    <w:pStyle w:val="104"/>
                    <w:jc w:val="left"/>
                    <w:rPr>
                      <w:rFonts w:hint="default" w:ascii="Times New Roman" w:hAnsi="Times New Roman" w:cs="Times New Roman"/>
                      <w:color w:val="000000" w:themeColor="text1"/>
                      <w:kern w:val="0"/>
                      <w:sz w:val="20"/>
                      <w:u w:val="none"/>
                      <w14:textFill>
                        <w14:solidFill>
                          <w14:schemeClr w14:val="tx1"/>
                        </w14:solidFill>
                      </w14:textFill>
                    </w:rPr>
                  </w:pPr>
                  <w:r>
                    <w:rPr>
                      <w:rFonts w:hint="default" w:ascii="Times New Roman" w:hAnsi="Times New Roman" w:cs="Times New Roman"/>
                      <w:color w:val="000000" w:themeColor="text1"/>
                      <w:kern w:val="0"/>
                      <w:sz w:val="20"/>
                      <w:u w:val="none"/>
                      <w14:textFill>
                        <w14:solidFill>
                          <w14:schemeClr w14:val="tx1"/>
                        </w14:solidFill>
                      </w14:textFill>
                    </w:rPr>
                    <w:t>分布于该区域的野生动物主要有大山雀、松鸦等，还有少量的赤腹松鼠等。</w:t>
                  </w:r>
                </w:p>
              </w:tc>
              <w:tc>
                <w:tcPr>
                  <w:tcW w:w="642" w:type="dxa"/>
                  <w:vAlign w:val="center"/>
                </w:tcPr>
                <w:p w14:paraId="21B93F43">
                  <w:pPr>
                    <w:pStyle w:val="104"/>
                    <w:jc w:val="left"/>
                    <w:rPr>
                      <w:rFonts w:hint="default" w:ascii="Times New Roman" w:hAnsi="Times New Roman" w:cs="Times New Roman"/>
                      <w:color w:val="000000" w:themeColor="text1"/>
                      <w:kern w:val="0"/>
                      <w:sz w:val="20"/>
                      <w:u w:val="none"/>
                      <w14:textFill>
                        <w14:solidFill>
                          <w14:schemeClr w14:val="tx1"/>
                        </w14:solidFill>
                      </w14:textFill>
                    </w:rPr>
                  </w:pPr>
                  <w:r>
                    <w:rPr>
                      <w:rFonts w:hint="eastAsia" w:cs="Times New Roman"/>
                      <w:color w:val="000000" w:themeColor="text1"/>
                      <w:kern w:val="0"/>
                      <w:sz w:val="20"/>
                      <w:u w:val="none"/>
                      <w:lang w:val="en-US" w:eastAsia="zh-CN"/>
                      <w14:textFill>
                        <w14:solidFill>
                          <w14:schemeClr w14:val="tx1"/>
                        </w14:solidFill>
                      </w14:textFill>
                    </w:rPr>
                    <w:t>17.9</w:t>
                  </w:r>
                  <w:r>
                    <w:rPr>
                      <w:rFonts w:hint="default" w:ascii="Times New Roman" w:hAnsi="Times New Roman" w:cs="Times New Roman"/>
                      <w:color w:val="000000" w:themeColor="text1"/>
                      <w:kern w:val="0"/>
                      <w:sz w:val="20"/>
                      <w:u w:val="none"/>
                      <w:lang w:val="en-US" w:eastAsia="zh-CN"/>
                      <w14:textFill>
                        <w14:solidFill>
                          <w14:schemeClr w14:val="tx1"/>
                        </w14:solidFill>
                      </w14:textFill>
                    </w:rPr>
                    <w:t>m</w:t>
                  </w:r>
                  <w:r>
                    <w:rPr>
                      <w:rFonts w:hint="default" w:ascii="Times New Roman" w:hAnsi="Times New Roman" w:cs="Times New Roman"/>
                      <w:color w:val="000000" w:themeColor="text1"/>
                      <w:kern w:val="0"/>
                      <w:sz w:val="20"/>
                      <w:u w:val="none"/>
                      <w:vertAlign w:val="superscript"/>
                      <w:lang w:val="en-US" w:eastAsia="zh-CN"/>
                      <w14:textFill>
                        <w14:solidFill>
                          <w14:schemeClr w14:val="tx1"/>
                        </w14:solidFill>
                      </w14:textFill>
                    </w:rPr>
                    <w:t>3</w:t>
                  </w:r>
                  <w:r>
                    <w:rPr>
                      <w:rFonts w:hint="default" w:ascii="Times New Roman" w:hAnsi="Times New Roman" w:cs="Times New Roman"/>
                      <w:color w:val="000000" w:themeColor="text1"/>
                      <w:kern w:val="0"/>
                      <w:sz w:val="20"/>
                      <w:u w:val="none"/>
                      <w:lang w:val="en-US" w:eastAsia="zh-CN"/>
                      <w14:textFill>
                        <w14:solidFill>
                          <w14:schemeClr w14:val="tx1"/>
                        </w14:solidFill>
                      </w14:textFill>
                    </w:rPr>
                    <w:t>/hm</w:t>
                  </w:r>
                  <w:r>
                    <w:rPr>
                      <w:rFonts w:hint="default" w:ascii="Times New Roman" w:hAnsi="Times New Roman" w:cs="Times New Roman"/>
                      <w:color w:val="000000" w:themeColor="text1"/>
                      <w:kern w:val="0"/>
                      <w:sz w:val="20"/>
                      <w:u w:val="none"/>
                      <w:vertAlign w:val="superscript"/>
                      <w:lang w:val="en-US" w:eastAsia="zh-CN"/>
                      <w14:textFill>
                        <w14:solidFill>
                          <w14:schemeClr w14:val="tx1"/>
                        </w14:solidFill>
                      </w14:textFill>
                    </w:rPr>
                    <w:t>2</w:t>
                  </w:r>
                </w:p>
              </w:tc>
              <w:tc>
                <w:tcPr>
                  <w:tcW w:w="785" w:type="dxa"/>
                  <w:vAlign w:val="center"/>
                </w:tcPr>
                <w:p w14:paraId="1EFFCCAA">
                  <w:pPr>
                    <w:spacing w:line="240" w:lineRule="auto"/>
                    <w:jc w:val="left"/>
                    <w:rPr>
                      <w:rFonts w:hint="eastAsia" w:ascii="宋体" w:hAnsi="宋体" w:cs="宋体"/>
                      <w:bCs/>
                      <w:color w:val="000000" w:themeColor="text1"/>
                      <w:kern w:val="0"/>
                      <w:sz w:val="20"/>
                      <w:u w:val="none"/>
                      <w14:textFill>
                        <w14:solidFill>
                          <w14:schemeClr w14:val="tx1"/>
                        </w14:solidFill>
                      </w14:textFill>
                    </w:rPr>
                  </w:pPr>
                  <w:r>
                    <w:rPr>
                      <w:rFonts w:hint="eastAsia" w:ascii="宋体" w:hAnsi="宋体" w:cs="宋体"/>
                      <w:bCs/>
                      <w:color w:val="000000" w:themeColor="text1"/>
                      <w:kern w:val="0"/>
                      <w:sz w:val="20"/>
                      <w:u w:val="none"/>
                      <w14:textFill>
                        <w14:solidFill>
                          <w14:schemeClr w14:val="tx1"/>
                        </w14:solidFill>
                      </w14:textFill>
                    </w:rPr>
                    <w:t>微度脆弱</w:t>
                  </w:r>
                </w:p>
              </w:tc>
              <w:tc>
                <w:tcPr>
                  <w:tcW w:w="923" w:type="dxa"/>
                  <w:vAlign w:val="center"/>
                </w:tcPr>
                <w:p w14:paraId="3704BB25">
                  <w:pPr>
                    <w:spacing w:line="240" w:lineRule="auto"/>
                    <w:jc w:val="center"/>
                    <w:rPr>
                      <w:rFonts w:hint="eastAsia" w:ascii="宋体" w:hAnsi="宋体" w:cs="宋体"/>
                      <w:bCs/>
                      <w:color w:val="000000" w:themeColor="text1"/>
                      <w:kern w:val="0"/>
                      <w:sz w:val="20"/>
                      <w:u w:val="none"/>
                      <w14:textFill>
                        <w14:solidFill>
                          <w14:schemeClr w14:val="tx1"/>
                        </w14:solidFill>
                      </w14:textFill>
                    </w:rPr>
                  </w:pPr>
                  <w:r>
                    <w:rPr>
                      <w:rFonts w:hint="eastAsia" w:ascii="宋体" w:hAnsi="宋体" w:cs="宋体"/>
                      <w:bCs/>
                      <w:color w:val="000000" w:themeColor="text1"/>
                      <w:kern w:val="0"/>
                      <w:sz w:val="20"/>
                      <w:u w:val="none"/>
                      <w:lang w:val="en-US" w:eastAsia="zh-CN"/>
                      <w14:textFill>
                        <w14:solidFill>
                          <w14:schemeClr w14:val="tx1"/>
                        </w14:solidFill>
                      </w14:textFill>
                    </w:rPr>
                    <w:t>中等风化</w:t>
                  </w:r>
                </w:p>
              </w:tc>
              <w:tc>
                <w:tcPr>
                  <w:tcW w:w="851" w:type="dxa"/>
                  <w:vAlign w:val="center"/>
                </w:tcPr>
                <w:p w14:paraId="74C9EB1E">
                  <w:pPr>
                    <w:widowControl/>
                    <w:spacing w:line="240" w:lineRule="auto"/>
                    <w:jc w:val="center"/>
                    <w:rPr>
                      <w:rFonts w:hint="eastAsia" w:ascii="宋体" w:hAnsi="宋体" w:eastAsia="宋体" w:cs="宋体"/>
                      <w:color w:val="FF0000"/>
                      <w:kern w:val="0"/>
                      <w:szCs w:val="21"/>
                      <w:u w:val="none"/>
                      <w:lang w:eastAsia="zh-CN"/>
                    </w:rPr>
                  </w:pPr>
                  <w:r>
                    <w:rPr>
                      <w:rFonts w:hint="default" w:ascii="宋体" w:hAnsi="宋体" w:eastAsia="宋体" w:cs="宋体"/>
                      <w:color w:val="000000" w:themeColor="text1"/>
                      <w:kern w:val="0"/>
                      <w:sz w:val="20"/>
                      <w:szCs w:val="21"/>
                      <w:u w:val="none"/>
                      <w:lang w:val="en-US" w:eastAsia="zh-CN" w:bidi="ar-SA"/>
                      <w14:textFill>
                        <w14:solidFill>
                          <w14:schemeClr w14:val="tx1"/>
                        </w14:solidFill>
                      </w14:textFill>
                    </w:rPr>
                    <w:t>出露地层主要为石炭系粉砂岩、</w:t>
                  </w:r>
                  <w:r>
                    <w:rPr>
                      <w:rFonts w:hint="eastAsia" w:ascii="宋体" w:hAnsi="宋体" w:cs="宋体"/>
                      <w:color w:val="000000" w:themeColor="text1"/>
                      <w:kern w:val="0"/>
                      <w:sz w:val="20"/>
                      <w:szCs w:val="21"/>
                      <w:u w:val="none"/>
                      <w:lang w:val="en-US" w:eastAsia="zh-CN" w:bidi="ar-SA"/>
                      <w14:textFill>
                        <w14:solidFill>
                          <w14:schemeClr w14:val="tx1"/>
                        </w14:solidFill>
                      </w14:textFill>
                    </w:rPr>
                    <w:t>板</w:t>
                  </w:r>
                  <w:r>
                    <w:rPr>
                      <w:rFonts w:hint="default" w:ascii="宋体" w:hAnsi="宋体" w:eastAsia="宋体" w:cs="宋体"/>
                      <w:color w:val="000000" w:themeColor="text1"/>
                      <w:kern w:val="0"/>
                      <w:sz w:val="20"/>
                      <w:szCs w:val="21"/>
                      <w:u w:val="none"/>
                      <w:lang w:val="en-US" w:eastAsia="zh-CN" w:bidi="ar-SA"/>
                      <w14:textFill>
                        <w14:solidFill>
                          <w14:schemeClr w14:val="tx1"/>
                        </w14:solidFill>
                      </w14:textFill>
                    </w:rPr>
                    <w:t>岩</w:t>
                  </w:r>
                </w:p>
              </w:tc>
              <w:tc>
                <w:tcPr>
                  <w:tcW w:w="547" w:type="dxa"/>
                  <w:vAlign w:val="center"/>
                </w:tcPr>
                <w:p w14:paraId="413236D7">
                  <w:pPr>
                    <w:pStyle w:val="23"/>
                    <w:keepNext w:val="0"/>
                    <w:keepLines w:val="0"/>
                    <w:widowControl/>
                    <w:suppressLineNumbers w:val="0"/>
                    <w:adjustRightInd w:val="0"/>
                    <w:snapToGrid w:val="0"/>
                    <w:spacing w:line="240" w:lineRule="auto"/>
                    <w:ind w:left="0" w:leftChars="0" w:firstLine="0" w:firstLineChars="0"/>
                    <w:jc w:val="center"/>
                    <w:rPr>
                      <w:rFonts w:hint="default" w:ascii="宋体" w:hAnsi="宋体" w:eastAsia="宋体" w:cs="宋体"/>
                      <w:color w:val="FF0000"/>
                      <w:kern w:val="0"/>
                      <w:szCs w:val="21"/>
                      <w:u w:val="none"/>
                      <w:lang w:val="en-US" w:eastAsia="zh-CN"/>
                    </w:rPr>
                  </w:pPr>
                  <w:r>
                    <w:rPr>
                      <w:rFonts w:hint="eastAsia" w:ascii="Times New Roman" w:hAnsi="Calibri" w:eastAsia="Times New Roman" w:cs="Times New Roman"/>
                      <w:b w:val="0"/>
                      <w:bCs/>
                      <w:color w:val="auto"/>
                      <w:spacing w:val="-4"/>
                      <w:kern w:val="0"/>
                      <w:sz w:val="21"/>
                      <w:szCs w:val="22"/>
                      <w:u w:val="none"/>
                      <w:lang w:val="en-US" w:eastAsia="zh-CN" w:bidi="ar-SA"/>
                    </w:rPr>
                    <w:t>956.8</w:t>
                  </w:r>
                </w:p>
              </w:tc>
              <w:tc>
                <w:tcPr>
                  <w:tcW w:w="745" w:type="dxa"/>
                  <w:vAlign w:val="center"/>
                </w:tcPr>
                <w:p w14:paraId="21E14F44">
                  <w:pPr>
                    <w:widowControl/>
                    <w:spacing w:line="240" w:lineRule="auto"/>
                    <w:jc w:val="center"/>
                    <w:rPr>
                      <w:rFonts w:hint="default" w:ascii="Times New Roman" w:hAnsi="Times New Roman" w:eastAsia="宋体" w:cs="Times New Roman"/>
                      <w:color w:val="000000" w:themeColor="text1"/>
                      <w:kern w:val="0"/>
                      <w:sz w:val="20"/>
                      <w:szCs w:val="21"/>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0"/>
                      <w:szCs w:val="21"/>
                      <w:u w:val="none"/>
                      <w:lang w:val="en-US" w:eastAsia="zh-CN" w:bidi="ar-SA"/>
                      <w14:textFill>
                        <w14:solidFill>
                          <w14:schemeClr w14:val="tx1"/>
                        </w14:solidFill>
                      </w14:textFill>
                    </w:rPr>
                    <w:t>2</w:t>
                  </w:r>
                  <w:r>
                    <w:rPr>
                      <w:rFonts w:hint="eastAsia" w:cs="Times New Roman"/>
                      <w:color w:val="000000" w:themeColor="text1"/>
                      <w:kern w:val="0"/>
                      <w:sz w:val="20"/>
                      <w:szCs w:val="21"/>
                      <w:u w:val="none"/>
                      <w:lang w:val="en-US" w:eastAsia="zh-CN" w:bidi="ar-SA"/>
                      <w14:textFill>
                        <w14:solidFill>
                          <w14:schemeClr w14:val="tx1"/>
                        </w14:solidFill>
                      </w14:textFill>
                    </w:rPr>
                    <w:t>1</w:t>
                  </w:r>
                  <w:r>
                    <w:rPr>
                      <w:rFonts w:hint="default" w:ascii="Times New Roman" w:hAnsi="Times New Roman" w:eastAsia="宋体" w:cs="Times New Roman"/>
                      <w:color w:val="000000" w:themeColor="text1"/>
                      <w:kern w:val="0"/>
                      <w:sz w:val="20"/>
                      <w:szCs w:val="21"/>
                      <w:u w:val="none"/>
                      <w:lang w:val="en-US" w:eastAsia="zh-CN" w:bidi="ar-SA"/>
                      <w14:textFill>
                        <w14:solidFill>
                          <w14:schemeClr w14:val="tx1"/>
                        </w14:solidFill>
                      </w14:textFill>
                    </w:rPr>
                    <w:t>.4，山地</w:t>
                  </w:r>
                </w:p>
              </w:tc>
            </w:tr>
            <w:tr w14:paraId="09E9211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 w:hRule="atLeast"/>
                <w:jc w:val="center"/>
              </w:trPr>
              <w:tc>
                <w:tcPr>
                  <w:tcW w:w="512" w:type="dxa"/>
                  <w:vAlign w:val="center"/>
                </w:tcPr>
                <w:p w14:paraId="786220F2">
                  <w:pPr>
                    <w:keepNext w:val="0"/>
                    <w:keepLines w:val="0"/>
                    <w:widowControl/>
                    <w:suppressLineNumbers w:val="0"/>
                    <w:adjustRightInd w:val="0"/>
                    <w:snapToGrid w:val="0"/>
                    <w:spacing w:line="240" w:lineRule="auto"/>
                    <w:ind w:left="0" w:leftChars="0" w:firstLine="0" w:firstLineChars="0"/>
                    <w:jc w:val="center"/>
                    <w:rPr>
                      <w:rFonts w:hint="default" w:ascii="Times New Roman" w:hAnsi="Times New Roman" w:eastAsia="宋体" w:cs="Times New Roman"/>
                      <w:color w:val="000000" w:themeColor="text1"/>
                      <w:kern w:val="0"/>
                      <w:sz w:val="20"/>
                      <w:szCs w:val="21"/>
                      <w:u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20"/>
                      <w:szCs w:val="21"/>
                      <w:u w:val="none"/>
                      <w:lang w:val="en-US" w:eastAsia="zh-CN" w:bidi="ar-SA"/>
                      <w14:textFill>
                        <w14:solidFill>
                          <w14:schemeClr w14:val="tx1"/>
                        </w14:solidFill>
                      </w14:textFill>
                    </w:rPr>
                    <w:t>TPS</w:t>
                  </w:r>
                  <w:r>
                    <w:rPr>
                      <w:rFonts w:hint="eastAsia" w:cs="Times New Roman"/>
                      <w:color w:val="000000" w:themeColor="text1"/>
                      <w:kern w:val="0"/>
                      <w:sz w:val="20"/>
                      <w:szCs w:val="21"/>
                      <w:u w:val="none"/>
                      <w:lang w:val="en-US" w:eastAsia="zh-CN" w:bidi="ar-SA"/>
                      <w14:textFill>
                        <w14:solidFill>
                          <w14:schemeClr w14:val="tx1"/>
                        </w14:solidFill>
                      </w14:textFill>
                    </w:rPr>
                    <w:t>3</w:t>
                  </w:r>
                </w:p>
              </w:tc>
              <w:tc>
                <w:tcPr>
                  <w:tcW w:w="1386" w:type="dxa"/>
                  <w:vAlign w:val="center"/>
                </w:tcPr>
                <w:p w14:paraId="19590CB3">
                  <w:pPr>
                    <w:pStyle w:val="104"/>
                    <w:jc w:val="left"/>
                    <w:rPr>
                      <w:rFonts w:hint="default" w:ascii="Times New Roman" w:hAnsi="Times New Roman" w:cs="Times New Roman"/>
                      <w:color w:val="000000" w:themeColor="text1"/>
                      <w:kern w:val="0"/>
                      <w:sz w:val="20"/>
                      <w:u w:val="none"/>
                      <w14:textFill>
                        <w14:solidFill>
                          <w14:schemeClr w14:val="tx1"/>
                        </w14:solidFill>
                      </w14:textFill>
                    </w:rPr>
                  </w:pPr>
                  <w:r>
                    <w:rPr>
                      <w:rFonts w:hint="default" w:ascii="Times New Roman" w:hAnsi="Times New Roman" w:cs="Times New Roman"/>
                      <w:color w:val="000000" w:themeColor="text1"/>
                      <w:kern w:val="0"/>
                      <w:sz w:val="20"/>
                      <w:u w:val="none"/>
                      <w14:textFill>
                        <w14:solidFill>
                          <w14:schemeClr w14:val="tx1"/>
                        </w14:solidFill>
                      </w14:textFill>
                    </w:rPr>
                    <w:t>平台区域植被以杉木林</w:t>
                  </w:r>
                  <w:r>
                    <w:rPr>
                      <w:rFonts w:hint="eastAsia" w:cs="Times New Roman"/>
                      <w:color w:val="000000" w:themeColor="text1"/>
                      <w:kern w:val="0"/>
                      <w:sz w:val="20"/>
                      <w:u w:val="none"/>
                      <w:lang w:val="en-US" w:eastAsia="zh-CN"/>
                      <w14:textFill>
                        <w14:solidFill>
                          <w14:schemeClr w14:val="tx1"/>
                        </w14:solidFill>
                      </w14:textFill>
                    </w:rPr>
                    <w:t>卫茅</w:t>
                  </w:r>
                  <w:r>
                    <w:rPr>
                      <w:rFonts w:hint="default" w:ascii="Times New Roman" w:hAnsi="Times New Roman" w:cs="Times New Roman"/>
                      <w:color w:val="000000" w:themeColor="text1"/>
                      <w:kern w:val="0"/>
                      <w:sz w:val="20"/>
                      <w:u w:val="none"/>
                      <w14:textFill>
                        <w14:solidFill>
                          <w14:schemeClr w14:val="tx1"/>
                        </w14:solidFill>
                      </w14:textFill>
                    </w:rPr>
                    <w:t>灌丛和五节芒灌丛丛，主要植物种类有杉木林</w:t>
                  </w:r>
                  <w:r>
                    <w:rPr>
                      <w:rFonts w:hint="eastAsia" w:cs="Times New Roman"/>
                      <w:color w:val="000000" w:themeColor="text1"/>
                      <w:kern w:val="0"/>
                      <w:sz w:val="20"/>
                      <w:u w:val="none"/>
                      <w:lang w:eastAsia="zh-CN"/>
                      <w14:textFill>
                        <w14:solidFill>
                          <w14:schemeClr w14:val="tx1"/>
                        </w14:solidFill>
                      </w14:textFill>
                    </w:rPr>
                    <w:t>、卫矛</w:t>
                  </w:r>
                  <w:r>
                    <w:rPr>
                      <w:rFonts w:hint="default" w:ascii="Times New Roman" w:hAnsi="Times New Roman" w:cs="Times New Roman"/>
                      <w:color w:val="000000" w:themeColor="text1"/>
                      <w:kern w:val="0"/>
                      <w:sz w:val="20"/>
                      <w:u w:val="none"/>
                      <w14:textFill>
                        <w14:solidFill>
                          <w14:schemeClr w14:val="tx1"/>
                        </w14:solidFill>
                      </w14:textFill>
                    </w:rPr>
                    <w:t>等。</w:t>
                  </w:r>
                </w:p>
              </w:tc>
              <w:tc>
                <w:tcPr>
                  <w:tcW w:w="1181" w:type="dxa"/>
                  <w:vAlign w:val="center"/>
                </w:tcPr>
                <w:p w14:paraId="0D84FC1A">
                  <w:pPr>
                    <w:pStyle w:val="104"/>
                    <w:jc w:val="left"/>
                    <w:rPr>
                      <w:rFonts w:hint="default" w:ascii="Times New Roman" w:hAnsi="Times New Roman" w:cs="Times New Roman"/>
                      <w:color w:val="000000" w:themeColor="text1"/>
                      <w:kern w:val="0"/>
                      <w:sz w:val="20"/>
                      <w:u w:val="none"/>
                      <w14:textFill>
                        <w14:solidFill>
                          <w14:schemeClr w14:val="tx1"/>
                        </w14:solidFill>
                      </w14:textFill>
                    </w:rPr>
                  </w:pPr>
                  <w:r>
                    <w:rPr>
                      <w:rFonts w:hint="default" w:ascii="Times New Roman" w:hAnsi="Times New Roman" w:cs="Times New Roman"/>
                      <w:color w:val="000000" w:themeColor="text1"/>
                      <w:kern w:val="0"/>
                      <w:sz w:val="20"/>
                      <w:u w:val="none"/>
                      <w14:textFill>
                        <w14:solidFill>
                          <w14:schemeClr w14:val="tx1"/>
                        </w14:solidFill>
                      </w14:textFill>
                    </w:rPr>
                    <w:t>分布于该区域的野生动物主要有大山雀、山麻雀，还有少量的黄鼬、黄胸鼠等。</w:t>
                  </w:r>
                </w:p>
              </w:tc>
              <w:tc>
                <w:tcPr>
                  <w:tcW w:w="642" w:type="dxa"/>
                  <w:vAlign w:val="center"/>
                </w:tcPr>
                <w:p w14:paraId="272D81D9">
                  <w:pPr>
                    <w:pStyle w:val="104"/>
                    <w:jc w:val="left"/>
                    <w:rPr>
                      <w:rFonts w:hint="default" w:ascii="Times New Roman" w:hAnsi="Times New Roman" w:cs="Times New Roman"/>
                      <w:color w:val="000000" w:themeColor="text1"/>
                      <w:kern w:val="0"/>
                      <w:sz w:val="20"/>
                      <w:u w:val="none"/>
                      <w14:textFill>
                        <w14:solidFill>
                          <w14:schemeClr w14:val="tx1"/>
                        </w14:solidFill>
                      </w14:textFill>
                    </w:rPr>
                  </w:pPr>
                  <w:r>
                    <w:rPr>
                      <w:rFonts w:hint="eastAsia" w:cs="Times New Roman"/>
                      <w:color w:val="000000" w:themeColor="text1"/>
                      <w:kern w:val="0"/>
                      <w:sz w:val="20"/>
                      <w:u w:val="none"/>
                      <w:lang w:val="en-US" w:eastAsia="zh-CN"/>
                      <w14:textFill>
                        <w14:solidFill>
                          <w14:schemeClr w14:val="tx1"/>
                        </w14:solidFill>
                      </w14:textFill>
                    </w:rPr>
                    <w:t>28.6</w:t>
                  </w:r>
                  <w:r>
                    <w:rPr>
                      <w:rFonts w:hint="default" w:ascii="Times New Roman" w:hAnsi="Times New Roman" w:cs="Times New Roman"/>
                      <w:color w:val="000000" w:themeColor="text1"/>
                      <w:kern w:val="0"/>
                      <w:sz w:val="20"/>
                      <w:u w:val="none"/>
                      <w:lang w:val="en-US" w:eastAsia="zh-CN"/>
                      <w14:textFill>
                        <w14:solidFill>
                          <w14:schemeClr w14:val="tx1"/>
                        </w14:solidFill>
                      </w14:textFill>
                    </w:rPr>
                    <w:t>m</w:t>
                  </w:r>
                  <w:r>
                    <w:rPr>
                      <w:rFonts w:hint="default" w:ascii="Times New Roman" w:hAnsi="Times New Roman" w:cs="Times New Roman"/>
                      <w:color w:val="000000" w:themeColor="text1"/>
                      <w:kern w:val="0"/>
                      <w:sz w:val="20"/>
                      <w:u w:val="none"/>
                      <w:vertAlign w:val="superscript"/>
                      <w:lang w:val="en-US" w:eastAsia="zh-CN"/>
                      <w14:textFill>
                        <w14:solidFill>
                          <w14:schemeClr w14:val="tx1"/>
                        </w14:solidFill>
                      </w14:textFill>
                    </w:rPr>
                    <w:t>3</w:t>
                  </w:r>
                  <w:r>
                    <w:rPr>
                      <w:rFonts w:hint="default" w:ascii="Times New Roman" w:hAnsi="Times New Roman" w:cs="Times New Roman"/>
                      <w:color w:val="000000" w:themeColor="text1"/>
                      <w:kern w:val="0"/>
                      <w:sz w:val="20"/>
                      <w:u w:val="none"/>
                      <w:lang w:val="en-US" w:eastAsia="zh-CN"/>
                      <w14:textFill>
                        <w14:solidFill>
                          <w14:schemeClr w14:val="tx1"/>
                        </w14:solidFill>
                      </w14:textFill>
                    </w:rPr>
                    <w:t>/hm</w:t>
                  </w:r>
                  <w:r>
                    <w:rPr>
                      <w:rFonts w:hint="default" w:ascii="Times New Roman" w:hAnsi="Times New Roman" w:cs="Times New Roman"/>
                      <w:color w:val="000000" w:themeColor="text1"/>
                      <w:kern w:val="0"/>
                      <w:sz w:val="20"/>
                      <w:u w:val="none"/>
                      <w:vertAlign w:val="superscript"/>
                      <w:lang w:val="en-US" w:eastAsia="zh-CN"/>
                      <w14:textFill>
                        <w14:solidFill>
                          <w14:schemeClr w14:val="tx1"/>
                        </w14:solidFill>
                      </w14:textFill>
                    </w:rPr>
                    <w:t>2</w:t>
                  </w:r>
                </w:p>
              </w:tc>
              <w:tc>
                <w:tcPr>
                  <w:tcW w:w="785" w:type="dxa"/>
                  <w:vAlign w:val="center"/>
                </w:tcPr>
                <w:p w14:paraId="47AA93AD">
                  <w:pPr>
                    <w:spacing w:line="240" w:lineRule="auto"/>
                    <w:jc w:val="left"/>
                    <w:rPr>
                      <w:rFonts w:hint="eastAsia" w:ascii="宋体" w:hAnsi="宋体" w:cs="宋体"/>
                      <w:bCs/>
                      <w:color w:val="000000" w:themeColor="text1"/>
                      <w:kern w:val="0"/>
                      <w:sz w:val="20"/>
                      <w:u w:val="none"/>
                      <w14:textFill>
                        <w14:solidFill>
                          <w14:schemeClr w14:val="tx1"/>
                        </w14:solidFill>
                      </w14:textFill>
                    </w:rPr>
                  </w:pPr>
                  <w:r>
                    <w:rPr>
                      <w:rFonts w:hint="eastAsia" w:ascii="宋体" w:hAnsi="宋体" w:cs="宋体"/>
                      <w:bCs/>
                      <w:color w:val="000000" w:themeColor="text1"/>
                      <w:kern w:val="0"/>
                      <w:sz w:val="20"/>
                      <w:u w:val="none"/>
                      <w14:textFill>
                        <w14:solidFill>
                          <w14:schemeClr w14:val="tx1"/>
                        </w14:solidFill>
                      </w14:textFill>
                    </w:rPr>
                    <w:t>微度脆弱</w:t>
                  </w:r>
                </w:p>
              </w:tc>
              <w:tc>
                <w:tcPr>
                  <w:tcW w:w="923" w:type="dxa"/>
                  <w:vAlign w:val="center"/>
                </w:tcPr>
                <w:p w14:paraId="076E5F69">
                  <w:pPr>
                    <w:spacing w:line="240" w:lineRule="auto"/>
                    <w:jc w:val="center"/>
                    <w:rPr>
                      <w:rFonts w:hint="eastAsia" w:ascii="宋体" w:hAnsi="宋体" w:cs="宋体"/>
                      <w:bCs/>
                      <w:color w:val="000000" w:themeColor="text1"/>
                      <w:kern w:val="0"/>
                      <w:sz w:val="20"/>
                      <w:u w:val="none"/>
                      <w14:textFill>
                        <w14:solidFill>
                          <w14:schemeClr w14:val="tx1"/>
                        </w14:solidFill>
                      </w14:textFill>
                    </w:rPr>
                  </w:pPr>
                  <w:r>
                    <w:rPr>
                      <w:rFonts w:hint="eastAsia" w:ascii="宋体" w:hAnsi="宋体" w:cs="宋体"/>
                      <w:bCs/>
                      <w:color w:val="000000" w:themeColor="text1"/>
                      <w:kern w:val="0"/>
                      <w:sz w:val="20"/>
                      <w:u w:val="none"/>
                      <w:lang w:val="en-US" w:eastAsia="zh-CN"/>
                      <w14:textFill>
                        <w14:solidFill>
                          <w14:schemeClr w14:val="tx1"/>
                        </w14:solidFill>
                      </w14:textFill>
                    </w:rPr>
                    <w:t>中等风化</w:t>
                  </w:r>
                </w:p>
              </w:tc>
              <w:tc>
                <w:tcPr>
                  <w:tcW w:w="851" w:type="dxa"/>
                  <w:vAlign w:val="center"/>
                </w:tcPr>
                <w:p w14:paraId="72ADD430">
                  <w:pPr>
                    <w:widowControl/>
                    <w:spacing w:line="240" w:lineRule="auto"/>
                    <w:jc w:val="center"/>
                    <w:rPr>
                      <w:rFonts w:hint="eastAsia" w:ascii="宋体" w:hAnsi="宋体" w:eastAsia="宋体" w:cs="宋体"/>
                      <w:color w:val="FF0000"/>
                      <w:kern w:val="0"/>
                      <w:szCs w:val="21"/>
                      <w:u w:val="none"/>
                      <w:lang w:eastAsia="zh-CN"/>
                    </w:rPr>
                  </w:pPr>
                  <w:r>
                    <w:rPr>
                      <w:rFonts w:hint="default" w:ascii="宋体" w:hAnsi="宋体" w:eastAsia="宋体" w:cs="宋体"/>
                      <w:color w:val="000000" w:themeColor="text1"/>
                      <w:kern w:val="0"/>
                      <w:sz w:val="20"/>
                      <w:szCs w:val="21"/>
                      <w:u w:val="none"/>
                      <w:lang w:val="en-US" w:eastAsia="zh-CN" w:bidi="ar-SA"/>
                      <w14:textFill>
                        <w14:solidFill>
                          <w14:schemeClr w14:val="tx1"/>
                        </w14:solidFill>
                      </w14:textFill>
                    </w:rPr>
                    <w:t>出露地层主要为石炭系粉砂岩、</w:t>
                  </w:r>
                  <w:r>
                    <w:rPr>
                      <w:rFonts w:hint="eastAsia" w:ascii="宋体" w:hAnsi="宋体" w:cs="宋体"/>
                      <w:color w:val="000000" w:themeColor="text1"/>
                      <w:kern w:val="0"/>
                      <w:sz w:val="20"/>
                      <w:szCs w:val="21"/>
                      <w:u w:val="none"/>
                      <w:lang w:val="en-US" w:eastAsia="zh-CN" w:bidi="ar-SA"/>
                      <w14:textFill>
                        <w14:solidFill>
                          <w14:schemeClr w14:val="tx1"/>
                        </w14:solidFill>
                      </w14:textFill>
                    </w:rPr>
                    <w:t>板</w:t>
                  </w:r>
                  <w:r>
                    <w:rPr>
                      <w:rFonts w:hint="default" w:ascii="宋体" w:hAnsi="宋体" w:eastAsia="宋体" w:cs="宋体"/>
                      <w:color w:val="000000" w:themeColor="text1"/>
                      <w:kern w:val="0"/>
                      <w:sz w:val="20"/>
                      <w:szCs w:val="21"/>
                      <w:u w:val="none"/>
                      <w:lang w:val="en-US" w:eastAsia="zh-CN" w:bidi="ar-SA"/>
                      <w14:textFill>
                        <w14:solidFill>
                          <w14:schemeClr w14:val="tx1"/>
                        </w14:solidFill>
                      </w14:textFill>
                    </w:rPr>
                    <w:t>岩</w:t>
                  </w:r>
                </w:p>
              </w:tc>
              <w:tc>
                <w:tcPr>
                  <w:tcW w:w="547" w:type="dxa"/>
                  <w:vAlign w:val="center"/>
                </w:tcPr>
                <w:p w14:paraId="5324387E">
                  <w:pPr>
                    <w:pStyle w:val="23"/>
                    <w:keepNext w:val="0"/>
                    <w:keepLines w:val="0"/>
                    <w:widowControl/>
                    <w:suppressLineNumbers w:val="0"/>
                    <w:adjustRightInd w:val="0"/>
                    <w:snapToGrid w:val="0"/>
                    <w:spacing w:line="240" w:lineRule="auto"/>
                    <w:ind w:left="0" w:leftChars="0" w:firstLine="0" w:firstLineChars="0"/>
                    <w:jc w:val="center"/>
                    <w:rPr>
                      <w:rFonts w:hint="default" w:ascii="宋体" w:hAnsi="宋体" w:eastAsia="宋体" w:cs="宋体"/>
                      <w:color w:val="FF0000"/>
                      <w:kern w:val="0"/>
                      <w:szCs w:val="21"/>
                      <w:u w:val="none"/>
                      <w:lang w:val="en-US" w:eastAsia="zh-CN"/>
                    </w:rPr>
                  </w:pPr>
                  <w:r>
                    <w:rPr>
                      <w:rFonts w:hint="eastAsia" w:ascii="Times New Roman" w:hAnsi="Calibri" w:eastAsia="Times New Roman" w:cs="Times New Roman"/>
                      <w:b w:val="0"/>
                      <w:bCs/>
                      <w:color w:val="auto"/>
                      <w:spacing w:val="-4"/>
                      <w:kern w:val="0"/>
                      <w:sz w:val="21"/>
                      <w:szCs w:val="22"/>
                      <w:u w:val="none"/>
                      <w:lang w:val="en-US" w:eastAsia="zh-CN" w:bidi="ar-SA"/>
                    </w:rPr>
                    <w:t>949.6</w:t>
                  </w:r>
                </w:p>
              </w:tc>
              <w:tc>
                <w:tcPr>
                  <w:tcW w:w="745" w:type="dxa"/>
                  <w:vAlign w:val="center"/>
                </w:tcPr>
                <w:p w14:paraId="2ADE9B8F">
                  <w:pPr>
                    <w:widowControl/>
                    <w:spacing w:line="240" w:lineRule="auto"/>
                    <w:jc w:val="center"/>
                    <w:rPr>
                      <w:rFonts w:hint="default" w:ascii="Times New Roman" w:hAnsi="Times New Roman" w:eastAsia="宋体" w:cs="Times New Roman"/>
                      <w:color w:val="000000" w:themeColor="text1"/>
                      <w:kern w:val="0"/>
                      <w:sz w:val="20"/>
                      <w:szCs w:val="21"/>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0"/>
                      <w:szCs w:val="21"/>
                      <w:u w:val="none"/>
                      <w:lang w:val="en-US" w:eastAsia="zh-CN" w:bidi="ar-SA"/>
                      <w14:textFill>
                        <w14:solidFill>
                          <w14:schemeClr w14:val="tx1"/>
                        </w14:solidFill>
                      </w14:textFill>
                    </w:rPr>
                    <w:t>22.</w:t>
                  </w:r>
                  <w:r>
                    <w:rPr>
                      <w:rFonts w:hint="eastAsia" w:cs="Times New Roman"/>
                      <w:color w:val="000000" w:themeColor="text1"/>
                      <w:kern w:val="0"/>
                      <w:sz w:val="20"/>
                      <w:szCs w:val="21"/>
                      <w:u w:val="none"/>
                      <w:lang w:val="en-US" w:eastAsia="zh-CN" w:bidi="ar-SA"/>
                      <w14:textFill>
                        <w14:solidFill>
                          <w14:schemeClr w14:val="tx1"/>
                        </w14:solidFill>
                      </w14:textFill>
                    </w:rPr>
                    <w:t>5</w:t>
                  </w:r>
                  <w:r>
                    <w:rPr>
                      <w:rFonts w:hint="default" w:ascii="Times New Roman" w:hAnsi="Times New Roman" w:eastAsia="宋体" w:cs="Times New Roman"/>
                      <w:color w:val="000000" w:themeColor="text1"/>
                      <w:kern w:val="0"/>
                      <w:sz w:val="20"/>
                      <w:szCs w:val="21"/>
                      <w:u w:val="none"/>
                      <w:lang w:val="en-US" w:eastAsia="zh-CN" w:bidi="ar-SA"/>
                      <w14:textFill>
                        <w14:solidFill>
                          <w14:schemeClr w14:val="tx1"/>
                        </w14:solidFill>
                      </w14:textFill>
                    </w:rPr>
                    <w:t>，山地</w:t>
                  </w:r>
                </w:p>
              </w:tc>
            </w:tr>
            <w:tr w14:paraId="47F6463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 w:hRule="atLeast"/>
                <w:jc w:val="center"/>
              </w:trPr>
              <w:tc>
                <w:tcPr>
                  <w:tcW w:w="512" w:type="dxa"/>
                  <w:vAlign w:val="center"/>
                </w:tcPr>
                <w:p w14:paraId="4E43FD88">
                  <w:pPr>
                    <w:keepNext w:val="0"/>
                    <w:keepLines w:val="0"/>
                    <w:widowControl/>
                    <w:suppressLineNumbers w:val="0"/>
                    <w:adjustRightInd w:val="0"/>
                    <w:snapToGrid w:val="0"/>
                    <w:spacing w:line="240" w:lineRule="auto"/>
                    <w:ind w:left="0" w:leftChars="0" w:firstLine="0" w:firstLineChars="0"/>
                    <w:jc w:val="center"/>
                    <w:rPr>
                      <w:rFonts w:hint="default" w:ascii="Times New Roman" w:hAnsi="Times New Roman" w:eastAsia="宋体" w:cs="Times New Roman"/>
                      <w:color w:val="000000" w:themeColor="text1"/>
                      <w:kern w:val="0"/>
                      <w:sz w:val="20"/>
                      <w:szCs w:val="21"/>
                      <w:u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20"/>
                      <w:szCs w:val="21"/>
                      <w:u w:val="none"/>
                      <w:lang w:val="en-US" w:eastAsia="zh-CN" w:bidi="ar-SA"/>
                      <w14:textFill>
                        <w14:solidFill>
                          <w14:schemeClr w14:val="tx1"/>
                        </w14:solidFill>
                      </w14:textFill>
                    </w:rPr>
                    <w:t>TPS</w:t>
                  </w:r>
                  <w:r>
                    <w:rPr>
                      <w:rFonts w:hint="eastAsia" w:cs="Times New Roman"/>
                      <w:color w:val="000000" w:themeColor="text1"/>
                      <w:kern w:val="0"/>
                      <w:sz w:val="20"/>
                      <w:szCs w:val="21"/>
                      <w:u w:val="none"/>
                      <w:lang w:val="en-US" w:eastAsia="zh-CN" w:bidi="ar-SA"/>
                      <w14:textFill>
                        <w14:solidFill>
                          <w14:schemeClr w14:val="tx1"/>
                        </w14:solidFill>
                      </w14:textFill>
                    </w:rPr>
                    <w:t>4</w:t>
                  </w:r>
                </w:p>
              </w:tc>
              <w:tc>
                <w:tcPr>
                  <w:tcW w:w="1386" w:type="dxa"/>
                  <w:vAlign w:val="center"/>
                </w:tcPr>
                <w:p w14:paraId="0671F46B">
                  <w:pPr>
                    <w:pStyle w:val="104"/>
                    <w:jc w:val="left"/>
                    <w:rPr>
                      <w:rFonts w:hint="default" w:ascii="Times New Roman" w:hAnsi="Times New Roman" w:cs="Times New Roman"/>
                      <w:color w:val="000000" w:themeColor="text1"/>
                      <w:kern w:val="0"/>
                      <w:sz w:val="20"/>
                      <w:u w:val="none"/>
                      <w14:textFill>
                        <w14:solidFill>
                          <w14:schemeClr w14:val="tx1"/>
                        </w14:solidFill>
                      </w14:textFill>
                    </w:rPr>
                  </w:pPr>
                  <w:r>
                    <w:rPr>
                      <w:rFonts w:hint="default" w:ascii="Times New Roman" w:hAnsi="Times New Roman" w:cs="Times New Roman"/>
                      <w:color w:val="000000" w:themeColor="text1"/>
                      <w:kern w:val="0"/>
                      <w:sz w:val="20"/>
                      <w:u w:val="none"/>
                      <w14:textFill>
                        <w14:solidFill>
                          <w14:schemeClr w14:val="tx1"/>
                        </w14:solidFill>
                      </w14:textFill>
                    </w:rPr>
                    <w:t>平台区域植被以</w:t>
                  </w:r>
                  <w:r>
                    <w:rPr>
                      <w:rFonts w:hint="eastAsia" w:ascii="Times New Roman" w:hAnsi="Times New Roman" w:cs="Times New Roman"/>
                      <w:color w:val="000000" w:themeColor="text1"/>
                      <w:kern w:val="0"/>
                      <w:sz w:val="20"/>
                      <w:u w:val="none"/>
                      <w:lang w:val="en-US" w:eastAsia="zh-CN"/>
                      <w14:textFill>
                        <w14:solidFill>
                          <w14:schemeClr w14:val="tx1"/>
                        </w14:solidFill>
                      </w14:textFill>
                    </w:rPr>
                    <w:t>杉木林、盐肤木灌丛</w:t>
                  </w:r>
                  <w:r>
                    <w:rPr>
                      <w:rFonts w:hint="default" w:ascii="Times New Roman" w:hAnsi="Times New Roman" w:cs="Times New Roman"/>
                      <w:color w:val="000000" w:themeColor="text1"/>
                      <w:kern w:val="0"/>
                      <w:sz w:val="20"/>
                      <w:u w:val="none"/>
                      <w14:textFill>
                        <w14:solidFill>
                          <w14:schemeClr w14:val="tx1"/>
                        </w14:solidFill>
                      </w14:textFill>
                    </w:rPr>
                    <w:t>和</w:t>
                  </w:r>
                  <w:r>
                    <w:rPr>
                      <w:rFonts w:hint="eastAsia" w:ascii="Times New Roman" w:hAnsi="Times New Roman" w:cs="Times New Roman"/>
                      <w:color w:val="000000" w:themeColor="text1"/>
                      <w:kern w:val="0"/>
                      <w:sz w:val="20"/>
                      <w:u w:val="none"/>
                      <w:lang w:val="en-US" w:eastAsia="zh-CN"/>
                      <w14:textFill>
                        <w14:solidFill>
                          <w14:schemeClr w14:val="tx1"/>
                        </w14:solidFill>
                      </w14:textFill>
                    </w:rPr>
                    <w:t>狗尾巴草灌草丛</w:t>
                  </w:r>
                  <w:r>
                    <w:rPr>
                      <w:rFonts w:hint="default" w:ascii="Times New Roman" w:hAnsi="Times New Roman" w:cs="Times New Roman"/>
                      <w:color w:val="000000" w:themeColor="text1"/>
                      <w:kern w:val="0"/>
                      <w:sz w:val="20"/>
                      <w:u w:val="none"/>
                      <w14:textFill>
                        <w14:solidFill>
                          <w14:schemeClr w14:val="tx1"/>
                        </w14:solidFill>
                      </w14:textFill>
                    </w:rPr>
                    <w:t>，主要植物种类有</w:t>
                  </w:r>
                  <w:r>
                    <w:rPr>
                      <w:rFonts w:hint="eastAsia" w:ascii="Times New Roman" w:hAnsi="Times New Roman" w:cs="Times New Roman"/>
                      <w:color w:val="000000" w:themeColor="text1"/>
                      <w:kern w:val="0"/>
                      <w:sz w:val="20"/>
                      <w:u w:val="none"/>
                      <w:lang w:val="en-US" w:eastAsia="zh-CN"/>
                      <w14:textFill>
                        <w14:solidFill>
                          <w14:schemeClr w14:val="tx1"/>
                        </w14:solidFill>
                      </w14:textFill>
                    </w:rPr>
                    <w:t>杉木、马尾松、山盐肤木、狗尾巴草、五节芒</w:t>
                  </w:r>
                  <w:r>
                    <w:rPr>
                      <w:rFonts w:hint="default" w:ascii="Times New Roman" w:hAnsi="Times New Roman" w:cs="Times New Roman"/>
                      <w:color w:val="000000" w:themeColor="text1"/>
                      <w:kern w:val="0"/>
                      <w:sz w:val="20"/>
                      <w:u w:val="none"/>
                      <w14:textFill>
                        <w14:solidFill>
                          <w14:schemeClr w14:val="tx1"/>
                        </w14:solidFill>
                      </w14:textFill>
                    </w:rPr>
                    <w:t>等。</w:t>
                  </w:r>
                </w:p>
              </w:tc>
              <w:tc>
                <w:tcPr>
                  <w:tcW w:w="1181" w:type="dxa"/>
                  <w:vAlign w:val="center"/>
                </w:tcPr>
                <w:p w14:paraId="540DFB56">
                  <w:pPr>
                    <w:pStyle w:val="104"/>
                    <w:jc w:val="left"/>
                    <w:rPr>
                      <w:rFonts w:hint="default" w:ascii="Times New Roman" w:hAnsi="Times New Roman" w:cs="Times New Roman"/>
                      <w:color w:val="000000" w:themeColor="text1"/>
                      <w:kern w:val="0"/>
                      <w:sz w:val="20"/>
                      <w:u w:val="none"/>
                      <w14:textFill>
                        <w14:solidFill>
                          <w14:schemeClr w14:val="tx1"/>
                        </w14:solidFill>
                      </w14:textFill>
                    </w:rPr>
                  </w:pPr>
                  <w:r>
                    <w:rPr>
                      <w:rFonts w:hint="default" w:ascii="Times New Roman" w:hAnsi="Times New Roman" w:cs="Times New Roman"/>
                      <w:color w:val="000000" w:themeColor="text1"/>
                      <w:kern w:val="0"/>
                      <w:sz w:val="20"/>
                      <w:u w:val="none"/>
                      <w14:textFill>
                        <w14:solidFill>
                          <w14:schemeClr w14:val="tx1"/>
                        </w14:solidFill>
                      </w14:textFill>
                    </w:rPr>
                    <w:t>分布于该区域的野生动物主要有八哥、大山雀、松鸦等，还有少量的中华竹鼠、白腹巨鼠等。</w:t>
                  </w:r>
                </w:p>
              </w:tc>
              <w:tc>
                <w:tcPr>
                  <w:tcW w:w="642" w:type="dxa"/>
                  <w:vAlign w:val="center"/>
                </w:tcPr>
                <w:p w14:paraId="0E310F16">
                  <w:pPr>
                    <w:pStyle w:val="104"/>
                    <w:jc w:val="left"/>
                    <w:rPr>
                      <w:rFonts w:hint="default" w:ascii="Times New Roman" w:hAnsi="Times New Roman" w:cs="Times New Roman"/>
                      <w:color w:val="000000" w:themeColor="text1"/>
                      <w:kern w:val="0"/>
                      <w:sz w:val="20"/>
                      <w:u w:val="none"/>
                      <w14:textFill>
                        <w14:solidFill>
                          <w14:schemeClr w14:val="tx1"/>
                        </w14:solidFill>
                      </w14:textFill>
                    </w:rPr>
                  </w:pPr>
                  <w:r>
                    <w:rPr>
                      <w:rFonts w:hint="default" w:ascii="Times New Roman" w:hAnsi="Times New Roman" w:cs="Times New Roman"/>
                      <w:color w:val="000000" w:themeColor="text1"/>
                      <w:kern w:val="0"/>
                      <w:sz w:val="20"/>
                      <w:u w:val="none"/>
                      <w:lang w:val="en-US" w:eastAsia="zh-CN"/>
                      <w14:textFill>
                        <w14:solidFill>
                          <w14:schemeClr w14:val="tx1"/>
                        </w14:solidFill>
                      </w14:textFill>
                    </w:rPr>
                    <w:t>26.</w:t>
                  </w:r>
                  <w:r>
                    <w:rPr>
                      <w:rFonts w:hint="eastAsia" w:cs="Times New Roman"/>
                      <w:color w:val="000000" w:themeColor="text1"/>
                      <w:kern w:val="0"/>
                      <w:sz w:val="20"/>
                      <w:u w:val="none"/>
                      <w:lang w:val="en-US" w:eastAsia="zh-CN"/>
                      <w14:textFill>
                        <w14:solidFill>
                          <w14:schemeClr w14:val="tx1"/>
                        </w14:solidFill>
                      </w14:textFill>
                    </w:rPr>
                    <w:t>2</w:t>
                  </w:r>
                  <w:r>
                    <w:rPr>
                      <w:rFonts w:hint="default" w:ascii="Times New Roman" w:hAnsi="Times New Roman" w:cs="Times New Roman"/>
                      <w:color w:val="000000" w:themeColor="text1"/>
                      <w:kern w:val="0"/>
                      <w:sz w:val="20"/>
                      <w:u w:val="none"/>
                      <w:lang w:val="en-US" w:eastAsia="zh-CN"/>
                      <w14:textFill>
                        <w14:solidFill>
                          <w14:schemeClr w14:val="tx1"/>
                        </w14:solidFill>
                      </w14:textFill>
                    </w:rPr>
                    <w:t>m</w:t>
                  </w:r>
                  <w:r>
                    <w:rPr>
                      <w:rFonts w:hint="default" w:ascii="Times New Roman" w:hAnsi="Times New Roman" w:cs="Times New Roman"/>
                      <w:color w:val="000000" w:themeColor="text1"/>
                      <w:kern w:val="0"/>
                      <w:sz w:val="20"/>
                      <w:u w:val="none"/>
                      <w:vertAlign w:val="superscript"/>
                      <w:lang w:val="en-US" w:eastAsia="zh-CN"/>
                      <w14:textFill>
                        <w14:solidFill>
                          <w14:schemeClr w14:val="tx1"/>
                        </w14:solidFill>
                      </w14:textFill>
                    </w:rPr>
                    <w:t>3</w:t>
                  </w:r>
                  <w:r>
                    <w:rPr>
                      <w:rFonts w:hint="default" w:ascii="Times New Roman" w:hAnsi="Times New Roman" w:cs="Times New Roman"/>
                      <w:color w:val="000000" w:themeColor="text1"/>
                      <w:kern w:val="0"/>
                      <w:sz w:val="20"/>
                      <w:u w:val="none"/>
                      <w:lang w:val="en-US" w:eastAsia="zh-CN"/>
                      <w14:textFill>
                        <w14:solidFill>
                          <w14:schemeClr w14:val="tx1"/>
                        </w14:solidFill>
                      </w14:textFill>
                    </w:rPr>
                    <w:t>/hm</w:t>
                  </w:r>
                  <w:r>
                    <w:rPr>
                      <w:rFonts w:hint="default" w:ascii="Times New Roman" w:hAnsi="Times New Roman" w:cs="Times New Roman"/>
                      <w:color w:val="000000" w:themeColor="text1"/>
                      <w:kern w:val="0"/>
                      <w:sz w:val="20"/>
                      <w:u w:val="none"/>
                      <w:vertAlign w:val="superscript"/>
                      <w:lang w:val="en-US" w:eastAsia="zh-CN"/>
                      <w14:textFill>
                        <w14:solidFill>
                          <w14:schemeClr w14:val="tx1"/>
                        </w14:solidFill>
                      </w14:textFill>
                    </w:rPr>
                    <w:t>2</w:t>
                  </w:r>
                </w:p>
              </w:tc>
              <w:tc>
                <w:tcPr>
                  <w:tcW w:w="785" w:type="dxa"/>
                  <w:vAlign w:val="center"/>
                </w:tcPr>
                <w:p w14:paraId="6EDFCD77">
                  <w:pPr>
                    <w:spacing w:line="240" w:lineRule="auto"/>
                    <w:jc w:val="left"/>
                    <w:rPr>
                      <w:rFonts w:hint="eastAsia" w:ascii="宋体" w:hAnsi="宋体" w:cs="宋体"/>
                      <w:bCs/>
                      <w:color w:val="000000" w:themeColor="text1"/>
                      <w:kern w:val="0"/>
                      <w:sz w:val="20"/>
                      <w:u w:val="none"/>
                      <w14:textFill>
                        <w14:solidFill>
                          <w14:schemeClr w14:val="tx1"/>
                        </w14:solidFill>
                      </w14:textFill>
                    </w:rPr>
                  </w:pPr>
                  <w:r>
                    <w:rPr>
                      <w:rFonts w:hint="eastAsia" w:ascii="宋体" w:hAnsi="宋体" w:cs="宋体"/>
                      <w:bCs/>
                      <w:color w:val="000000" w:themeColor="text1"/>
                      <w:kern w:val="0"/>
                      <w:sz w:val="20"/>
                      <w:u w:val="none"/>
                      <w14:textFill>
                        <w14:solidFill>
                          <w14:schemeClr w14:val="tx1"/>
                        </w14:solidFill>
                      </w14:textFill>
                    </w:rPr>
                    <w:t>微度脆弱</w:t>
                  </w:r>
                </w:p>
              </w:tc>
              <w:tc>
                <w:tcPr>
                  <w:tcW w:w="923" w:type="dxa"/>
                  <w:vAlign w:val="center"/>
                </w:tcPr>
                <w:p w14:paraId="371D4A86">
                  <w:pPr>
                    <w:spacing w:line="240" w:lineRule="auto"/>
                    <w:jc w:val="center"/>
                    <w:rPr>
                      <w:rFonts w:hint="eastAsia" w:ascii="宋体" w:hAnsi="宋体" w:cs="宋体"/>
                      <w:bCs/>
                      <w:color w:val="000000" w:themeColor="text1"/>
                      <w:kern w:val="0"/>
                      <w:sz w:val="20"/>
                      <w:u w:val="none"/>
                      <w14:textFill>
                        <w14:solidFill>
                          <w14:schemeClr w14:val="tx1"/>
                        </w14:solidFill>
                      </w14:textFill>
                    </w:rPr>
                  </w:pPr>
                  <w:r>
                    <w:rPr>
                      <w:rFonts w:hint="eastAsia" w:ascii="宋体" w:hAnsi="宋体" w:cs="宋体"/>
                      <w:bCs/>
                      <w:color w:val="000000" w:themeColor="text1"/>
                      <w:kern w:val="0"/>
                      <w:sz w:val="20"/>
                      <w:u w:val="none"/>
                      <w:lang w:val="en-US" w:eastAsia="zh-CN"/>
                      <w14:textFill>
                        <w14:solidFill>
                          <w14:schemeClr w14:val="tx1"/>
                        </w14:solidFill>
                      </w14:textFill>
                    </w:rPr>
                    <w:t>中等风化</w:t>
                  </w:r>
                </w:p>
              </w:tc>
              <w:tc>
                <w:tcPr>
                  <w:tcW w:w="851" w:type="dxa"/>
                  <w:vAlign w:val="center"/>
                </w:tcPr>
                <w:p w14:paraId="09222657">
                  <w:pPr>
                    <w:widowControl/>
                    <w:spacing w:line="240" w:lineRule="auto"/>
                    <w:jc w:val="center"/>
                    <w:rPr>
                      <w:rFonts w:hint="eastAsia" w:ascii="宋体" w:hAnsi="宋体" w:eastAsia="宋体" w:cs="宋体"/>
                      <w:color w:val="FF0000"/>
                      <w:kern w:val="0"/>
                      <w:szCs w:val="21"/>
                      <w:u w:val="none"/>
                      <w:lang w:eastAsia="zh-CN"/>
                    </w:rPr>
                  </w:pPr>
                  <w:r>
                    <w:rPr>
                      <w:rFonts w:hint="default" w:ascii="宋体" w:hAnsi="宋体" w:eastAsia="宋体" w:cs="宋体"/>
                      <w:color w:val="000000" w:themeColor="text1"/>
                      <w:kern w:val="0"/>
                      <w:sz w:val="20"/>
                      <w:szCs w:val="21"/>
                      <w:u w:val="none"/>
                      <w:lang w:val="en-US" w:eastAsia="zh-CN" w:bidi="ar-SA"/>
                      <w14:textFill>
                        <w14:solidFill>
                          <w14:schemeClr w14:val="tx1"/>
                        </w14:solidFill>
                      </w14:textFill>
                    </w:rPr>
                    <w:t>出露地层主要为石炭系粉砂岩、</w:t>
                  </w:r>
                  <w:r>
                    <w:rPr>
                      <w:rFonts w:hint="eastAsia" w:ascii="宋体" w:hAnsi="宋体" w:cs="宋体"/>
                      <w:color w:val="000000" w:themeColor="text1"/>
                      <w:kern w:val="0"/>
                      <w:sz w:val="20"/>
                      <w:szCs w:val="21"/>
                      <w:u w:val="none"/>
                      <w:lang w:val="en-US" w:eastAsia="zh-CN" w:bidi="ar-SA"/>
                      <w14:textFill>
                        <w14:solidFill>
                          <w14:schemeClr w14:val="tx1"/>
                        </w14:solidFill>
                      </w14:textFill>
                    </w:rPr>
                    <w:t>板</w:t>
                  </w:r>
                  <w:r>
                    <w:rPr>
                      <w:rFonts w:hint="default" w:ascii="宋体" w:hAnsi="宋体" w:eastAsia="宋体" w:cs="宋体"/>
                      <w:color w:val="000000" w:themeColor="text1"/>
                      <w:kern w:val="0"/>
                      <w:sz w:val="20"/>
                      <w:szCs w:val="21"/>
                      <w:u w:val="none"/>
                      <w:lang w:val="en-US" w:eastAsia="zh-CN" w:bidi="ar-SA"/>
                      <w14:textFill>
                        <w14:solidFill>
                          <w14:schemeClr w14:val="tx1"/>
                        </w14:solidFill>
                      </w14:textFill>
                    </w:rPr>
                    <w:t>岩</w:t>
                  </w:r>
                </w:p>
              </w:tc>
              <w:tc>
                <w:tcPr>
                  <w:tcW w:w="547" w:type="dxa"/>
                  <w:vAlign w:val="center"/>
                </w:tcPr>
                <w:p w14:paraId="17688E53">
                  <w:pPr>
                    <w:pStyle w:val="23"/>
                    <w:keepNext w:val="0"/>
                    <w:keepLines w:val="0"/>
                    <w:widowControl/>
                    <w:suppressLineNumbers w:val="0"/>
                    <w:adjustRightInd w:val="0"/>
                    <w:snapToGrid w:val="0"/>
                    <w:spacing w:line="240" w:lineRule="auto"/>
                    <w:ind w:left="0" w:leftChars="0" w:firstLine="0" w:firstLineChars="0"/>
                    <w:jc w:val="center"/>
                    <w:rPr>
                      <w:rFonts w:hint="default" w:ascii="宋体" w:hAnsi="宋体" w:eastAsia="宋体" w:cs="宋体"/>
                      <w:color w:val="FF0000"/>
                      <w:kern w:val="0"/>
                      <w:szCs w:val="21"/>
                      <w:u w:val="none"/>
                      <w:lang w:val="en-US" w:eastAsia="zh-CN"/>
                    </w:rPr>
                  </w:pPr>
                  <w:r>
                    <w:rPr>
                      <w:rFonts w:hint="eastAsia" w:ascii="Times New Roman" w:hAnsi="Calibri" w:eastAsia="Times New Roman" w:cs="Times New Roman"/>
                      <w:b w:val="0"/>
                      <w:bCs/>
                      <w:color w:val="auto"/>
                      <w:spacing w:val="-4"/>
                      <w:kern w:val="0"/>
                      <w:sz w:val="21"/>
                      <w:szCs w:val="22"/>
                      <w:u w:val="none"/>
                      <w:lang w:val="en-US" w:eastAsia="zh-CN" w:bidi="ar-SA"/>
                    </w:rPr>
                    <w:t>1065.5</w:t>
                  </w:r>
                </w:p>
              </w:tc>
              <w:tc>
                <w:tcPr>
                  <w:tcW w:w="745" w:type="dxa"/>
                  <w:vAlign w:val="center"/>
                </w:tcPr>
                <w:p w14:paraId="714970EA">
                  <w:pPr>
                    <w:widowControl/>
                    <w:spacing w:line="240" w:lineRule="auto"/>
                    <w:jc w:val="center"/>
                    <w:rPr>
                      <w:rFonts w:hint="default" w:ascii="Times New Roman" w:hAnsi="Times New Roman" w:eastAsia="宋体" w:cs="Times New Roman"/>
                      <w:color w:val="000000" w:themeColor="text1"/>
                      <w:kern w:val="0"/>
                      <w:sz w:val="20"/>
                      <w:szCs w:val="21"/>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0"/>
                      <w:szCs w:val="21"/>
                      <w:u w:val="none"/>
                      <w:lang w:val="en-US" w:eastAsia="zh-CN" w:bidi="ar-SA"/>
                      <w14:textFill>
                        <w14:solidFill>
                          <w14:schemeClr w14:val="tx1"/>
                        </w14:solidFill>
                      </w14:textFill>
                    </w:rPr>
                    <w:t>22.3，山地</w:t>
                  </w:r>
                </w:p>
              </w:tc>
            </w:tr>
            <w:tr w14:paraId="70B7429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 w:hRule="atLeast"/>
                <w:jc w:val="center"/>
              </w:trPr>
              <w:tc>
                <w:tcPr>
                  <w:tcW w:w="512" w:type="dxa"/>
                  <w:vAlign w:val="center"/>
                </w:tcPr>
                <w:p w14:paraId="24490563">
                  <w:pPr>
                    <w:keepNext w:val="0"/>
                    <w:keepLines w:val="0"/>
                    <w:widowControl/>
                    <w:suppressLineNumbers w:val="0"/>
                    <w:adjustRightInd w:val="0"/>
                    <w:snapToGrid w:val="0"/>
                    <w:spacing w:line="240" w:lineRule="auto"/>
                    <w:ind w:left="0" w:leftChars="0" w:firstLine="0" w:firstLineChars="0"/>
                    <w:jc w:val="center"/>
                    <w:rPr>
                      <w:rFonts w:hint="default" w:ascii="Times New Roman" w:hAnsi="Times New Roman" w:eastAsia="宋体" w:cs="Times New Roman"/>
                      <w:color w:val="000000" w:themeColor="text1"/>
                      <w:kern w:val="0"/>
                      <w:sz w:val="20"/>
                      <w:szCs w:val="21"/>
                      <w:u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20"/>
                      <w:szCs w:val="21"/>
                      <w:u w:val="none"/>
                      <w:lang w:val="en-US" w:eastAsia="zh-CN" w:bidi="ar-SA"/>
                      <w14:textFill>
                        <w14:solidFill>
                          <w14:schemeClr w14:val="tx1"/>
                        </w14:solidFill>
                      </w14:textFill>
                    </w:rPr>
                    <w:t>TPS</w:t>
                  </w:r>
                  <w:r>
                    <w:rPr>
                      <w:rFonts w:hint="eastAsia" w:cs="Times New Roman"/>
                      <w:color w:val="000000" w:themeColor="text1"/>
                      <w:kern w:val="0"/>
                      <w:sz w:val="20"/>
                      <w:szCs w:val="21"/>
                      <w:u w:val="none"/>
                      <w:lang w:val="en-US" w:eastAsia="zh-CN" w:bidi="ar-SA"/>
                      <w14:textFill>
                        <w14:solidFill>
                          <w14:schemeClr w14:val="tx1"/>
                        </w14:solidFill>
                      </w14:textFill>
                    </w:rPr>
                    <w:t>5</w:t>
                  </w:r>
                </w:p>
              </w:tc>
              <w:tc>
                <w:tcPr>
                  <w:tcW w:w="1386" w:type="dxa"/>
                  <w:vAlign w:val="center"/>
                </w:tcPr>
                <w:p w14:paraId="5B3CF67C">
                  <w:pPr>
                    <w:pStyle w:val="104"/>
                    <w:jc w:val="left"/>
                    <w:rPr>
                      <w:rFonts w:hint="default" w:ascii="Times New Roman" w:hAnsi="Times New Roman" w:cs="Times New Roman"/>
                      <w:color w:val="000000" w:themeColor="text1"/>
                      <w:kern w:val="0"/>
                      <w:sz w:val="20"/>
                      <w:u w:val="none"/>
                      <w14:textFill>
                        <w14:solidFill>
                          <w14:schemeClr w14:val="tx1"/>
                        </w14:solidFill>
                      </w14:textFill>
                    </w:rPr>
                  </w:pPr>
                  <w:r>
                    <w:rPr>
                      <w:rFonts w:hint="eastAsia" w:ascii="Times New Roman" w:hAnsi="Times New Roman" w:cs="Times New Roman"/>
                      <w:color w:val="000000" w:themeColor="text1"/>
                      <w:kern w:val="0"/>
                      <w:sz w:val="20"/>
                      <w:u w:val="none"/>
                      <w14:textFill>
                        <w14:solidFill>
                          <w14:schemeClr w14:val="tx1"/>
                        </w14:solidFill>
                      </w14:textFill>
                    </w:rPr>
                    <w:t>该区域土地利用类型以林地为主，植被以针叶林为主，常见的群系为杉木林等。</w:t>
                  </w:r>
                </w:p>
              </w:tc>
              <w:tc>
                <w:tcPr>
                  <w:tcW w:w="1181" w:type="dxa"/>
                  <w:vAlign w:val="center"/>
                </w:tcPr>
                <w:p w14:paraId="79E74CF8">
                  <w:pPr>
                    <w:pStyle w:val="104"/>
                    <w:jc w:val="left"/>
                    <w:rPr>
                      <w:rFonts w:hint="default" w:ascii="Times New Roman" w:hAnsi="Times New Roman" w:cs="Times New Roman"/>
                      <w:color w:val="000000" w:themeColor="text1"/>
                      <w:kern w:val="0"/>
                      <w:sz w:val="20"/>
                      <w:u w:val="none"/>
                      <w14:textFill>
                        <w14:solidFill>
                          <w14:schemeClr w14:val="tx1"/>
                        </w14:solidFill>
                      </w14:textFill>
                    </w:rPr>
                  </w:pPr>
                  <w:r>
                    <w:rPr>
                      <w:rFonts w:hint="default" w:ascii="Times New Roman" w:hAnsi="Times New Roman" w:cs="Times New Roman"/>
                      <w:color w:val="000000" w:themeColor="text1"/>
                      <w:kern w:val="0"/>
                      <w:sz w:val="20"/>
                      <w:u w:val="none"/>
                      <w14:textFill>
                        <w14:solidFill>
                          <w14:schemeClr w14:val="tx1"/>
                        </w14:solidFill>
                      </w14:textFill>
                    </w:rPr>
                    <w:t>分布于该区域的野生动物主要有松鸦、山斑鸠等，还有少量的赤腹松鼠等。</w:t>
                  </w:r>
                </w:p>
              </w:tc>
              <w:tc>
                <w:tcPr>
                  <w:tcW w:w="642" w:type="dxa"/>
                  <w:vAlign w:val="center"/>
                </w:tcPr>
                <w:p w14:paraId="20532E0A">
                  <w:pPr>
                    <w:pStyle w:val="104"/>
                    <w:jc w:val="left"/>
                    <w:rPr>
                      <w:rFonts w:hint="default" w:ascii="Times New Roman" w:hAnsi="Times New Roman" w:cs="Times New Roman"/>
                      <w:color w:val="000000" w:themeColor="text1"/>
                      <w:kern w:val="0"/>
                      <w:sz w:val="20"/>
                      <w:u w:val="none"/>
                      <w14:textFill>
                        <w14:solidFill>
                          <w14:schemeClr w14:val="tx1"/>
                        </w14:solidFill>
                      </w14:textFill>
                    </w:rPr>
                  </w:pPr>
                  <w:r>
                    <w:rPr>
                      <w:rFonts w:hint="default" w:ascii="Times New Roman" w:hAnsi="Times New Roman" w:cs="Times New Roman"/>
                      <w:color w:val="000000" w:themeColor="text1"/>
                      <w:kern w:val="0"/>
                      <w:sz w:val="20"/>
                      <w:u w:val="none"/>
                      <w:lang w:val="en-US" w:eastAsia="zh-CN"/>
                      <w14:textFill>
                        <w14:solidFill>
                          <w14:schemeClr w14:val="tx1"/>
                        </w14:solidFill>
                      </w14:textFill>
                    </w:rPr>
                    <w:t>2</w:t>
                  </w:r>
                  <w:r>
                    <w:rPr>
                      <w:rFonts w:hint="eastAsia" w:cs="Times New Roman"/>
                      <w:color w:val="000000" w:themeColor="text1"/>
                      <w:kern w:val="0"/>
                      <w:sz w:val="20"/>
                      <w:u w:val="none"/>
                      <w:lang w:val="en-US" w:eastAsia="zh-CN"/>
                      <w14:textFill>
                        <w14:solidFill>
                          <w14:schemeClr w14:val="tx1"/>
                        </w14:solidFill>
                      </w14:textFill>
                    </w:rPr>
                    <w:t>5.7</w:t>
                  </w:r>
                  <w:r>
                    <w:rPr>
                      <w:rFonts w:hint="default" w:ascii="Times New Roman" w:hAnsi="Times New Roman" w:cs="Times New Roman"/>
                      <w:color w:val="000000" w:themeColor="text1"/>
                      <w:kern w:val="0"/>
                      <w:sz w:val="20"/>
                      <w:u w:val="none"/>
                      <w:lang w:val="en-US" w:eastAsia="zh-CN"/>
                      <w14:textFill>
                        <w14:solidFill>
                          <w14:schemeClr w14:val="tx1"/>
                        </w14:solidFill>
                      </w14:textFill>
                    </w:rPr>
                    <w:t>7m</w:t>
                  </w:r>
                  <w:r>
                    <w:rPr>
                      <w:rFonts w:hint="default" w:ascii="Times New Roman" w:hAnsi="Times New Roman" w:cs="Times New Roman"/>
                      <w:color w:val="000000" w:themeColor="text1"/>
                      <w:kern w:val="0"/>
                      <w:sz w:val="20"/>
                      <w:u w:val="none"/>
                      <w:vertAlign w:val="superscript"/>
                      <w:lang w:val="en-US" w:eastAsia="zh-CN"/>
                      <w14:textFill>
                        <w14:solidFill>
                          <w14:schemeClr w14:val="tx1"/>
                        </w14:solidFill>
                      </w14:textFill>
                    </w:rPr>
                    <w:t>3</w:t>
                  </w:r>
                  <w:r>
                    <w:rPr>
                      <w:rFonts w:hint="default" w:ascii="Times New Roman" w:hAnsi="Times New Roman" w:cs="Times New Roman"/>
                      <w:color w:val="000000" w:themeColor="text1"/>
                      <w:kern w:val="0"/>
                      <w:sz w:val="20"/>
                      <w:u w:val="none"/>
                      <w:lang w:val="en-US" w:eastAsia="zh-CN"/>
                      <w14:textFill>
                        <w14:solidFill>
                          <w14:schemeClr w14:val="tx1"/>
                        </w14:solidFill>
                      </w14:textFill>
                    </w:rPr>
                    <w:t>/hm</w:t>
                  </w:r>
                  <w:r>
                    <w:rPr>
                      <w:rFonts w:hint="default" w:ascii="Times New Roman" w:hAnsi="Times New Roman" w:cs="Times New Roman"/>
                      <w:color w:val="000000" w:themeColor="text1"/>
                      <w:kern w:val="0"/>
                      <w:sz w:val="20"/>
                      <w:u w:val="none"/>
                      <w:vertAlign w:val="superscript"/>
                      <w:lang w:val="en-US" w:eastAsia="zh-CN"/>
                      <w14:textFill>
                        <w14:solidFill>
                          <w14:schemeClr w14:val="tx1"/>
                        </w14:solidFill>
                      </w14:textFill>
                    </w:rPr>
                    <w:t>2</w:t>
                  </w:r>
                </w:p>
              </w:tc>
              <w:tc>
                <w:tcPr>
                  <w:tcW w:w="785" w:type="dxa"/>
                  <w:vAlign w:val="center"/>
                </w:tcPr>
                <w:p w14:paraId="0C69D162">
                  <w:pPr>
                    <w:spacing w:line="240" w:lineRule="auto"/>
                    <w:jc w:val="left"/>
                    <w:rPr>
                      <w:rFonts w:hint="eastAsia" w:ascii="宋体" w:hAnsi="宋体" w:cs="宋体"/>
                      <w:bCs/>
                      <w:color w:val="000000" w:themeColor="text1"/>
                      <w:kern w:val="0"/>
                      <w:sz w:val="20"/>
                      <w:u w:val="none"/>
                      <w14:textFill>
                        <w14:solidFill>
                          <w14:schemeClr w14:val="tx1"/>
                        </w14:solidFill>
                      </w14:textFill>
                    </w:rPr>
                  </w:pPr>
                  <w:r>
                    <w:rPr>
                      <w:rFonts w:hint="eastAsia" w:ascii="宋体" w:hAnsi="宋体" w:cs="宋体"/>
                      <w:bCs/>
                      <w:color w:val="000000" w:themeColor="text1"/>
                      <w:kern w:val="0"/>
                      <w:sz w:val="20"/>
                      <w:u w:val="none"/>
                      <w14:textFill>
                        <w14:solidFill>
                          <w14:schemeClr w14:val="tx1"/>
                        </w14:solidFill>
                      </w14:textFill>
                    </w:rPr>
                    <w:t>微度脆弱</w:t>
                  </w:r>
                </w:p>
              </w:tc>
              <w:tc>
                <w:tcPr>
                  <w:tcW w:w="923" w:type="dxa"/>
                  <w:vAlign w:val="center"/>
                </w:tcPr>
                <w:p w14:paraId="253D10F9">
                  <w:pPr>
                    <w:spacing w:line="240" w:lineRule="auto"/>
                    <w:jc w:val="center"/>
                    <w:rPr>
                      <w:rFonts w:hint="eastAsia" w:ascii="宋体" w:hAnsi="宋体" w:cs="宋体"/>
                      <w:bCs/>
                      <w:color w:val="000000" w:themeColor="text1"/>
                      <w:kern w:val="0"/>
                      <w:sz w:val="20"/>
                      <w:u w:val="none"/>
                      <w14:textFill>
                        <w14:solidFill>
                          <w14:schemeClr w14:val="tx1"/>
                        </w14:solidFill>
                      </w14:textFill>
                    </w:rPr>
                  </w:pPr>
                  <w:r>
                    <w:rPr>
                      <w:rFonts w:hint="eastAsia" w:ascii="宋体" w:hAnsi="宋体" w:cs="宋体"/>
                      <w:bCs/>
                      <w:color w:val="000000" w:themeColor="text1"/>
                      <w:kern w:val="0"/>
                      <w:sz w:val="20"/>
                      <w:u w:val="none"/>
                      <w:lang w:val="en-US" w:eastAsia="zh-CN"/>
                      <w14:textFill>
                        <w14:solidFill>
                          <w14:schemeClr w14:val="tx1"/>
                        </w14:solidFill>
                      </w14:textFill>
                    </w:rPr>
                    <w:t>中等风化</w:t>
                  </w:r>
                </w:p>
              </w:tc>
              <w:tc>
                <w:tcPr>
                  <w:tcW w:w="851" w:type="dxa"/>
                  <w:vAlign w:val="center"/>
                </w:tcPr>
                <w:p w14:paraId="6CB6C866">
                  <w:pPr>
                    <w:widowControl/>
                    <w:spacing w:line="240" w:lineRule="auto"/>
                    <w:jc w:val="center"/>
                    <w:rPr>
                      <w:rFonts w:ascii="宋体" w:hAnsi="宋体" w:cs="宋体"/>
                      <w:color w:val="FF0000"/>
                      <w:kern w:val="0"/>
                      <w:szCs w:val="21"/>
                      <w:u w:val="none"/>
                    </w:rPr>
                  </w:pPr>
                  <w:r>
                    <w:rPr>
                      <w:rFonts w:hint="default" w:ascii="宋体" w:hAnsi="宋体" w:eastAsia="宋体" w:cs="宋体"/>
                      <w:color w:val="000000" w:themeColor="text1"/>
                      <w:kern w:val="0"/>
                      <w:sz w:val="20"/>
                      <w:szCs w:val="21"/>
                      <w:u w:val="none"/>
                      <w:lang w:val="en-US" w:eastAsia="zh-CN" w:bidi="ar-SA"/>
                      <w14:textFill>
                        <w14:solidFill>
                          <w14:schemeClr w14:val="tx1"/>
                        </w14:solidFill>
                      </w14:textFill>
                    </w:rPr>
                    <w:t>出露地层主要为石炭系粉砂岩、</w:t>
                  </w:r>
                  <w:r>
                    <w:rPr>
                      <w:rFonts w:hint="eastAsia" w:ascii="宋体" w:hAnsi="宋体" w:cs="宋体"/>
                      <w:color w:val="000000" w:themeColor="text1"/>
                      <w:kern w:val="0"/>
                      <w:sz w:val="20"/>
                      <w:szCs w:val="21"/>
                      <w:u w:val="none"/>
                      <w:lang w:val="en-US" w:eastAsia="zh-CN" w:bidi="ar-SA"/>
                      <w14:textFill>
                        <w14:solidFill>
                          <w14:schemeClr w14:val="tx1"/>
                        </w14:solidFill>
                      </w14:textFill>
                    </w:rPr>
                    <w:t>板</w:t>
                  </w:r>
                  <w:r>
                    <w:rPr>
                      <w:rFonts w:hint="default" w:ascii="宋体" w:hAnsi="宋体" w:eastAsia="宋体" w:cs="宋体"/>
                      <w:color w:val="000000" w:themeColor="text1"/>
                      <w:kern w:val="0"/>
                      <w:sz w:val="20"/>
                      <w:szCs w:val="21"/>
                      <w:u w:val="none"/>
                      <w:lang w:val="en-US" w:eastAsia="zh-CN" w:bidi="ar-SA"/>
                      <w14:textFill>
                        <w14:solidFill>
                          <w14:schemeClr w14:val="tx1"/>
                        </w14:solidFill>
                      </w14:textFill>
                    </w:rPr>
                    <w:t>岩</w:t>
                  </w:r>
                </w:p>
              </w:tc>
              <w:tc>
                <w:tcPr>
                  <w:tcW w:w="547" w:type="dxa"/>
                  <w:vAlign w:val="center"/>
                </w:tcPr>
                <w:p w14:paraId="62DD0F72">
                  <w:pPr>
                    <w:pStyle w:val="23"/>
                    <w:keepNext w:val="0"/>
                    <w:keepLines w:val="0"/>
                    <w:widowControl/>
                    <w:suppressLineNumbers w:val="0"/>
                    <w:adjustRightInd w:val="0"/>
                    <w:snapToGrid w:val="0"/>
                    <w:spacing w:line="240" w:lineRule="auto"/>
                    <w:ind w:left="0" w:leftChars="0" w:firstLine="0" w:firstLineChars="0"/>
                    <w:jc w:val="center"/>
                    <w:rPr>
                      <w:rFonts w:hint="default" w:ascii="宋体" w:hAnsi="宋体" w:cs="宋体"/>
                      <w:color w:val="FF0000"/>
                      <w:kern w:val="0"/>
                      <w:szCs w:val="21"/>
                      <w:u w:val="none"/>
                      <w:lang w:val="en-US"/>
                    </w:rPr>
                  </w:pPr>
                  <w:r>
                    <w:rPr>
                      <w:rFonts w:hint="eastAsia" w:ascii="Times New Roman" w:hAnsi="Calibri" w:eastAsia="Times New Roman" w:cs="Times New Roman"/>
                      <w:b w:val="0"/>
                      <w:bCs/>
                      <w:color w:val="auto"/>
                      <w:spacing w:val="-4"/>
                      <w:kern w:val="0"/>
                      <w:sz w:val="21"/>
                      <w:szCs w:val="22"/>
                      <w:u w:val="none"/>
                      <w:lang w:val="en-US" w:eastAsia="zh-CN" w:bidi="ar-SA"/>
                    </w:rPr>
                    <w:t>1045</w:t>
                  </w:r>
                </w:p>
              </w:tc>
              <w:tc>
                <w:tcPr>
                  <w:tcW w:w="745" w:type="dxa"/>
                  <w:vAlign w:val="center"/>
                </w:tcPr>
                <w:p w14:paraId="01D19F25">
                  <w:pPr>
                    <w:widowControl/>
                    <w:spacing w:line="240" w:lineRule="auto"/>
                    <w:jc w:val="center"/>
                    <w:rPr>
                      <w:rFonts w:hint="default" w:ascii="Times New Roman" w:hAnsi="Times New Roman" w:eastAsia="宋体" w:cs="Times New Roman"/>
                      <w:color w:val="000000" w:themeColor="text1"/>
                      <w:kern w:val="0"/>
                      <w:sz w:val="20"/>
                      <w:szCs w:val="21"/>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0"/>
                      <w:szCs w:val="21"/>
                      <w:u w:val="none"/>
                      <w:lang w:val="en-US" w:eastAsia="zh-CN" w:bidi="ar-SA"/>
                      <w14:textFill>
                        <w14:solidFill>
                          <w14:schemeClr w14:val="tx1"/>
                        </w14:solidFill>
                      </w14:textFill>
                    </w:rPr>
                    <w:t>28.4，山地</w:t>
                  </w:r>
                </w:p>
              </w:tc>
            </w:tr>
            <w:tr w14:paraId="7435CA2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 w:hRule="atLeast"/>
                <w:jc w:val="center"/>
              </w:trPr>
              <w:tc>
                <w:tcPr>
                  <w:tcW w:w="512" w:type="dxa"/>
                  <w:vAlign w:val="center"/>
                </w:tcPr>
                <w:p w14:paraId="1DC0757B">
                  <w:pPr>
                    <w:keepNext w:val="0"/>
                    <w:keepLines w:val="0"/>
                    <w:widowControl/>
                    <w:suppressLineNumbers w:val="0"/>
                    <w:adjustRightInd w:val="0"/>
                    <w:snapToGrid w:val="0"/>
                    <w:spacing w:line="240" w:lineRule="auto"/>
                    <w:ind w:left="0" w:leftChars="0" w:firstLine="0" w:firstLineChars="0"/>
                    <w:jc w:val="center"/>
                    <w:rPr>
                      <w:rFonts w:hint="default" w:ascii="Times New Roman" w:hAnsi="Times New Roman" w:eastAsia="宋体" w:cs="Times New Roman"/>
                      <w:color w:val="000000" w:themeColor="text1"/>
                      <w:kern w:val="0"/>
                      <w:sz w:val="20"/>
                      <w:szCs w:val="21"/>
                      <w:u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20"/>
                      <w:szCs w:val="21"/>
                      <w:u w:val="none"/>
                      <w:lang w:val="en-US" w:eastAsia="zh-CN" w:bidi="ar-SA"/>
                      <w14:textFill>
                        <w14:solidFill>
                          <w14:schemeClr w14:val="tx1"/>
                        </w14:solidFill>
                      </w14:textFill>
                    </w:rPr>
                    <w:t>TPS</w:t>
                  </w:r>
                  <w:r>
                    <w:rPr>
                      <w:rFonts w:hint="eastAsia" w:cs="Times New Roman"/>
                      <w:color w:val="000000" w:themeColor="text1"/>
                      <w:kern w:val="0"/>
                      <w:sz w:val="20"/>
                      <w:szCs w:val="21"/>
                      <w:u w:val="none"/>
                      <w:lang w:val="en-US" w:eastAsia="zh-CN" w:bidi="ar-SA"/>
                      <w14:textFill>
                        <w14:solidFill>
                          <w14:schemeClr w14:val="tx1"/>
                        </w14:solidFill>
                      </w14:textFill>
                    </w:rPr>
                    <w:t>6</w:t>
                  </w:r>
                </w:p>
              </w:tc>
              <w:tc>
                <w:tcPr>
                  <w:tcW w:w="1386" w:type="dxa"/>
                  <w:vAlign w:val="center"/>
                </w:tcPr>
                <w:p w14:paraId="6A161A67">
                  <w:pPr>
                    <w:pStyle w:val="104"/>
                    <w:jc w:val="left"/>
                    <w:rPr>
                      <w:rFonts w:hint="default" w:ascii="Times New Roman" w:hAnsi="Times New Roman" w:cs="Times New Roman"/>
                      <w:color w:val="000000" w:themeColor="text1"/>
                      <w:kern w:val="0"/>
                      <w:sz w:val="20"/>
                      <w:u w:val="none"/>
                      <w14:textFill>
                        <w14:solidFill>
                          <w14:schemeClr w14:val="tx1"/>
                        </w14:solidFill>
                      </w14:textFill>
                    </w:rPr>
                  </w:pPr>
                  <w:r>
                    <w:rPr>
                      <w:rFonts w:hint="eastAsia" w:ascii="Times New Roman" w:hAnsi="Times New Roman" w:cs="Times New Roman"/>
                      <w:color w:val="000000" w:themeColor="text1"/>
                      <w:kern w:val="0"/>
                      <w:sz w:val="20"/>
                      <w:u w:val="none"/>
                      <w14:textFill>
                        <w14:solidFill>
                          <w14:schemeClr w14:val="tx1"/>
                        </w14:solidFill>
                      </w14:textFill>
                    </w:rPr>
                    <w:t>植被以杉木林组成地的针叶林为主，常见的群系为杉木林等。</w:t>
                  </w:r>
                </w:p>
              </w:tc>
              <w:tc>
                <w:tcPr>
                  <w:tcW w:w="1181" w:type="dxa"/>
                  <w:vAlign w:val="center"/>
                </w:tcPr>
                <w:p w14:paraId="3EFF97AB">
                  <w:pPr>
                    <w:pStyle w:val="104"/>
                    <w:jc w:val="left"/>
                    <w:rPr>
                      <w:rFonts w:hint="default" w:ascii="Times New Roman" w:hAnsi="Times New Roman" w:cs="Times New Roman"/>
                      <w:color w:val="000000" w:themeColor="text1"/>
                      <w:kern w:val="0"/>
                      <w:sz w:val="20"/>
                      <w:u w:val="none"/>
                      <w14:textFill>
                        <w14:solidFill>
                          <w14:schemeClr w14:val="tx1"/>
                        </w14:solidFill>
                      </w14:textFill>
                    </w:rPr>
                  </w:pPr>
                  <w:r>
                    <w:rPr>
                      <w:rFonts w:hint="default" w:ascii="Times New Roman" w:hAnsi="Times New Roman" w:cs="Times New Roman"/>
                      <w:color w:val="000000" w:themeColor="text1"/>
                      <w:kern w:val="0"/>
                      <w:sz w:val="20"/>
                      <w:u w:val="none"/>
                      <w14:textFill>
                        <w14:solidFill>
                          <w14:schemeClr w14:val="tx1"/>
                        </w14:solidFill>
                      </w14:textFill>
                    </w:rPr>
                    <w:t>分布于该区域的野生动物主要有松鸦、啄木鸟等，还有少量的黄鼬、猪獾等。</w:t>
                  </w:r>
                </w:p>
              </w:tc>
              <w:tc>
                <w:tcPr>
                  <w:tcW w:w="642" w:type="dxa"/>
                  <w:vAlign w:val="center"/>
                </w:tcPr>
                <w:p w14:paraId="192804E0">
                  <w:pPr>
                    <w:pStyle w:val="104"/>
                    <w:jc w:val="left"/>
                    <w:rPr>
                      <w:rFonts w:hint="default" w:ascii="Times New Roman" w:hAnsi="Times New Roman" w:cs="Times New Roman"/>
                      <w:color w:val="000000" w:themeColor="text1"/>
                      <w:kern w:val="0"/>
                      <w:sz w:val="20"/>
                      <w:u w:val="none"/>
                      <w14:textFill>
                        <w14:solidFill>
                          <w14:schemeClr w14:val="tx1"/>
                        </w14:solidFill>
                      </w14:textFill>
                    </w:rPr>
                  </w:pPr>
                  <w:r>
                    <w:rPr>
                      <w:rFonts w:hint="default" w:ascii="Times New Roman" w:hAnsi="Times New Roman" w:cs="Times New Roman"/>
                      <w:color w:val="000000" w:themeColor="text1"/>
                      <w:kern w:val="0"/>
                      <w:sz w:val="20"/>
                      <w:u w:val="none"/>
                      <w:lang w:val="en-US" w:eastAsia="zh-CN"/>
                      <w14:textFill>
                        <w14:solidFill>
                          <w14:schemeClr w14:val="tx1"/>
                        </w14:solidFill>
                      </w14:textFill>
                    </w:rPr>
                    <w:t>2</w:t>
                  </w:r>
                  <w:r>
                    <w:rPr>
                      <w:rFonts w:hint="eastAsia" w:cs="Times New Roman"/>
                      <w:color w:val="000000" w:themeColor="text1"/>
                      <w:kern w:val="0"/>
                      <w:sz w:val="20"/>
                      <w:u w:val="none"/>
                      <w:lang w:val="en-US" w:eastAsia="zh-CN"/>
                      <w14:textFill>
                        <w14:solidFill>
                          <w14:schemeClr w14:val="tx1"/>
                        </w14:solidFill>
                      </w14:textFill>
                    </w:rPr>
                    <w:t>7.2</w:t>
                  </w:r>
                  <w:r>
                    <w:rPr>
                      <w:rFonts w:hint="default" w:ascii="Times New Roman" w:hAnsi="Times New Roman" w:cs="Times New Roman"/>
                      <w:color w:val="000000" w:themeColor="text1"/>
                      <w:kern w:val="0"/>
                      <w:sz w:val="20"/>
                      <w:u w:val="none"/>
                      <w:lang w:val="en-US" w:eastAsia="zh-CN"/>
                      <w14:textFill>
                        <w14:solidFill>
                          <w14:schemeClr w14:val="tx1"/>
                        </w14:solidFill>
                      </w14:textFill>
                    </w:rPr>
                    <w:t>7m</w:t>
                  </w:r>
                  <w:r>
                    <w:rPr>
                      <w:rFonts w:hint="default" w:ascii="Times New Roman" w:hAnsi="Times New Roman" w:cs="Times New Roman"/>
                      <w:color w:val="000000" w:themeColor="text1"/>
                      <w:kern w:val="0"/>
                      <w:sz w:val="20"/>
                      <w:u w:val="none"/>
                      <w:vertAlign w:val="superscript"/>
                      <w:lang w:val="en-US" w:eastAsia="zh-CN"/>
                      <w14:textFill>
                        <w14:solidFill>
                          <w14:schemeClr w14:val="tx1"/>
                        </w14:solidFill>
                      </w14:textFill>
                    </w:rPr>
                    <w:t>3</w:t>
                  </w:r>
                  <w:r>
                    <w:rPr>
                      <w:rFonts w:hint="default" w:ascii="Times New Roman" w:hAnsi="Times New Roman" w:cs="Times New Roman"/>
                      <w:color w:val="000000" w:themeColor="text1"/>
                      <w:kern w:val="0"/>
                      <w:sz w:val="20"/>
                      <w:u w:val="none"/>
                      <w:lang w:val="en-US" w:eastAsia="zh-CN"/>
                      <w14:textFill>
                        <w14:solidFill>
                          <w14:schemeClr w14:val="tx1"/>
                        </w14:solidFill>
                      </w14:textFill>
                    </w:rPr>
                    <w:t>/hm</w:t>
                  </w:r>
                  <w:r>
                    <w:rPr>
                      <w:rFonts w:hint="default" w:ascii="Times New Roman" w:hAnsi="Times New Roman" w:cs="Times New Roman"/>
                      <w:color w:val="000000" w:themeColor="text1"/>
                      <w:kern w:val="0"/>
                      <w:sz w:val="20"/>
                      <w:u w:val="none"/>
                      <w:vertAlign w:val="superscript"/>
                      <w:lang w:val="en-US" w:eastAsia="zh-CN"/>
                      <w14:textFill>
                        <w14:solidFill>
                          <w14:schemeClr w14:val="tx1"/>
                        </w14:solidFill>
                      </w14:textFill>
                    </w:rPr>
                    <w:t>2</w:t>
                  </w:r>
                </w:p>
              </w:tc>
              <w:tc>
                <w:tcPr>
                  <w:tcW w:w="785" w:type="dxa"/>
                  <w:vAlign w:val="center"/>
                </w:tcPr>
                <w:p w14:paraId="3207FC9F">
                  <w:pPr>
                    <w:spacing w:line="240" w:lineRule="auto"/>
                    <w:jc w:val="left"/>
                    <w:rPr>
                      <w:rFonts w:hint="eastAsia" w:ascii="宋体" w:hAnsi="宋体" w:cs="宋体"/>
                      <w:bCs/>
                      <w:color w:val="000000" w:themeColor="text1"/>
                      <w:kern w:val="0"/>
                      <w:sz w:val="20"/>
                      <w:u w:val="none"/>
                      <w14:textFill>
                        <w14:solidFill>
                          <w14:schemeClr w14:val="tx1"/>
                        </w14:solidFill>
                      </w14:textFill>
                    </w:rPr>
                  </w:pPr>
                  <w:r>
                    <w:rPr>
                      <w:rFonts w:hint="eastAsia" w:ascii="宋体" w:hAnsi="宋体" w:cs="宋体"/>
                      <w:bCs/>
                      <w:color w:val="000000" w:themeColor="text1"/>
                      <w:kern w:val="0"/>
                      <w:sz w:val="20"/>
                      <w:u w:val="none"/>
                      <w14:textFill>
                        <w14:solidFill>
                          <w14:schemeClr w14:val="tx1"/>
                        </w14:solidFill>
                      </w14:textFill>
                    </w:rPr>
                    <w:t>微度脆弱</w:t>
                  </w:r>
                </w:p>
              </w:tc>
              <w:tc>
                <w:tcPr>
                  <w:tcW w:w="923" w:type="dxa"/>
                  <w:vAlign w:val="center"/>
                </w:tcPr>
                <w:p w14:paraId="129FE8D2">
                  <w:pPr>
                    <w:spacing w:line="240" w:lineRule="auto"/>
                    <w:jc w:val="center"/>
                    <w:rPr>
                      <w:rFonts w:hint="eastAsia" w:ascii="宋体" w:hAnsi="宋体" w:cs="宋体"/>
                      <w:bCs/>
                      <w:color w:val="000000" w:themeColor="text1"/>
                      <w:kern w:val="0"/>
                      <w:sz w:val="20"/>
                      <w:u w:val="none"/>
                      <w14:textFill>
                        <w14:solidFill>
                          <w14:schemeClr w14:val="tx1"/>
                        </w14:solidFill>
                      </w14:textFill>
                    </w:rPr>
                  </w:pPr>
                  <w:r>
                    <w:rPr>
                      <w:rFonts w:hint="eastAsia" w:ascii="宋体" w:hAnsi="宋体" w:cs="宋体"/>
                      <w:bCs/>
                      <w:color w:val="000000" w:themeColor="text1"/>
                      <w:kern w:val="0"/>
                      <w:sz w:val="20"/>
                      <w:u w:val="none"/>
                      <w:lang w:val="en-US" w:eastAsia="zh-CN"/>
                      <w14:textFill>
                        <w14:solidFill>
                          <w14:schemeClr w14:val="tx1"/>
                        </w14:solidFill>
                      </w14:textFill>
                    </w:rPr>
                    <w:t>中等风化</w:t>
                  </w:r>
                </w:p>
              </w:tc>
              <w:tc>
                <w:tcPr>
                  <w:tcW w:w="851" w:type="dxa"/>
                  <w:vAlign w:val="center"/>
                </w:tcPr>
                <w:p w14:paraId="08CAA10F">
                  <w:pPr>
                    <w:widowControl/>
                    <w:spacing w:line="240" w:lineRule="auto"/>
                    <w:jc w:val="center"/>
                    <w:rPr>
                      <w:rFonts w:hint="eastAsia" w:ascii="宋体" w:hAnsi="宋体" w:eastAsia="宋体" w:cs="宋体"/>
                      <w:color w:val="FF0000"/>
                      <w:kern w:val="0"/>
                      <w:szCs w:val="21"/>
                      <w:u w:val="none"/>
                      <w:lang w:eastAsia="zh-CN"/>
                    </w:rPr>
                  </w:pPr>
                  <w:r>
                    <w:rPr>
                      <w:rFonts w:hint="default" w:ascii="宋体" w:hAnsi="宋体" w:eastAsia="宋体" w:cs="宋体"/>
                      <w:color w:val="000000" w:themeColor="text1"/>
                      <w:kern w:val="0"/>
                      <w:sz w:val="20"/>
                      <w:szCs w:val="21"/>
                      <w:u w:val="none"/>
                      <w:lang w:val="en-US" w:eastAsia="zh-CN" w:bidi="ar-SA"/>
                      <w14:textFill>
                        <w14:solidFill>
                          <w14:schemeClr w14:val="tx1"/>
                        </w14:solidFill>
                      </w14:textFill>
                    </w:rPr>
                    <w:t>出露地层主要为石炭系粉砂岩、</w:t>
                  </w:r>
                  <w:r>
                    <w:rPr>
                      <w:rFonts w:hint="eastAsia" w:ascii="宋体" w:hAnsi="宋体" w:cs="宋体"/>
                      <w:color w:val="000000" w:themeColor="text1"/>
                      <w:kern w:val="0"/>
                      <w:sz w:val="20"/>
                      <w:szCs w:val="21"/>
                      <w:u w:val="none"/>
                      <w:lang w:val="en-US" w:eastAsia="zh-CN" w:bidi="ar-SA"/>
                      <w14:textFill>
                        <w14:solidFill>
                          <w14:schemeClr w14:val="tx1"/>
                        </w14:solidFill>
                      </w14:textFill>
                    </w:rPr>
                    <w:t>板</w:t>
                  </w:r>
                  <w:r>
                    <w:rPr>
                      <w:rFonts w:hint="default" w:ascii="宋体" w:hAnsi="宋体" w:eastAsia="宋体" w:cs="宋体"/>
                      <w:color w:val="000000" w:themeColor="text1"/>
                      <w:kern w:val="0"/>
                      <w:sz w:val="20"/>
                      <w:szCs w:val="21"/>
                      <w:u w:val="none"/>
                      <w:lang w:val="en-US" w:eastAsia="zh-CN" w:bidi="ar-SA"/>
                      <w14:textFill>
                        <w14:solidFill>
                          <w14:schemeClr w14:val="tx1"/>
                        </w14:solidFill>
                      </w14:textFill>
                    </w:rPr>
                    <w:t>岩</w:t>
                  </w:r>
                </w:p>
              </w:tc>
              <w:tc>
                <w:tcPr>
                  <w:tcW w:w="547" w:type="dxa"/>
                  <w:vAlign w:val="center"/>
                </w:tcPr>
                <w:p w14:paraId="0BF43FE9">
                  <w:pPr>
                    <w:pStyle w:val="23"/>
                    <w:keepNext w:val="0"/>
                    <w:keepLines w:val="0"/>
                    <w:widowControl/>
                    <w:suppressLineNumbers w:val="0"/>
                    <w:adjustRightInd w:val="0"/>
                    <w:snapToGrid w:val="0"/>
                    <w:spacing w:line="240" w:lineRule="auto"/>
                    <w:ind w:left="0" w:leftChars="0" w:firstLine="0" w:firstLineChars="0"/>
                    <w:jc w:val="center"/>
                    <w:rPr>
                      <w:rFonts w:hint="default" w:ascii="宋体" w:hAnsi="宋体" w:eastAsia="宋体" w:cs="宋体"/>
                      <w:color w:val="FF0000"/>
                      <w:kern w:val="0"/>
                      <w:szCs w:val="21"/>
                      <w:u w:val="none"/>
                      <w:lang w:val="en-US" w:eastAsia="zh-CN"/>
                    </w:rPr>
                  </w:pPr>
                  <w:r>
                    <w:rPr>
                      <w:rFonts w:hint="eastAsia" w:ascii="Times New Roman" w:hAnsi="Calibri" w:eastAsia="Times New Roman" w:cs="Times New Roman"/>
                      <w:b w:val="0"/>
                      <w:bCs/>
                      <w:color w:val="auto"/>
                      <w:spacing w:val="-4"/>
                      <w:kern w:val="0"/>
                      <w:sz w:val="21"/>
                      <w:szCs w:val="22"/>
                      <w:u w:val="none"/>
                      <w:lang w:val="en-US" w:eastAsia="zh-CN" w:bidi="ar-SA"/>
                    </w:rPr>
                    <w:t>1078.8</w:t>
                  </w:r>
                </w:p>
              </w:tc>
              <w:tc>
                <w:tcPr>
                  <w:tcW w:w="745" w:type="dxa"/>
                  <w:vAlign w:val="center"/>
                </w:tcPr>
                <w:p w14:paraId="48D911FE">
                  <w:pPr>
                    <w:widowControl/>
                    <w:spacing w:line="240" w:lineRule="auto"/>
                    <w:jc w:val="center"/>
                    <w:rPr>
                      <w:rFonts w:hint="default" w:ascii="Times New Roman" w:hAnsi="Times New Roman" w:eastAsia="宋体" w:cs="Times New Roman"/>
                      <w:color w:val="000000" w:themeColor="text1"/>
                      <w:kern w:val="0"/>
                      <w:sz w:val="20"/>
                      <w:szCs w:val="21"/>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0"/>
                      <w:szCs w:val="21"/>
                      <w:u w:val="none"/>
                      <w:lang w:val="en-US" w:eastAsia="zh-CN" w:bidi="ar-SA"/>
                      <w14:textFill>
                        <w14:solidFill>
                          <w14:schemeClr w14:val="tx1"/>
                        </w14:solidFill>
                      </w14:textFill>
                    </w:rPr>
                    <w:t>22.5，山地</w:t>
                  </w:r>
                </w:p>
              </w:tc>
            </w:tr>
            <w:tr w14:paraId="52825D8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 w:hRule="atLeast"/>
                <w:jc w:val="center"/>
              </w:trPr>
              <w:tc>
                <w:tcPr>
                  <w:tcW w:w="512" w:type="dxa"/>
                  <w:vAlign w:val="center"/>
                </w:tcPr>
                <w:p w14:paraId="2FD2A924">
                  <w:pPr>
                    <w:keepNext w:val="0"/>
                    <w:keepLines w:val="0"/>
                    <w:widowControl/>
                    <w:suppressLineNumbers w:val="0"/>
                    <w:adjustRightInd w:val="0"/>
                    <w:snapToGrid w:val="0"/>
                    <w:spacing w:line="240" w:lineRule="auto"/>
                    <w:ind w:left="0" w:leftChars="0" w:firstLine="0" w:firstLineChars="0"/>
                    <w:jc w:val="center"/>
                    <w:rPr>
                      <w:rFonts w:hint="default" w:ascii="Times New Roman" w:hAnsi="Times New Roman" w:eastAsia="宋体" w:cs="Times New Roman"/>
                      <w:color w:val="000000" w:themeColor="text1"/>
                      <w:kern w:val="0"/>
                      <w:sz w:val="20"/>
                      <w:szCs w:val="21"/>
                      <w:u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20"/>
                      <w:szCs w:val="21"/>
                      <w:u w:val="none"/>
                      <w:lang w:val="en-US" w:eastAsia="zh-CN" w:bidi="ar-SA"/>
                      <w14:textFill>
                        <w14:solidFill>
                          <w14:schemeClr w14:val="tx1"/>
                        </w14:solidFill>
                      </w14:textFill>
                    </w:rPr>
                    <w:t>TPS</w:t>
                  </w:r>
                  <w:r>
                    <w:rPr>
                      <w:rFonts w:hint="eastAsia" w:cs="Times New Roman"/>
                      <w:color w:val="000000" w:themeColor="text1"/>
                      <w:kern w:val="0"/>
                      <w:sz w:val="20"/>
                      <w:szCs w:val="21"/>
                      <w:u w:val="none"/>
                      <w:lang w:val="en-US" w:eastAsia="zh-CN" w:bidi="ar-SA"/>
                      <w14:textFill>
                        <w14:solidFill>
                          <w14:schemeClr w14:val="tx1"/>
                        </w14:solidFill>
                      </w14:textFill>
                    </w:rPr>
                    <w:t>7</w:t>
                  </w:r>
                </w:p>
              </w:tc>
              <w:tc>
                <w:tcPr>
                  <w:tcW w:w="1386" w:type="dxa"/>
                  <w:vAlign w:val="center"/>
                </w:tcPr>
                <w:p w14:paraId="5303396E">
                  <w:pPr>
                    <w:pStyle w:val="104"/>
                    <w:jc w:val="left"/>
                    <w:rPr>
                      <w:rFonts w:ascii="宋体" w:hAnsi="宋体" w:cs="宋体"/>
                      <w:color w:val="000000" w:themeColor="text1"/>
                      <w:kern w:val="0"/>
                      <w:sz w:val="20"/>
                      <w:u w:val="none"/>
                      <w14:textFill>
                        <w14:solidFill>
                          <w14:schemeClr w14:val="tx1"/>
                        </w14:solidFill>
                      </w14:textFill>
                    </w:rPr>
                  </w:pPr>
                  <w:r>
                    <w:rPr>
                      <w:rFonts w:hint="eastAsia" w:ascii="宋体" w:hAnsi="宋体" w:cs="宋体"/>
                      <w:color w:val="000000" w:themeColor="text1"/>
                      <w:kern w:val="0"/>
                      <w:sz w:val="20"/>
                      <w:u w:val="none"/>
                      <w14:textFill>
                        <w14:solidFill>
                          <w14:schemeClr w14:val="tx1"/>
                        </w14:solidFill>
                      </w14:textFill>
                    </w:rPr>
                    <w:t>该区域土地利用类型以林地为主，植被灌丛和灌草丛为主，常见的群系白茅灌草丛、</w:t>
                  </w:r>
                  <w:r>
                    <w:rPr>
                      <w:rFonts w:hint="eastAsia"/>
                      <w:color w:val="000000" w:themeColor="text1"/>
                      <w:kern w:val="0"/>
                      <w:sz w:val="20"/>
                      <w:u w:val="none"/>
                      <w14:textFill>
                        <w14:solidFill>
                          <w14:schemeClr w14:val="tx1"/>
                        </w14:solidFill>
                      </w14:textFill>
                    </w:rPr>
                    <w:t>卫矛</w:t>
                  </w:r>
                  <w:r>
                    <w:rPr>
                      <w:rFonts w:hint="eastAsia" w:ascii="宋体" w:hAnsi="宋体" w:cs="宋体"/>
                      <w:color w:val="000000" w:themeColor="text1"/>
                      <w:kern w:val="0"/>
                      <w:sz w:val="20"/>
                      <w:u w:val="none"/>
                      <w14:textFill>
                        <w14:solidFill>
                          <w14:schemeClr w14:val="tx1"/>
                        </w14:solidFill>
                      </w14:textFill>
                    </w:rPr>
                    <w:t>灌草丛等。</w:t>
                  </w:r>
                </w:p>
              </w:tc>
              <w:tc>
                <w:tcPr>
                  <w:tcW w:w="1181" w:type="dxa"/>
                  <w:vAlign w:val="center"/>
                </w:tcPr>
                <w:p w14:paraId="7684342A">
                  <w:pPr>
                    <w:pStyle w:val="104"/>
                    <w:jc w:val="left"/>
                    <w:rPr>
                      <w:rFonts w:hint="default" w:ascii="Times New Roman" w:hAnsi="Times New Roman" w:cs="Times New Roman"/>
                      <w:color w:val="000000" w:themeColor="text1"/>
                      <w:kern w:val="0"/>
                      <w:sz w:val="20"/>
                      <w:u w:val="none"/>
                      <w14:textFill>
                        <w14:solidFill>
                          <w14:schemeClr w14:val="tx1"/>
                        </w14:solidFill>
                      </w14:textFill>
                    </w:rPr>
                  </w:pPr>
                  <w:r>
                    <w:rPr>
                      <w:rFonts w:hint="default" w:ascii="Times New Roman" w:hAnsi="Times New Roman" w:cs="Times New Roman"/>
                      <w:color w:val="000000" w:themeColor="text1"/>
                      <w:kern w:val="0"/>
                      <w:sz w:val="20"/>
                      <w:u w:val="none"/>
                      <w14:textFill>
                        <w14:solidFill>
                          <w14:schemeClr w14:val="tx1"/>
                        </w14:solidFill>
                      </w14:textFill>
                    </w:rPr>
                    <w:t>分布于该区域的野生动物主要有大山雀等，还有少量的黄鼬、猪獾等。</w:t>
                  </w:r>
                </w:p>
              </w:tc>
              <w:tc>
                <w:tcPr>
                  <w:tcW w:w="642" w:type="dxa"/>
                  <w:vAlign w:val="center"/>
                </w:tcPr>
                <w:p w14:paraId="160182F5">
                  <w:pPr>
                    <w:pStyle w:val="104"/>
                    <w:jc w:val="left"/>
                    <w:rPr>
                      <w:rFonts w:hint="default" w:ascii="Times New Roman" w:hAnsi="Times New Roman" w:cs="Times New Roman"/>
                      <w:color w:val="000000" w:themeColor="text1"/>
                      <w:kern w:val="0"/>
                      <w:sz w:val="20"/>
                      <w:u w:val="none"/>
                      <w14:textFill>
                        <w14:solidFill>
                          <w14:schemeClr w14:val="tx1"/>
                        </w14:solidFill>
                      </w14:textFill>
                    </w:rPr>
                  </w:pPr>
                  <w:r>
                    <w:rPr>
                      <w:rFonts w:hint="default" w:ascii="Times New Roman" w:hAnsi="Times New Roman" w:cs="Times New Roman"/>
                      <w:color w:val="000000" w:themeColor="text1"/>
                      <w:kern w:val="0"/>
                      <w:sz w:val="20"/>
                      <w:u w:val="none"/>
                      <w:lang w:val="en-US" w:eastAsia="zh-CN"/>
                      <w14:textFill>
                        <w14:solidFill>
                          <w14:schemeClr w14:val="tx1"/>
                        </w14:solidFill>
                      </w14:textFill>
                    </w:rPr>
                    <w:t>2</w:t>
                  </w:r>
                  <w:r>
                    <w:rPr>
                      <w:rFonts w:hint="eastAsia" w:cs="Times New Roman"/>
                      <w:color w:val="000000" w:themeColor="text1"/>
                      <w:kern w:val="0"/>
                      <w:sz w:val="20"/>
                      <w:u w:val="none"/>
                      <w:lang w:val="en-US" w:eastAsia="zh-CN"/>
                      <w14:textFill>
                        <w14:solidFill>
                          <w14:schemeClr w14:val="tx1"/>
                        </w14:solidFill>
                      </w14:textFill>
                    </w:rPr>
                    <w:t>7.1</w:t>
                  </w:r>
                  <w:r>
                    <w:rPr>
                      <w:rFonts w:hint="default" w:ascii="Times New Roman" w:hAnsi="Times New Roman" w:cs="Times New Roman"/>
                      <w:color w:val="000000" w:themeColor="text1"/>
                      <w:kern w:val="0"/>
                      <w:sz w:val="20"/>
                      <w:u w:val="none"/>
                      <w:lang w:val="en-US" w:eastAsia="zh-CN"/>
                      <w14:textFill>
                        <w14:solidFill>
                          <w14:schemeClr w14:val="tx1"/>
                        </w14:solidFill>
                      </w14:textFill>
                    </w:rPr>
                    <w:t>7m</w:t>
                  </w:r>
                  <w:r>
                    <w:rPr>
                      <w:rFonts w:hint="default" w:ascii="Times New Roman" w:hAnsi="Times New Roman" w:cs="Times New Roman"/>
                      <w:color w:val="000000" w:themeColor="text1"/>
                      <w:kern w:val="0"/>
                      <w:sz w:val="20"/>
                      <w:u w:val="none"/>
                      <w:vertAlign w:val="superscript"/>
                      <w:lang w:val="en-US" w:eastAsia="zh-CN"/>
                      <w14:textFill>
                        <w14:solidFill>
                          <w14:schemeClr w14:val="tx1"/>
                        </w14:solidFill>
                      </w14:textFill>
                    </w:rPr>
                    <w:t>3</w:t>
                  </w:r>
                  <w:r>
                    <w:rPr>
                      <w:rFonts w:hint="default" w:ascii="Times New Roman" w:hAnsi="Times New Roman" w:cs="Times New Roman"/>
                      <w:color w:val="000000" w:themeColor="text1"/>
                      <w:kern w:val="0"/>
                      <w:sz w:val="20"/>
                      <w:u w:val="none"/>
                      <w:lang w:val="en-US" w:eastAsia="zh-CN"/>
                      <w14:textFill>
                        <w14:solidFill>
                          <w14:schemeClr w14:val="tx1"/>
                        </w14:solidFill>
                      </w14:textFill>
                    </w:rPr>
                    <w:t>/hm</w:t>
                  </w:r>
                  <w:r>
                    <w:rPr>
                      <w:rFonts w:hint="default" w:ascii="Times New Roman" w:hAnsi="Times New Roman" w:cs="Times New Roman"/>
                      <w:color w:val="000000" w:themeColor="text1"/>
                      <w:kern w:val="0"/>
                      <w:sz w:val="20"/>
                      <w:u w:val="none"/>
                      <w:vertAlign w:val="superscript"/>
                      <w:lang w:val="en-US" w:eastAsia="zh-CN"/>
                      <w14:textFill>
                        <w14:solidFill>
                          <w14:schemeClr w14:val="tx1"/>
                        </w14:solidFill>
                      </w14:textFill>
                    </w:rPr>
                    <w:t>2</w:t>
                  </w:r>
                </w:p>
              </w:tc>
              <w:tc>
                <w:tcPr>
                  <w:tcW w:w="785" w:type="dxa"/>
                  <w:vAlign w:val="center"/>
                </w:tcPr>
                <w:p w14:paraId="09C17627">
                  <w:pPr>
                    <w:spacing w:line="240" w:lineRule="auto"/>
                    <w:jc w:val="left"/>
                    <w:rPr>
                      <w:rFonts w:hint="eastAsia" w:ascii="宋体" w:hAnsi="宋体" w:cs="宋体"/>
                      <w:bCs/>
                      <w:color w:val="000000" w:themeColor="text1"/>
                      <w:kern w:val="0"/>
                      <w:sz w:val="20"/>
                      <w:u w:val="none"/>
                      <w14:textFill>
                        <w14:solidFill>
                          <w14:schemeClr w14:val="tx1"/>
                        </w14:solidFill>
                      </w14:textFill>
                    </w:rPr>
                  </w:pPr>
                  <w:r>
                    <w:rPr>
                      <w:rFonts w:hint="eastAsia" w:ascii="宋体" w:hAnsi="宋体" w:cs="宋体"/>
                      <w:bCs/>
                      <w:color w:val="000000" w:themeColor="text1"/>
                      <w:kern w:val="0"/>
                      <w:sz w:val="20"/>
                      <w:u w:val="none"/>
                      <w14:textFill>
                        <w14:solidFill>
                          <w14:schemeClr w14:val="tx1"/>
                        </w14:solidFill>
                      </w14:textFill>
                    </w:rPr>
                    <w:t>微度脆弱</w:t>
                  </w:r>
                </w:p>
              </w:tc>
              <w:tc>
                <w:tcPr>
                  <w:tcW w:w="923" w:type="dxa"/>
                  <w:vAlign w:val="center"/>
                </w:tcPr>
                <w:p w14:paraId="15047866">
                  <w:pPr>
                    <w:spacing w:line="240" w:lineRule="auto"/>
                    <w:jc w:val="center"/>
                    <w:rPr>
                      <w:rFonts w:hint="eastAsia" w:ascii="宋体" w:hAnsi="宋体" w:cs="宋体"/>
                      <w:bCs/>
                      <w:color w:val="000000" w:themeColor="text1"/>
                      <w:kern w:val="0"/>
                      <w:sz w:val="20"/>
                      <w:u w:val="none"/>
                      <w14:textFill>
                        <w14:solidFill>
                          <w14:schemeClr w14:val="tx1"/>
                        </w14:solidFill>
                      </w14:textFill>
                    </w:rPr>
                  </w:pPr>
                  <w:r>
                    <w:rPr>
                      <w:rFonts w:hint="eastAsia" w:ascii="宋体" w:hAnsi="宋体" w:cs="宋体"/>
                      <w:bCs/>
                      <w:color w:val="000000" w:themeColor="text1"/>
                      <w:kern w:val="0"/>
                      <w:sz w:val="20"/>
                      <w:u w:val="none"/>
                      <w:lang w:val="en-US" w:eastAsia="zh-CN"/>
                      <w14:textFill>
                        <w14:solidFill>
                          <w14:schemeClr w14:val="tx1"/>
                        </w14:solidFill>
                      </w14:textFill>
                    </w:rPr>
                    <w:t>中等风化</w:t>
                  </w:r>
                </w:p>
              </w:tc>
              <w:tc>
                <w:tcPr>
                  <w:tcW w:w="851" w:type="dxa"/>
                  <w:vAlign w:val="center"/>
                </w:tcPr>
                <w:p w14:paraId="58DF0407">
                  <w:pPr>
                    <w:widowControl/>
                    <w:spacing w:line="240" w:lineRule="auto"/>
                    <w:jc w:val="center"/>
                    <w:rPr>
                      <w:rFonts w:hint="eastAsia" w:ascii="宋体" w:hAnsi="宋体" w:eastAsia="宋体" w:cs="宋体"/>
                      <w:color w:val="FF0000"/>
                      <w:kern w:val="0"/>
                      <w:szCs w:val="21"/>
                      <w:u w:val="none"/>
                      <w:lang w:eastAsia="zh-CN"/>
                    </w:rPr>
                  </w:pPr>
                  <w:r>
                    <w:rPr>
                      <w:rFonts w:hint="default" w:ascii="宋体" w:hAnsi="宋体" w:eastAsia="宋体" w:cs="宋体"/>
                      <w:color w:val="000000" w:themeColor="text1"/>
                      <w:kern w:val="0"/>
                      <w:sz w:val="20"/>
                      <w:szCs w:val="21"/>
                      <w:u w:val="none"/>
                      <w:lang w:val="en-US" w:eastAsia="zh-CN" w:bidi="ar-SA"/>
                      <w14:textFill>
                        <w14:solidFill>
                          <w14:schemeClr w14:val="tx1"/>
                        </w14:solidFill>
                      </w14:textFill>
                    </w:rPr>
                    <w:t>出露地层主要为石炭系粉砂岩、</w:t>
                  </w:r>
                  <w:r>
                    <w:rPr>
                      <w:rFonts w:hint="eastAsia" w:ascii="宋体" w:hAnsi="宋体" w:cs="宋体"/>
                      <w:color w:val="000000" w:themeColor="text1"/>
                      <w:kern w:val="0"/>
                      <w:sz w:val="20"/>
                      <w:szCs w:val="21"/>
                      <w:u w:val="none"/>
                      <w:lang w:val="en-US" w:eastAsia="zh-CN" w:bidi="ar-SA"/>
                      <w14:textFill>
                        <w14:solidFill>
                          <w14:schemeClr w14:val="tx1"/>
                        </w14:solidFill>
                      </w14:textFill>
                    </w:rPr>
                    <w:t>板</w:t>
                  </w:r>
                  <w:r>
                    <w:rPr>
                      <w:rFonts w:hint="default" w:ascii="宋体" w:hAnsi="宋体" w:eastAsia="宋体" w:cs="宋体"/>
                      <w:color w:val="000000" w:themeColor="text1"/>
                      <w:kern w:val="0"/>
                      <w:sz w:val="20"/>
                      <w:szCs w:val="21"/>
                      <w:u w:val="none"/>
                      <w:lang w:val="en-US" w:eastAsia="zh-CN" w:bidi="ar-SA"/>
                      <w14:textFill>
                        <w14:solidFill>
                          <w14:schemeClr w14:val="tx1"/>
                        </w14:solidFill>
                      </w14:textFill>
                    </w:rPr>
                    <w:t>岩</w:t>
                  </w:r>
                </w:p>
              </w:tc>
              <w:tc>
                <w:tcPr>
                  <w:tcW w:w="547" w:type="dxa"/>
                  <w:vAlign w:val="center"/>
                </w:tcPr>
                <w:p w14:paraId="094996E0">
                  <w:pPr>
                    <w:pStyle w:val="23"/>
                    <w:keepNext w:val="0"/>
                    <w:keepLines w:val="0"/>
                    <w:widowControl/>
                    <w:suppressLineNumbers w:val="0"/>
                    <w:adjustRightInd w:val="0"/>
                    <w:snapToGrid w:val="0"/>
                    <w:spacing w:line="240" w:lineRule="auto"/>
                    <w:ind w:left="0" w:leftChars="0" w:firstLine="0" w:firstLineChars="0"/>
                    <w:jc w:val="center"/>
                    <w:rPr>
                      <w:rFonts w:hint="default" w:ascii="宋体" w:hAnsi="宋体" w:eastAsia="宋体" w:cs="宋体"/>
                      <w:color w:val="FF0000"/>
                      <w:kern w:val="0"/>
                      <w:szCs w:val="21"/>
                      <w:u w:val="none"/>
                      <w:lang w:val="en-US" w:eastAsia="zh-CN"/>
                    </w:rPr>
                  </w:pPr>
                  <w:r>
                    <w:rPr>
                      <w:rFonts w:hint="eastAsia" w:ascii="Times New Roman" w:hAnsi="Calibri" w:eastAsia="Times New Roman" w:cs="Times New Roman"/>
                      <w:b w:val="0"/>
                      <w:bCs/>
                      <w:color w:val="auto"/>
                      <w:spacing w:val="-4"/>
                      <w:kern w:val="0"/>
                      <w:sz w:val="21"/>
                      <w:szCs w:val="22"/>
                      <w:u w:val="none"/>
                      <w:lang w:val="en-US" w:eastAsia="zh-CN" w:bidi="ar-SA"/>
                    </w:rPr>
                    <w:t>1073</w:t>
                  </w:r>
                </w:p>
              </w:tc>
              <w:tc>
                <w:tcPr>
                  <w:tcW w:w="745" w:type="dxa"/>
                  <w:vAlign w:val="center"/>
                </w:tcPr>
                <w:p w14:paraId="27CD6F93">
                  <w:pPr>
                    <w:widowControl/>
                    <w:spacing w:line="240" w:lineRule="auto"/>
                    <w:jc w:val="center"/>
                    <w:rPr>
                      <w:rFonts w:hint="default" w:ascii="Times New Roman" w:hAnsi="Times New Roman" w:eastAsia="宋体" w:cs="Times New Roman"/>
                      <w:color w:val="000000" w:themeColor="text1"/>
                      <w:kern w:val="0"/>
                      <w:sz w:val="20"/>
                      <w:szCs w:val="21"/>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0"/>
                      <w:szCs w:val="21"/>
                      <w:u w:val="none"/>
                      <w:lang w:val="en-US" w:eastAsia="zh-CN" w:bidi="ar-SA"/>
                      <w14:textFill>
                        <w14:solidFill>
                          <w14:schemeClr w14:val="tx1"/>
                        </w14:solidFill>
                      </w14:textFill>
                    </w:rPr>
                    <w:t>23.1，山地</w:t>
                  </w:r>
                </w:p>
              </w:tc>
            </w:tr>
            <w:tr w14:paraId="620E3BA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23" w:hRule="atLeast"/>
                <w:jc w:val="center"/>
              </w:trPr>
              <w:tc>
                <w:tcPr>
                  <w:tcW w:w="512" w:type="dxa"/>
                  <w:vAlign w:val="center"/>
                </w:tcPr>
                <w:p w14:paraId="376630DD">
                  <w:pPr>
                    <w:keepNext w:val="0"/>
                    <w:keepLines w:val="0"/>
                    <w:widowControl/>
                    <w:suppressLineNumbers w:val="0"/>
                    <w:adjustRightInd w:val="0"/>
                    <w:snapToGrid w:val="0"/>
                    <w:spacing w:line="240" w:lineRule="auto"/>
                    <w:ind w:left="0" w:leftChars="0" w:firstLine="0" w:firstLineChars="0"/>
                    <w:jc w:val="center"/>
                    <w:rPr>
                      <w:rFonts w:hint="default" w:ascii="Times New Roman" w:hAnsi="Times New Roman" w:eastAsia="宋体" w:cs="Times New Roman"/>
                      <w:color w:val="000000" w:themeColor="text1"/>
                      <w:kern w:val="0"/>
                      <w:sz w:val="20"/>
                      <w:szCs w:val="21"/>
                      <w:u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20"/>
                      <w:szCs w:val="21"/>
                      <w:u w:val="none"/>
                      <w:lang w:val="en-US" w:eastAsia="zh-CN" w:bidi="ar-SA"/>
                      <w14:textFill>
                        <w14:solidFill>
                          <w14:schemeClr w14:val="tx1"/>
                        </w14:solidFill>
                      </w14:textFill>
                    </w:rPr>
                    <w:t>TPS</w:t>
                  </w:r>
                  <w:r>
                    <w:rPr>
                      <w:rFonts w:hint="eastAsia" w:cs="Times New Roman"/>
                      <w:color w:val="000000" w:themeColor="text1"/>
                      <w:kern w:val="0"/>
                      <w:sz w:val="20"/>
                      <w:szCs w:val="21"/>
                      <w:u w:val="none"/>
                      <w:lang w:val="en-US" w:eastAsia="zh-CN" w:bidi="ar-SA"/>
                      <w14:textFill>
                        <w14:solidFill>
                          <w14:schemeClr w14:val="tx1"/>
                        </w14:solidFill>
                      </w14:textFill>
                    </w:rPr>
                    <w:t>8</w:t>
                  </w:r>
                </w:p>
              </w:tc>
              <w:tc>
                <w:tcPr>
                  <w:tcW w:w="1386" w:type="dxa"/>
                  <w:vAlign w:val="center"/>
                </w:tcPr>
                <w:p w14:paraId="2D3D6253">
                  <w:pPr>
                    <w:pStyle w:val="104"/>
                    <w:jc w:val="left"/>
                    <w:rPr>
                      <w:rFonts w:ascii="宋体" w:hAnsi="宋体" w:cs="宋体"/>
                      <w:color w:val="000000" w:themeColor="text1"/>
                      <w:kern w:val="0"/>
                      <w:sz w:val="20"/>
                      <w:u w:val="none"/>
                      <w14:textFill>
                        <w14:solidFill>
                          <w14:schemeClr w14:val="tx1"/>
                        </w14:solidFill>
                      </w14:textFill>
                    </w:rPr>
                  </w:pPr>
                  <w:r>
                    <w:rPr>
                      <w:rFonts w:hint="eastAsia" w:ascii="Times New Roman" w:hAnsi="Times New Roman" w:cs="Times New Roman"/>
                      <w:color w:val="000000" w:themeColor="text1"/>
                      <w:kern w:val="0"/>
                      <w:sz w:val="20"/>
                      <w:u w:val="none"/>
                      <w14:textFill>
                        <w14:solidFill>
                          <w14:schemeClr w14:val="tx1"/>
                        </w14:solidFill>
                      </w14:textFill>
                    </w:rPr>
                    <w:t>植被以杉木林组成的针叶林为主，</w:t>
                  </w:r>
                  <w:r>
                    <w:rPr>
                      <w:rFonts w:hint="eastAsia" w:ascii="宋体" w:hAnsi="宋体" w:cs="宋体"/>
                      <w:color w:val="000000" w:themeColor="text1"/>
                      <w:kern w:val="0"/>
                      <w:sz w:val="20"/>
                      <w:u w:val="none"/>
                      <w14:textFill>
                        <w14:solidFill>
                          <w14:schemeClr w14:val="tx1"/>
                        </w14:solidFill>
                      </w14:textFill>
                    </w:rPr>
                    <w:t>植被灌丛和灌草丛为主，常见的群系白茅灌草丛、</w:t>
                  </w:r>
                  <w:r>
                    <w:rPr>
                      <w:rFonts w:hint="eastAsia"/>
                      <w:color w:val="000000" w:themeColor="text1"/>
                      <w:kern w:val="0"/>
                      <w:sz w:val="20"/>
                      <w:u w:val="none"/>
                      <w14:textFill>
                        <w14:solidFill>
                          <w14:schemeClr w14:val="tx1"/>
                        </w14:solidFill>
                      </w14:textFill>
                    </w:rPr>
                    <w:t>卫矛</w:t>
                  </w:r>
                  <w:r>
                    <w:rPr>
                      <w:rFonts w:hint="eastAsia" w:ascii="宋体" w:hAnsi="宋体" w:cs="宋体"/>
                      <w:color w:val="000000" w:themeColor="text1"/>
                      <w:kern w:val="0"/>
                      <w:sz w:val="20"/>
                      <w:u w:val="none"/>
                      <w14:textFill>
                        <w14:solidFill>
                          <w14:schemeClr w14:val="tx1"/>
                        </w14:solidFill>
                      </w14:textFill>
                    </w:rPr>
                    <w:t>灌草丛等</w:t>
                  </w:r>
                  <w:r>
                    <w:rPr>
                      <w:rFonts w:hint="eastAsia" w:ascii="Times New Roman" w:hAnsi="Times New Roman" w:cs="Times New Roman"/>
                      <w:color w:val="000000" w:themeColor="text1"/>
                      <w:kern w:val="0"/>
                      <w:sz w:val="20"/>
                      <w:u w:val="none"/>
                      <w14:textFill>
                        <w14:solidFill>
                          <w14:schemeClr w14:val="tx1"/>
                        </w14:solidFill>
                      </w14:textFill>
                    </w:rPr>
                    <w:t>。</w:t>
                  </w:r>
                </w:p>
              </w:tc>
              <w:tc>
                <w:tcPr>
                  <w:tcW w:w="1181" w:type="dxa"/>
                  <w:vAlign w:val="center"/>
                </w:tcPr>
                <w:p w14:paraId="5EA97BCA">
                  <w:pPr>
                    <w:pStyle w:val="104"/>
                    <w:jc w:val="left"/>
                    <w:rPr>
                      <w:rFonts w:ascii="宋体" w:hAnsi="宋体" w:cs="宋体"/>
                      <w:color w:val="000000" w:themeColor="text1"/>
                      <w:kern w:val="0"/>
                      <w:sz w:val="20"/>
                      <w:u w:val="none"/>
                      <w14:textFill>
                        <w14:solidFill>
                          <w14:schemeClr w14:val="tx1"/>
                        </w14:solidFill>
                      </w14:textFill>
                    </w:rPr>
                  </w:pPr>
                  <w:r>
                    <w:rPr>
                      <w:rFonts w:hint="default" w:ascii="Times New Roman" w:hAnsi="Times New Roman" w:cs="Times New Roman"/>
                      <w:color w:val="000000" w:themeColor="text1"/>
                      <w:kern w:val="0"/>
                      <w:sz w:val="20"/>
                      <w:u w:val="none"/>
                      <w14:textFill>
                        <w14:solidFill>
                          <w14:schemeClr w14:val="tx1"/>
                        </w14:solidFill>
                      </w14:textFill>
                    </w:rPr>
                    <w:t>分布于该区域的野生动物主要有大山雀、黄腹山雀等，还有少量的中国石龙子、铜蜓蜥等。</w:t>
                  </w:r>
                </w:p>
              </w:tc>
              <w:tc>
                <w:tcPr>
                  <w:tcW w:w="642" w:type="dxa"/>
                  <w:vAlign w:val="center"/>
                </w:tcPr>
                <w:p w14:paraId="6A0E6CF8">
                  <w:pPr>
                    <w:pStyle w:val="104"/>
                    <w:keepNext w:val="0"/>
                    <w:keepLines w:val="0"/>
                    <w:widowControl/>
                    <w:suppressLineNumbers w:val="0"/>
                    <w:jc w:val="left"/>
                    <w:rPr>
                      <w:rFonts w:hint="eastAsia" w:ascii="宋体" w:hAnsi="宋体" w:cs="宋体"/>
                      <w:bCs/>
                      <w:color w:val="000000" w:themeColor="text1"/>
                      <w:kern w:val="0"/>
                      <w:sz w:val="20"/>
                      <w:u w:val="none"/>
                      <w14:textFill>
                        <w14:solidFill>
                          <w14:schemeClr w14:val="tx1"/>
                        </w14:solidFill>
                      </w14:textFill>
                    </w:rPr>
                  </w:pPr>
                  <w:r>
                    <w:rPr>
                      <w:rFonts w:hint="default" w:ascii="Times New Roman" w:hAnsi="Times New Roman" w:cs="Times New Roman"/>
                      <w:color w:val="000000" w:themeColor="text1"/>
                      <w:kern w:val="0"/>
                      <w:sz w:val="20"/>
                      <w:u w:val="none"/>
                      <w:lang w:val="en-US" w:eastAsia="zh-CN"/>
                      <w14:textFill>
                        <w14:solidFill>
                          <w14:schemeClr w14:val="tx1"/>
                        </w14:solidFill>
                      </w14:textFill>
                    </w:rPr>
                    <w:t>2</w:t>
                  </w:r>
                  <w:r>
                    <w:rPr>
                      <w:rFonts w:hint="eastAsia" w:cs="Times New Roman"/>
                      <w:color w:val="000000" w:themeColor="text1"/>
                      <w:kern w:val="0"/>
                      <w:sz w:val="20"/>
                      <w:u w:val="none"/>
                      <w:lang w:val="en-US" w:eastAsia="zh-CN"/>
                      <w14:textFill>
                        <w14:solidFill>
                          <w14:schemeClr w14:val="tx1"/>
                        </w14:solidFill>
                      </w14:textFill>
                    </w:rPr>
                    <w:t>4.5</w:t>
                  </w:r>
                  <w:r>
                    <w:rPr>
                      <w:rFonts w:hint="default" w:ascii="Times New Roman" w:hAnsi="Times New Roman" w:cs="Times New Roman"/>
                      <w:color w:val="000000" w:themeColor="text1"/>
                      <w:kern w:val="0"/>
                      <w:sz w:val="20"/>
                      <w:u w:val="none"/>
                      <w:lang w:val="en-US" w:eastAsia="zh-CN"/>
                      <w14:textFill>
                        <w14:solidFill>
                          <w14:schemeClr w14:val="tx1"/>
                        </w14:solidFill>
                      </w14:textFill>
                    </w:rPr>
                    <w:t>m</w:t>
                  </w:r>
                  <w:r>
                    <w:rPr>
                      <w:rFonts w:hint="default" w:ascii="Times New Roman" w:hAnsi="Times New Roman" w:cs="Times New Roman"/>
                      <w:color w:val="000000" w:themeColor="text1"/>
                      <w:kern w:val="0"/>
                      <w:sz w:val="20"/>
                      <w:u w:val="none"/>
                      <w:vertAlign w:val="superscript"/>
                      <w:lang w:val="en-US" w:eastAsia="zh-CN"/>
                      <w14:textFill>
                        <w14:solidFill>
                          <w14:schemeClr w14:val="tx1"/>
                        </w14:solidFill>
                      </w14:textFill>
                    </w:rPr>
                    <w:t>3</w:t>
                  </w:r>
                  <w:r>
                    <w:rPr>
                      <w:rFonts w:hint="default" w:ascii="Times New Roman" w:hAnsi="Times New Roman" w:cs="Times New Roman"/>
                      <w:color w:val="000000" w:themeColor="text1"/>
                      <w:kern w:val="0"/>
                      <w:sz w:val="20"/>
                      <w:u w:val="none"/>
                      <w:lang w:val="en-US" w:eastAsia="zh-CN"/>
                      <w14:textFill>
                        <w14:solidFill>
                          <w14:schemeClr w14:val="tx1"/>
                        </w14:solidFill>
                      </w14:textFill>
                    </w:rPr>
                    <w:t>/hm</w:t>
                  </w:r>
                  <w:r>
                    <w:rPr>
                      <w:rFonts w:hint="default" w:ascii="Times New Roman" w:hAnsi="Times New Roman" w:cs="Times New Roman"/>
                      <w:color w:val="000000" w:themeColor="text1"/>
                      <w:kern w:val="0"/>
                      <w:sz w:val="20"/>
                      <w:u w:val="none"/>
                      <w:vertAlign w:val="superscript"/>
                      <w:lang w:val="en-US" w:eastAsia="zh-CN"/>
                      <w14:textFill>
                        <w14:solidFill>
                          <w14:schemeClr w14:val="tx1"/>
                        </w14:solidFill>
                      </w14:textFill>
                    </w:rPr>
                    <w:t>2</w:t>
                  </w:r>
                </w:p>
              </w:tc>
              <w:tc>
                <w:tcPr>
                  <w:tcW w:w="785" w:type="dxa"/>
                  <w:vAlign w:val="center"/>
                </w:tcPr>
                <w:p w14:paraId="302A6313">
                  <w:pPr>
                    <w:spacing w:line="240" w:lineRule="auto"/>
                    <w:jc w:val="left"/>
                    <w:rPr>
                      <w:rFonts w:hint="eastAsia" w:ascii="宋体" w:hAnsi="宋体" w:cs="宋体"/>
                      <w:bCs/>
                      <w:color w:val="000000" w:themeColor="text1"/>
                      <w:kern w:val="0"/>
                      <w:sz w:val="20"/>
                      <w:u w:val="none"/>
                      <w14:textFill>
                        <w14:solidFill>
                          <w14:schemeClr w14:val="tx1"/>
                        </w14:solidFill>
                      </w14:textFill>
                    </w:rPr>
                  </w:pPr>
                  <w:r>
                    <w:rPr>
                      <w:rFonts w:hint="eastAsia" w:ascii="宋体" w:hAnsi="宋体" w:cs="宋体"/>
                      <w:bCs/>
                      <w:color w:val="000000" w:themeColor="text1"/>
                      <w:kern w:val="0"/>
                      <w:sz w:val="20"/>
                      <w:u w:val="none"/>
                      <w14:textFill>
                        <w14:solidFill>
                          <w14:schemeClr w14:val="tx1"/>
                        </w14:solidFill>
                      </w14:textFill>
                    </w:rPr>
                    <w:t>微度脆弱</w:t>
                  </w:r>
                </w:p>
              </w:tc>
              <w:tc>
                <w:tcPr>
                  <w:tcW w:w="923" w:type="dxa"/>
                  <w:vAlign w:val="center"/>
                </w:tcPr>
                <w:p w14:paraId="49ACDA8F">
                  <w:pPr>
                    <w:spacing w:line="240" w:lineRule="auto"/>
                    <w:jc w:val="center"/>
                    <w:rPr>
                      <w:rFonts w:hint="eastAsia" w:ascii="宋体" w:hAnsi="宋体" w:cs="宋体"/>
                      <w:bCs/>
                      <w:color w:val="000000" w:themeColor="text1"/>
                      <w:kern w:val="0"/>
                      <w:sz w:val="20"/>
                      <w:u w:val="none"/>
                      <w14:textFill>
                        <w14:solidFill>
                          <w14:schemeClr w14:val="tx1"/>
                        </w14:solidFill>
                      </w14:textFill>
                    </w:rPr>
                  </w:pPr>
                  <w:r>
                    <w:rPr>
                      <w:rFonts w:hint="eastAsia" w:ascii="宋体" w:hAnsi="宋体" w:cs="宋体"/>
                      <w:bCs/>
                      <w:color w:val="000000" w:themeColor="text1"/>
                      <w:kern w:val="0"/>
                      <w:sz w:val="20"/>
                      <w:u w:val="none"/>
                      <w:lang w:val="en-US" w:eastAsia="zh-CN"/>
                      <w14:textFill>
                        <w14:solidFill>
                          <w14:schemeClr w14:val="tx1"/>
                        </w14:solidFill>
                      </w14:textFill>
                    </w:rPr>
                    <w:t>中等风化</w:t>
                  </w:r>
                </w:p>
              </w:tc>
              <w:tc>
                <w:tcPr>
                  <w:tcW w:w="851" w:type="dxa"/>
                  <w:vAlign w:val="center"/>
                </w:tcPr>
                <w:p w14:paraId="68B06360">
                  <w:pPr>
                    <w:widowControl/>
                    <w:spacing w:line="240" w:lineRule="auto"/>
                    <w:jc w:val="center"/>
                    <w:rPr>
                      <w:rFonts w:hint="eastAsia" w:ascii="宋体" w:hAnsi="宋体" w:eastAsia="宋体" w:cs="宋体"/>
                      <w:color w:val="FF0000"/>
                      <w:kern w:val="0"/>
                      <w:szCs w:val="21"/>
                      <w:u w:val="none"/>
                      <w:lang w:eastAsia="zh-CN"/>
                    </w:rPr>
                  </w:pPr>
                  <w:r>
                    <w:rPr>
                      <w:rFonts w:hint="default" w:ascii="宋体" w:hAnsi="宋体" w:eastAsia="宋体" w:cs="宋体"/>
                      <w:color w:val="000000" w:themeColor="text1"/>
                      <w:kern w:val="0"/>
                      <w:sz w:val="20"/>
                      <w:szCs w:val="21"/>
                      <w:u w:val="none"/>
                      <w:lang w:val="en-US" w:eastAsia="zh-CN" w:bidi="ar-SA"/>
                      <w14:textFill>
                        <w14:solidFill>
                          <w14:schemeClr w14:val="tx1"/>
                        </w14:solidFill>
                      </w14:textFill>
                    </w:rPr>
                    <w:t>出露地层主要为石炭系粉砂岩、</w:t>
                  </w:r>
                  <w:r>
                    <w:rPr>
                      <w:rFonts w:hint="eastAsia" w:ascii="宋体" w:hAnsi="宋体" w:cs="宋体"/>
                      <w:color w:val="000000" w:themeColor="text1"/>
                      <w:kern w:val="0"/>
                      <w:sz w:val="20"/>
                      <w:szCs w:val="21"/>
                      <w:u w:val="none"/>
                      <w:lang w:val="en-US" w:eastAsia="zh-CN" w:bidi="ar-SA"/>
                      <w14:textFill>
                        <w14:solidFill>
                          <w14:schemeClr w14:val="tx1"/>
                        </w14:solidFill>
                      </w14:textFill>
                    </w:rPr>
                    <w:t>板</w:t>
                  </w:r>
                  <w:r>
                    <w:rPr>
                      <w:rFonts w:hint="default" w:ascii="宋体" w:hAnsi="宋体" w:eastAsia="宋体" w:cs="宋体"/>
                      <w:color w:val="000000" w:themeColor="text1"/>
                      <w:kern w:val="0"/>
                      <w:sz w:val="20"/>
                      <w:szCs w:val="21"/>
                      <w:u w:val="none"/>
                      <w:lang w:val="en-US" w:eastAsia="zh-CN" w:bidi="ar-SA"/>
                      <w14:textFill>
                        <w14:solidFill>
                          <w14:schemeClr w14:val="tx1"/>
                        </w14:solidFill>
                      </w14:textFill>
                    </w:rPr>
                    <w:t>岩</w:t>
                  </w:r>
                </w:p>
              </w:tc>
              <w:tc>
                <w:tcPr>
                  <w:tcW w:w="547" w:type="dxa"/>
                  <w:vAlign w:val="center"/>
                </w:tcPr>
                <w:p w14:paraId="2807C37D">
                  <w:pPr>
                    <w:pStyle w:val="23"/>
                    <w:keepNext w:val="0"/>
                    <w:keepLines w:val="0"/>
                    <w:widowControl/>
                    <w:suppressLineNumbers w:val="0"/>
                    <w:adjustRightInd w:val="0"/>
                    <w:snapToGrid w:val="0"/>
                    <w:spacing w:line="240" w:lineRule="auto"/>
                    <w:ind w:left="0" w:leftChars="0" w:firstLine="0" w:firstLineChars="0"/>
                    <w:jc w:val="center"/>
                    <w:rPr>
                      <w:rFonts w:hint="default" w:ascii="宋体" w:hAnsi="宋体" w:eastAsia="宋体" w:cs="宋体"/>
                      <w:color w:val="FF0000"/>
                      <w:kern w:val="0"/>
                      <w:szCs w:val="21"/>
                      <w:u w:val="none"/>
                      <w:lang w:val="en-US" w:eastAsia="zh-CN"/>
                    </w:rPr>
                  </w:pPr>
                  <w:r>
                    <w:rPr>
                      <w:rFonts w:hint="eastAsia" w:ascii="Times New Roman" w:hAnsi="Calibri" w:eastAsia="Times New Roman" w:cs="Times New Roman"/>
                      <w:b w:val="0"/>
                      <w:bCs/>
                      <w:color w:val="auto"/>
                      <w:spacing w:val="-4"/>
                      <w:kern w:val="0"/>
                      <w:sz w:val="21"/>
                      <w:szCs w:val="22"/>
                      <w:u w:val="none"/>
                      <w:lang w:val="en-US" w:eastAsia="zh-CN" w:bidi="ar-SA"/>
                    </w:rPr>
                    <w:t>1197.4</w:t>
                  </w:r>
                </w:p>
              </w:tc>
              <w:tc>
                <w:tcPr>
                  <w:tcW w:w="745" w:type="dxa"/>
                  <w:vAlign w:val="center"/>
                </w:tcPr>
                <w:p w14:paraId="3493D89A">
                  <w:pPr>
                    <w:widowControl/>
                    <w:spacing w:line="240" w:lineRule="auto"/>
                    <w:jc w:val="center"/>
                    <w:rPr>
                      <w:rFonts w:hint="default" w:ascii="Times New Roman" w:hAnsi="Times New Roman" w:eastAsia="宋体" w:cs="Times New Roman"/>
                      <w:color w:val="000000" w:themeColor="text1"/>
                      <w:kern w:val="0"/>
                      <w:sz w:val="20"/>
                      <w:szCs w:val="21"/>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0"/>
                      <w:szCs w:val="21"/>
                      <w:u w:val="none"/>
                      <w:lang w:val="en-US" w:eastAsia="zh-CN" w:bidi="ar-SA"/>
                      <w14:textFill>
                        <w14:solidFill>
                          <w14:schemeClr w14:val="tx1"/>
                        </w14:solidFill>
                      </w14:textFill>
                    </w:rPr>
                    <w:t>2</w:t>
                  </w:r>
                  <w:r>
                    <w:rPr>
                      <w:rFonts w:hint="eastAsia" w:cs="Times New Roman"/>
                      <w:color w:val="000000" w:themeColor="text1"/>
                      <w:kern w:val="0"/>
                      <w:sz w:val="20"/>
                      <w:szCs w:val="21"/>
                      <w:u w:val="none"/>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0"/>
                      <w:szCs w:val="21"/>
                      <w:u w:val="none"/>
                      <w:lang w:val="en-US" w:eastAsia="zh-CN" w:bidi="ar-SA"/>
                      <w14:textFill>
                        <w14:solidFill>
                          <w14:schemeClr w14:val="tx1"/>
                        </w14:solidFill>
                      </w14:textFill>
                    </w:rPr>
                    <w:t>.9，山地</w:t>
                  </w:r>
                </w:p>
              </w:tc>
            </w:tr>
            <w:tr w14:paraId="0A3AA9B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 w:hRule="atLeast"/>
                <w:jc w:val="center"/>
              </w:trPr>
              <w:tc>
                <w:tcPr>
                  <w:tcW w:w="512" w:type="dxa"/>
                  <w:vAlign w:val="center"/>
                </w:tcPr>
                <w:p w14:paraId="446A1029">
                  <w:pPr>
                    <w:keepNext w:val="0"/>
                    <w:keepLines w:val="0"/>
                    <w:widowControl/>
                    <w:suppressLineNumbers w:val="0"/>
                    <w:adjustRightInd w:val="0"/>
                    <w:snapToGrid w:val="0"/>
                    <w:spacing w:line="240" w:lineRule="auto"/>
                    <w:ind w:left="0" w:leftChars="0" w:firstLine="0" w:firstLineChars="0"/>
                    <w:jc w:val="center"/>
                    <w:rPr>
                      <w:rFonts w:hint="eastAsia" w:ascii="Times New Roman" w:hAnsi="Times New Roman" w:eastAsia="宋体" w:cs="Times New Roman"/>
                      <w:color w:val="000000" w:themeColor="text1"/>
                      <w:kern w:val="0"/>
                      <w:sz w:val="20"/>
                      <w:szCs w:val="21"/>
                      <w:u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20"/>
                      <w:szCs w:val="21"/>
                      <w:u w:val="none"/>
                      <w:lang w:val="en-US" w:eastAsia="zh-CN" w:bidi="ar-SA"/>
                      <w14:textFill>
                        <w14:solidFill>
                          <w14:schemeClr w14:val="tx1"/>
                        </w14:solidFill>
                      </w14:textFill>
                    </w:rPr>
                    <w:t>TPS</w:t>
                  </w:r>
                  <w:r>
                    <w:rPr>
                      <w:rFonts w:hint="eastAsia" w:cs="Times New Roman"/>
                      <w:color w:val="000000" w:themeColor="text1"/>
                      <w:kern w:val="0"/>
                      <w:sz w:val="20"/>
                      <w:szCs w:val="21"/>
                      <w:u w:val="none"/>
                      <w:lang w:val="en-US" w:eastAsia="zh-CN" w:bidi="ar-SA"/>
                      <w14:textFill>
                        <w14:solidFill>
                          <w14:schemeClr w14:val="tx1"/>
                        </w14:solidFill>
                      </w14:textFill>
                    </w:rPr>
                    <w:t>9</w:t>
                  </w:r>
                </w:p>
              </w:tc>
              <w:tc>
                <w:tcPr>
                  <w:tcW w:w="1386" w:type="dxa"/>
                  <w:vAlign w:val="center"/>
                </w:tcPr>
                <w:p w14:paraId="7260D48E">
                  <w:pPr>
                    <w:pStyle w:val="104"/>
                    <w:jc w:val="left"/>
                    <w:rPr>
                      <w:rFonts w:hint="eastAsia" w:ascii="宋体" w:hAnsi="宋体" w:cs="宋体"/>
                      <w:color w:val="000000" w:themeColor="text1"/>
                      <w:kern w:val="0"/>
                      <w:sz w:val="20"/>
                      <w:u w:val="none"/>
                      <w14:textFill>
                        <w14:solidFill>
                          <w14:schemeClr w14:val="tx1"/>
                        </w14:solidFill>
                      </w14:textFill>
                    </w:rPr>
                  </w:pPr>
                  <w:r>
                    <w:rPr>
                      <w:rFonts w:hint="eastAsia" w:ascii="宋体" w:hAnsi="宋体" w:cs="宋体"/>
                      <w:color w:val="000000" w:themeColor="text1"/>
                      <w:kern w:val="0"/>
                      <w:sz w:val="20"/>
                      <w:u w:val="none"/>
                      <w14:textFill>
                        <w14:solidFill>
                          <w14:schemeClr w14:val="tx1"/>
                        </w14:solidFill>
                      </w14:textFill>
                    </w:rPr>
                    <w:t>该区域土地利用类型以林地为主，植被灌丛和灌草丛为主，其他植物常见的有紫萁、五节芒、卫矛、芒萁等。</w:t>
                  </w:r>
                </w:p>
              </w:tc>
              <w:tc>
                <w:tcPr>
                  <w:tcW w:w="1181" w:type="dxa"/>
                  <w:vAlign w:val="center"/>
                </w:tcPr>
                <w:p w14:paraId="01B820F6">
                  <w:pPr>
                    <w:pStyle w:val="104"/>
                    <w:jc w:val="left"/>
                    <w:rPr>
                      <w:rFonts w:hint="eastAsia" w:ascii="宋体" w:hAnsi="宋体" w:cs="宋体"/>
                      <w:bCs/>
                      <w:color w:val="000000" w:themeColor="text1"/>
                      <w:kern w:val="0"/>
                      <w:sz w:val="20"/>
                      <w:u w:val="none"/>
                      <w14:textFill>
                        <w14:solidFill>
                          <w14:schemeClr w14:val="tx1"/>
                        </w14:solidFill>
                      </w14:textFill>
                    </w:rPr>
                  </w:pPr>
                  <w:r>
                    <w:rPr>
                      <w:rFonts w:hint="default" w:ascii="Times New Roman" w:hAnsi="Times New Roman" w:cs="Times New Roman"/>
                      <w:color w:val="000000" w:themeColor="text1"/>
                      <w:kern w:val="0"/>
                      <w:sz w:val="20"/>
                      <w:u w:val="none"/>
                      <w14:textFill>
                        <w14:solidFill>
                          <w14:schemeClr w14:val="tx1"/>
                        </w14:solidFill>
                      </w14:textFill>
                    </w:rPr>
                    <w:t>分布于该区域的野生动物主要有大山雀等，还有少量的黄鼬、猪獾等。</w:t>
                  </w:r>
                </w:p>
              </w:tc>
              <w:tc>
                <w:tcPr>
                  <w:tcW w:w="642" w:type="dxa"/>
                  <w:vAlign w:val="center"/>
                </w:tcPr>
                <w:p w14:paraId="294BB368">
                  <w:pPr>
                    <w:pStyle w:val="104"/>
                    <w:keepNext w:val="0"/>
                    <w:keepLines w:val="0"/>
                    <w:widowControl/>
                    <w:suppressLineNumbers w:val="0"/>
                    <w:jc w:val="left"/>
                    <w:rPr>
                      <w:rFonts w:hint="eastAsia" w:ascii="Times New Roman" w:hAnsi="Times New Roman" w:eastAsia="宋体" w:cs="Times New Roman"/>
                      <w:color w:val="000000"/>
                      <w:kern w:val="0"/>
                      <w:sz w:val="20"/>
                      <w:szCs w:val="20"/>
                      <w:u w:val="none"/>
                      <w:lang w:val="en-US" w:eastAsia="zh-CN" w:bidi="ar"/>
                    </w:rPr>
                  </w:pPr>
                  <w:r>
                    <w:rPr>
                      <w:rFonts w:hint="eastAsia" w:cs="Times New Roman"/>
                      <w:color w:val="000000" w:themeColor="text1"/>
                      <w:kern w:val="0"/>
                      <w:sz w:val="20"/>
                      <w:u w:val="none"/>
                      <w:lang w:val="en-US" w:eastAsia="zh-CN"/>
                      <w14:textFill>
                        <w14:solidFill>
                          <w14:schemeClr w14:val="tx1"/>
                        </w14:solidFill>
                      </w14:textFill>
                    </w:rPr>
                    <w:t>17.6</w:t>
                  </w:r>
                  <w:r>
                    <w:rPr>
                      <w:rFonts w:hint="default" w:ascii="Times New Roman" w:hAnsi="Times New Roman" w:cs="Times New Roman"/>
                      <w:color w:val="000000" w:themeColor="text1"/>
                      <w:kern w:val="0"/>
                      <w:sz w:val="20"/>
                      <w:u w:val="none"/>
                      <w:lang w:val="en-US" w:eastAsia="zh-CN"/>
                      <w14:textFill>
                        <w14:solidFill>
                          <w14:schemeClr w14:val="tx1"/>
                        </w14:solidFill>
                      </w14:textFill>
                    </w:rPr>
                    <w:t>7m</w:t>
                  </w:r>
                  <w:r>
                    <w:rPr>
                      <w:rFonts w:hint="default" w:ascii="Times New Roman" w:hAnsi="Times New Roman" w:cs="Times New Roman"/>
                      <w:color w:val="000000" w:themeColor="text1"/>
                      <w:kern w:val="0"/>
                      <w:sz w:val="20"/>
                      <w:u w:val="none"/>
                      <w:vertAlign w:val="superscript"/>
                      <w:lang w:val="en-US" w:eastAsia="zh-CN"/>
                      <w14:textFill>
                        <w14:solidFill>
                          <w14:schemeClr w14:val="tx1"/>
                        </w14:solidFill>
                      </w14:textFill>
                    </w:rPr>
                    <w:t>3</w:t>
                  </w:r>
                  <w:r>
                    <w:rPr>
                      <w:rFonts w:hint="default" w:ascii="Times New Roman" w:hAnsi="Times New Roman" w:cs="Times New Roman"/>
                      <w:color w:val="000000" w:themeColor="text1"/>
                      <w:kern w:val="0"/>
                      <w:sz w:val="20"/>
                      <w:u w:val="none"/>
                      <w:lang w:val="en-US" w:eastAsia="zh-CN"/>
                      <w14:textFill>
                        <w14:solidFill>
                          <w14:schemeClr w14:val="tx1"/>
                        </w14:solidFill>
                      </w14:textFill>
                    </w:rPr>
                    <w:t>/hm</w:t>
                  </w:r>
                  <w:r>
                    <w:rPr>
                      <w:rFonts w:hint="default" w:ascii="Times New Roman" w:hAnsi="Times New Roman" w:cs="Times New Roman"/>
                      <w:color w:val="000000" w:themeColor="text1"/>
                      <w:kern w:val="0"/>
                      <w:sz w:val="20"/>
                      <w:u w:val="none"/>
                      <w:vertAlign w:val="superscript"/>
                      <w:lang w:val="en-US" w:eastAsia="zh-CN"/>
                      <w14:textFill>
                        <w14:solidFill>
                          <w14:schemeClr w14:val="tx1"/>
                        </w14:solidFill>
                      </w14:textFill>
                    </w:rPr>
                    <w:t>2</w:t>
                  </w:r>
                </w:p>
              </w:tc>
              <w:tc>
                <w:tcPr>
                  <w:tcW w:w="785" w:type="dxa"/>
                  <w:vAlign w:val="center"/>
                </w:tcPr>
                <w:p w14:paraId="0D6C094A">
                  <w:pPr>
                    <w:pStyle w:val="104"/>
                    <w:spacing w:line="240" w:lineRule="auto"/>
                    <w:jc w:val="left"/>
                    <w:rPr>
                      <w:rFonts w:hint="eastAsia" w:ascii="宋体" w:hAnsi="宋体" w:cs="宋体"/>
                      <w:bCs/>
                      <w:color w:val="000000" w:themeColor="text1"/>
                      <w:kern w:val="0"/>
                      <w:sz w:val="20"/>
                      <w:u w:val="none"/>
                      <w14:textFill>
                        <w14:solidFill>
                          <w14:schemeClr w14:val="tx1"/>
                        </w14:solidFill>
                      </w14:textFill>
                    </w:rPr>
                  </w:pPr>
                  <w:r>
                    <w:rPr>
                      <w:rFonts w:hint="eastAsia" w:ascii="宋体" w:hAnsi="宋体" w:cs="宋体"/>
                      <w:bCs/>
                      <w:color w:val="000000" w:themeColor="text1"/>
                      <w:kern w:val="0"/>
                      <w:sz w:val="20"/>
                      <w:u w:val="none"/>
                      <w14:textFill>
                        <w14:solidFill>
                          <w14:schemeClr w14:val="tx1"/>
                        </w14:solidFill>
                      </w14:textFill>
                    </w:rPr>
                    <w:t>微度脆弱</w:t>
                  </w:r>
                </w:p>
              </w:tc>
              <w:tc>
                <w:tcPr>
                  <w:tcW w:w="923" w:type="dxa"/>
                  <w:vAlign w:val="center"/>
                </w:tcPr>
                <w:p w14:paraId="6B462CF9">
                  <w:pPr>
                    <w:pStyle w:val="104"/>
                    <w:jc w:val="left"/>
                    <w:rPr>
                      <w:rFonts w:hint="eastAsia" w:ascii="宋体" w:hAnsi="宋体" w:cs="宋体"/>
                      <w:bCs/>
                      <w:color w:val="000000" w:themeColor="text1"/>
                      <w:kern w:val="0"/>
                      <w:sz w:val="20"/>
                      <w:u w:val="none"/>
                      <w:lang w:val="en-US" w:eastAsia="zh-CN"/>
                      <w14:textFill>
                        <w14:solidFill>
                          <w14:schemeClr w14:val="tx1"/>
                        </w14:solidFill>
                      </w14:textFill>
                    </w:rPr>
                  </w:pPr>
                  <w:r>
                    <w:rPr>
                      <w:rFonts w:hint="eastAsia" w:ascii="宋体" w:hAnsi="宋体" w:cs="宋体"/>
                      <w:bCs/>
                      <w:color w:val="000000" w:themeColor="text1"/>
                      <w:kern w:val="0"/>
                      <w:sz w:val="20"/>
                      <w:u w:val="none"/>
                      <w:lang w:val="en-US" w:eastAsia="zh-CN"/>
                      <w14:textFill>
                        <w14:solidFill>
                          <w14:schemeClr w14:val="tx1"/>
                        </w14:solidFill>
                      </w14:textFill>
                    </w:rPr>
                    <w:t>中等风化</w:t>
                  </w:r>
                </w:p>
              </w:tc>
              <w:tc>
                <w:tcPr>
                  <w:tcW w:w="851" w:type="dxa"/>
                  <w:vAlign w:val="center"/>
                </w:tcPr>
                <w:p w14:paraId="2C3F572C">
                  <w:pPr>
                    <w:widowControl/>
                    <w:spacing w:line="240" w:lineRule="auto"/>
                    <w:jc w:val="center"/>
                    <w:rPr>
                      <w:rFonts w:hint="default" w:ascii="宋体" w:hAnsi="宋体" w:eastAsia="宋体" w:cs="宋体"/>
                      <w:color w:val="000000" w:themeColor="text1"/>
                      <w:kern w:val="0"/>
                      <w:sz w:val="20"/>
                      <w:szCs w:val="21"/>
                      <w:u w:val="none"/>
                      <w:lang w:val="en-US" w:eastAsia="zh-CN" w:bidi="ar-SA"/>
                      <w14:textFill>
                        <w14:solidFill>
                          <w14:schemeClr w14:val="tx1"/>
                        </w14:solidFill>
                      </w14:textFill>
                    </w:rPr>
                  </w:pPr>
                  <w:r>
                    <w:rPr>
                      <w:rFonts w:hint="default" w:ascii="宋体" w:hAnsi="宋体" w:eastAsia="宋体" w:cs="宋体"/>
                      <w:color w:val="000000" w:themeColor="text1"/>
                      <w:kern w:val="0"/>
                      <w:sz w:val="20"/>
                      <w:szCs w:val="21"/>
                      <w:u w:val="none"/>
                      <w:lang w:val="en-US" w:eastAsia="zh-CN" w:bidi="ar-SA"/>
                      <w14:textFill>
                        <w14:solidFill>
                          <w14:schemeClr w14:val="tx1"/>
                        </w14:solidFill>
                      </w14:textFill>
                    </w:rPr>
                    <w:t>出露地层主要为石炭系粉砂岩、</w:t>
                  </w:r>
                  <w:r>
                    <w:rPr>
                      <w:rFonts w:hint="eastAsia" w:ascii="宋体" w:hAnsi="宋体" w:cs="宋体"/>
                      <w:color w:val="000000" w:themeColor="text1"/>
                      <w:kern w:val="0"/>
                      <w:sz w:val="20"/>
                      <w:szCs w:val="21"/>
                      <w:u w:val="none"/>
                      <w:lang w:val="en-US" w:eastAsia="zh-CN" w:bidi="ar-SA"/>
                      <w14:textFill>
                        <w14:solidFill>
                          <w14:schemeClr w14:val="tx1"/>
                        </w14:solidFill>
                      </w14:textFill>
                    </w:rPr>
                    <w:t>板</w:t>
                  </w:r>
                  <w:r>
                    <w:rPr>
                      <w:rFonts w:hint="default" w:ascii="宋体" w:hAnsi="宋体" w:eastAsia="宋体" w:cs="宋体"/>
                      <w:color w:val="000000" w:themeColor="text1"/>
                      <w:kern w:val="0"/>
                      <w:sz w:val="20"/>
                      <w:szCs w:val="21"/>
                      <w:u w:val="none"/>
                      <w:lang w:val="en-US" w:eastAsia="zh-CN" w:bidi="ar-SA"/>
                      <w14:textFill>
                        <w14:solidFill>
                          <w14:schemeClr w14:val="tx1"/>
                        </w14:solidFill>
                      </w14:textFill>
                    </w:rPr>
                    <w:t>岩</w:t>
                  </w:r>
                </w:p>
              </w:tc>
              <w:tc>
                <w:tcPr>
                  <w:tcW w:w="547" w:type="dxa"/>
                  <w:vAlign w:val="center"/>
                </w:tcPr>
                <w:p w14:paraId="34772113">
                  <w:pPr>
                    <w:pStyle w:val="23"/>
                    <w:keepNext w:val="0"/>
                    <w:keepLines w:val="0"/>
                    <w:widowControl/>
                    <w:suppressLineNumbers w:val="0"/>
                    <w:adjustRightInd w:val="0"/>
                    <w:snapToGrid w:val="0"/>
                    <w:spacing w:line="240" w:lineRule="auto"/>
                    <w:ind w:left="0" w:leftChars="0" w:firstLine="0" w:firstLineChars="0"/>
                    <w:jc w:val="center"/>
                    <w:rPr>
                      <w:rFonts w:hint="eastAsia" w:ascii="宋体" w:hAnsi="宋体" w:eastAsia="宋体" w:cs="宋体"/>
                      <w:color w:val="FF0000"/>
                      <w:kern w:val="0"/>
                      <w:szCs w:val="21"/>
                      <w:u w:val="none"/>
                      <w:lang w:eastAsia="zh-CN"/>
                    </w:rPr>
                  </w:pPr>
                  <w:r>
                    <w:rPr>
                      <w:rFonts w:hint="eastAsia" w:ascii="Times New Roman" w:hAnsi="Calibri" w:eastAsia="Times New Roman" w:cs="Times New Roman"/>
                      <w:b w:val="0"/>
                      <w:bCs/>
                      <w:color w:val="auto"/>
                      <w:spacing w:val="-4"/>
                      <w:kern w:val="0"/>
                      <w:sz w:val="21"/>
                      <w:szCs w:val="22"/>
                      <w:u w:val="none"/>
                      <w:lang w:val="en-US" w:eastAsia="zh-CN" w:bidi="ar-SA"/>
                    </w:rPr>
                    <w:t>675</w:t>
                  </w:r>
                </w:p>
              </w:tc>
              <w:tc>
                <w:tcPr>
                  <w:tcW w:w="745" w:type="dxa"/>
                  <w:vAlign w:val="center"/>
                </w:tcPr>
                <w:p w14:paraId="4F313FA5">
                  <w:pPr>
                    <w:widowControl/>
                    <w:spacing w:line="240" w:lineRule="auto"/>
                    <w:jc w:val="center"/>
                    <w:rPr>
                      <w:rFonts w:hint="default" w:ascii="Times New Roman" w:hAnsi="Times New Roman" w:eastAsia="宋体" w:cs="Times New Roman"/>
                      <w:color w:val="000000" w:themeColor="text1"/>
                      <w:kern w:val="0"/>
                      <w:sz w:val="20"/>
                      <w:szCs w:val="21"/>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0"/>
                      <w:szCs w:val="21"/>
                      <w:u w:val="none"/>
                      <w:lang w:val="en-US" w:eastAsia="zh-CN" w:bidi="ar-SA"/>
                      <w14:textFill>
                        <w14:solidFill>
                          <w14:schemeClr w14:val="tx1"/>
                        </w14:solidFill>
                      </w14:textFill>
                    </w:rPr>
                    <w:t>2</w:t>
                  </w:r>
                  <w:r>
                    <w:rPr>
                      <w:rFonts w:hint="eastAsia" w:cs="Times New Roman"/>
                      <w:color w:val="000000" w:themeColor="text1"/>
                      <w:kern w:val="0"/>
                      <w:sz w:val="20"/>
                      <w:szCs w:val="21"/>
                      <w:u w:val="none"/>
                      <w:lang w:val="en-US" w:eastAsia="zh-CN" w:bidi="ar-SA"/>
                      <w14:textFill>
                        <w14:solidFill>
                          <w14:schemeClr w14:val="tx1"/>
                        </w14:solidFill>
                      </w14:textFill>
                    </w:rPr>
                    <w:t>4.0</w:t>
                  </w:r>
                  <w:r>
                    <w:rPr>
                      <w:rFonts w:hint="default" w:ascii="Times New Roman" w:hAnsi="Times New Roman" w:eastAsia="宋体" w:cs="Times New Roman"/>
                      <w:color w:val="000000" w:themeColor="text1"/>
                      <w:kern w:val="0"/>
                      <w:sz w:val="20"/>
                      <w:szCs w:val="21"/>
                      <w:u w:val="none"/>
                      <w:lang w:val="en-US" w:eastAsia="zh-CN" w:bidi="ar-SA"/>
                      <w14:textFill>
                        <w14:solidFill>
                          <w14:schemeClr w14:val="tx1"/>
                        </w14:solidFill>
                      </w14:textFill>
                    </w:rPr>
                    <w:t>，山地</w:t>
                  </w:r>
                </w:p>
              </w:tc>
            </w:tr>
            <w:tr w14:paraId="5C85AEC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 w:hRule="atLeast"/>
                <w:jc w:val="center"/>
              </w:trPr>
              <w:tc>
                <w:tcPr>
                  <w:tcW w:w="512" w:type="dxa"/>
                  <w:vAlign w:val="center"/>
                </w:tcPr>
                <w:p w14:paraId="0667F22C">
                  <w:pPr>
                    <w:keepNext w:val="0"/>
                    <w:keepLines w:val="0"/>
                    <w:widowControl/>
                    <w:suppressLineNumbers w:val="0"/>
                    <w:adjustRightInd w:val="0"/>
                    <w:snapToGrid w:val="0"/>
                    <w:spacing w:line="240" w:lineRule="auto"/>
                    <w:ind w:left="0" w:leftChars="0" w:firstLine="0" w:firstLineChars="0"/>
                    <w:jc w:val="center"/>
                    <w:rPr>
                      <w:rFonts w:hint="default" w:ascii="Times New Roman" w:hAnsi="Times New Roman" w:eastAsia="宋体" w:cs="Times New Roman"/>
                      <w:color w:val="000000" w:themeColor="text1"/>
                      <w:kern w:val="0"/>
                      <w:sz w:val="20"/>
                      <w:szCs w:val="21"/>
                      <w:u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20"/>
                      <w:szCs w:val="21"/>
                      <w:u w:val="none"/>
                      <w:lang w:val="en-US" w:eastAsia="zh-CN" w:bidi="ar-SA"/>
                      <w14:textFill>
                        <w14:solidFill>
                          <w14:schemeClr w14:val="tx1"/>
                        </w14:solidFill>
                      </w14:textFill>
                    </w:rPr>
                    <w:t>TPS</w:t>
                  </w:r>
                  <w:r>
                    <w:rPr>
                      <w:rFonts w:hint="default" w:ascii="Times New Roman" w:hAnsi="Times New Roman" w:eastAsia="宋体" w:cs="Times New Roman"/>
                      <w:color w:val="000000" w:themeColor="text1"/>
                      <w:kern w:val="0"/>
                      <w:sz w:val="20"/>
                      <w:szCs w:val="21"/>
                      <w:u w:val="none"/>
                      <w:lang w:val="en-US" w:eastAsia="zh-CN" w:bidi="ar-SA"/>
                      <w14:textFill>
                        <w14:solidFill>
                          <w14:schemeClr w14:val="tx1"/>
                        </w14:solidFill>
                      </w14:textFill>
                    </w:rPr>
                    <w:t>1</w:t>
                  </w:r>
                  <w:r>
                    <w:rPr>
                      <w:rFonts w:hint="eastAsia" w:cs="Times New Roman"/>
                      <w:color w:val="000000" w:themeColor="text1"/>
                      <w:kern w:val="0"/>
                      <w:sz w:val="20"/>
                      <w:szCs w:val="21"/>
                      <w:u w:val="none"/>
                      <w:lang w:val="en-US" w:eastAsia="zh-CN" w:bidi="ar-SA"/>
                      <w14:textFill>
                        <w14:solidFill>
                          <w14:schemeClr w14:val="tx1"/>
                        </w14:solidFill>
                      </w14:textFill>
                    </w:rPr>
                    <w:t>0</w:t>
                  </w:r>
                </w:p>
              </w:tc>
              <w:tc>
                <w:tcPr>
                  <w:tcW w:w="1386" w:type="dxa"/>
                  <w:vAlign w:val="center"/>
                </w:tcPr>
                <w:p w14:paraId="293595A4">
                  <w:pPr>
                    <w:pStyle w:val="104"/>
                    <w:jc w:val="left"/>
                    <w:rPr>
                      <w:rFonts w:hint="eastAsia" w:ascii="宋体" w:hAnsi="宋体" w:cs="宋体"/>
                      <w:color w:val="000000" w:themeColor="text1"/>
                      <w:kern w:val="0"/>
                      <w:sz w:val="20"/>
                      <w:u w:val="none"/>
                      <w14:textFill>
                        <w14:solidFill>
                          <w14:schemeClr w14:val="tx1"/>
                        </w14:solidFill>
                      </w14:textFill>
                    </w:rPr>
                  </w:pPr>
                  <w:r>
                    <w:rPr>
                      <w:rFonts w:hint="default" w:ascii="Times New Roman" w:hAnsi="Times New Roman" w:cs="Times New Roman"/>
                      <w:color w:val="000000" w:themeColor="text1"/>
                      <w:kern w:val="0"/>
                      <w:sz w:val="20"/>
                      <w:u w:val="none"/>
                      <w14:textFill>
                        <w14:solidFill>
                          <w14:schemeClr w14:val="tx1"/>
                        </w14:solidFill>
                      </w14:textFill>
                    </w:rPr>
                    <w:t>平台区域植被以杉木林</w:t>
                  </w:r>
                  <w:r>
                    <w:rPr>
                      <w:rFonts w:hint="eastAsia" w:cs="Times New Roman"/>
                      <w:color w:val="000000" w:themeColor="text1"/>
                      <w:kern w:val="0"/>
                      <w:sz w:val="20"/>
                      <w:u w:val="none"/>
                      <w:lang w:val="en-US" w:eastAsia="zh-CN"/>
                      <w14:textFill>
                        <w14:solidFill>
                          <w14:schemeClr w14:val="tx1"/>
                        </w14:solidFill>
                      </w14:textFill>
                    </w:rPr>
                    <w:t>卫茅</w:t>
                  </w:r>
                  <w:r>
                    <w:rPr>
                      <w:rFonts w:hint="default" w:ascii="Times New Roman" w:hAnsi="Times New Roman" w:cs="Times New Roman"/>
                      <w:color w:val="000000" w:themeColor="text1"/>
                      <w:kern w:val="0"/>
                      <w:sz w:val="20"/>
                      <w:u w:val="none"/>
                      <w14:textFill>
                        <w14:solidFill>
                          <w14:schemeClr w14:val="tx1"/>
                        </w14:solidFill>
                      </w14:textFill>
                    </w:rPr>
                    <w:t>灌丛和五节芒灌丛丛，主要植物种类有杉木林</w:t>
                  </w:r>
                  <w:r>
                    <w:rPr>
                      <w:rFonts w:hint="eastAsia" w:cs="Times New Roman"/>
                      <w:color w:val="000000" w:themeColor="text1"/>
                      <w:kern w:val="0"/>
                      <w:sz w:val="20"/>
                      <w:u w:val="none"/>
                      <w:lang w:eastAsia="zh-CN"/>
                      <w14:textFill>
                        <w14:solidFill>
                          <w14:schemeClr w14:val="tx1"/>
                        </w14:solidFill>
                      </w14:textFill>
                    </w:rPr>
                    <w:t>、卫矛、</w:t>
                  </w:r>
                  <w:r>
                    <w:rPr>
                      <w:rFonts w:hint="default" w:ascii="Times New Roman" w:hAnsi="Times New Roman" w:cs="Times New Roman"/>
                      <w:color w:val="000000" w:themeColor="text1"/>
                      <w:kern w:val="0"/>
                      <w:sz w:val="20"/>
                      <w:u w:val="none"/>
                      <w14:textFill>
                        <w14:solidFill>
                          <w14:schemeClr w14:val="tx1"/>
                        </w14:solidFill>
                      </w14:textFill>
                    </w:rPr>
                    <w:t>五节芒等。</w:t>
                  </w:r>
                </w:p>
              </w:tc>
              <w:tc>
                <w:tcPr>
                  <w:tcW w:w="1181" w:type="dxa"/>
                  <w:vAlign w:val="center"/>
                </w:tcPr>
                <w:p w14:paraId="07B598BE">
                  <w:pPr>
                    <w:pStyle w:val="104"/>
                    <w:jc w:val="left"/>
                    <w:rPr>
                      <w:rFonts w:hint="eastAsia" w:ascii="宋体" w:hAnsi="宋体" w:cs="宋体"/>
                      <w:bCs/>
                      <w:color w:val="000000" w:themeColor="text1"/>
                      <w:kern w:val="0"/>
                      <w:sz w:val="20"/>
                      <w:u w:val="none"/>
                      <w14:textFill>
                        <w14:solidFill>
                          <w14:schemeClr w14:val="tx1"/>
                        </w14:solidFill>
                      </w14:textFill>
                    </w:rPr>
                  </w:pPr>
                  <w:r>
                    <w:rPr>
                      <w:rFonts w:hint="eastAsia" w:ascii="宋体" w:hAnsi="宋体" w:cs="宋体"/>
                      <w:bCs/>
                      <w:color w:val="000000" w:themeColor="text1"/>
                      <w:kern w:val="0"/>
                      <w:sz w:val="20"/>
                      <w:u w:val="none"/>
                      <w14:textFill>
                        <w14:solidFill>
                          <w14:schemeClr w14:val="tx1"/>
                        </w14:solidFill>
                      </w14:textFill>
                    </w:rPr>
                    <w:t>分布于该区域的野生动物主要有杜鹃、山斑鸠等，还有少量的中华竹鼠、华南兔等。</w:t>
                  </w:r>
                </w:p>
              </w:tc>
              <w:tc>
                <w:tcPr>
                  <w:tcW w:w="642" w:type="dxa"/>
                  <w:vAlign w:val="center"/>
                </w:tcPr>
                <w:p w14:paraId="65733C95">
                  <w:pPr>
                    <w:pStyle w:val="104"/>
                    <w:keepNext w:val="0"/>
                    <w:keepLines w:val="0"/>
                    <w:widowControl/>
                    <w:suppressLineNumbers w:val="0"/>
                    <w:jc w:val="left"/>
                    <w:rPr>
                      <w:rFonts w:hint="eastAsia" w:ascii="Times New Roman" w:hAnsi="Times New Roman" w:eastAsia="宋体" w:cs="Times New Roman"/>
                      <w:color w:val="000000"/>
                      <w:kern w:val="0"/>
                      <w:sz w:val="20"/>
                      <w:szCs w:val="20"/>
                      <w:u w:val="none"/>
                      <w:lang w:val="en-US" w:eastAsia="zh-CN" w:bidi="ar"/>
                    </w:rPr>
                  </w:pPr>
                  <w:r>
                    <w:rPr>
                      <w:rFonts w:hint="default" w:ascii="Times New Roman" w:hAnsi="Times New Roman" w:cs="Times New Roman"/>
                      <w:color w:val="000000" w:themeColor="text1"/>
                      <w:kern w:val="0"/>
                      <w:sz w:val="20"/>
                      <w:u w:val="none"/>
                      <w:lang w:val="en-US" w:eastAsia="zh-CN"/>
                      <w14:textFill>
                        <w14:solidFill>
                          <w14:schemeClr w14:val="tx1"/>
                        </w14:solidFill>
                      </w14:textFill>
                    </w:rPr>
                    <w:t>26.7m</w:t>
                  </w:r>
                  <w:r>
                    <w:rPr>
                      <w:rFonts w:hint="default" w:ascii="Times New Roman" w:hAnsi="Times New Roman" w:cs="Times New Roman"/>
                      <w:color w:val="000000" w:themeColor="text1"/>
                      <w:kern w:val="0"/>
                      <w:sz w:val="20"/>
                      <w:u w:val="none"/>
                      <w:vertAlign w:val="superscript"/>
                      <w:lang w:val="en-US" w:eastAsia="zh-CN"/>
                      <w14:textFill>
                        <w14:solidFill>
                          <w14:schemeClr w14:val="tx1"/>
                        </w14:solidFill>
                      </w14:textFill>
                    </w:rPr>
                    <w:t>3</w:t>
                  </w:r>
                  <w:r>
                    <w:rPr>
                      <w:rFonts w:hint="default" w:ascii="Times New Roman" w:hAnsi="Times New Roman" w:cs="Times New Roman"/>
                      <w:color w:val="000000" w:themeColor="text1"/>
                      <w:kern w:val="0"/>
                      <w:sz w:val="20"/>
                      <w:u w:val="none"/>
                      <w:lang w:val="en-US" w:eastAsia="zh-CN"/>
                      <w14:textFill>
                        <w14:solidFill>
                          <w14:schemeClr w14:val="tx1"/>
                        </w14:solidFill>
                      </w14:textFill>
                    </w:rPr>
                    <w:t>/hm</w:t>
                  </w:r>
                  <w:r>
                    <w:rPr>
                      <w:rFonts w:hint="default" w:ascii="Times New Roman" w:hAnsi="Times New Roman" w:cs="Times New Roman"/>
                      <w:color w:val="000000" w:themeColor="text1"/>
                      <w:kern w:val="0"/>
                      <w:sz w:val="20"/>
                      <w:u w:val="none"/>
                      <w:vertAlign w:val="superscript"/>
                      <w:lang w:val="en-US" w:eastAsia="zh-CN"/>
                      <w14:textFill>
                        <w14:solidFill>
                          <w14:schemeClr w14:val="tx1"/>
                        </w14:solidFill>
                      </w14:textFill>
                    </w:rPr>
                    <w:t>2</w:t>
                  </w:r>
                </w:p>
              </w:tc>
              <w:tc>
                <w:tcPr>
                  <w:tcW w:w="785" w:type="dxa"/>
                  <w:vAlign w:val="center"/>
                </w:tcPr>
                <w:p w14:paraId="1A0AE4C5">
                  <w:pPr>
                    <w:spacing w:line="240" w:lineRule="auto"/>
                    <w:jc w:val="left"/>
                    <w:rPr>
                      <w:rFonts w:hint="eastAsia" w:ascii="宋体" w:hAnsi="宋体" w:cs="宋体"/>
                      <w:bCs/>
                      <w:color w:val="000000" w:themeColor="text1"/>
                      <w:kern w:val="0"/>
                      <w:sz w:val="20"/>
                      <w:u w:val="none"/>
                      <w14:textFill>
                        <w14:solidFill>
                          <w14:schemeClr w14:val="tx1"/>
                        </w14:solidFill>
                      </w14:textFill>
                    </w:rPr>
                  </w:pPr>
                  <w:r>
                    <w:rPr>
                      <w:rFonts w:hint="eastAsia" w:ascii="宋体" w:hAnsi="宋体" w:cs="宋体"/>
                      <w:bCs/>
                      <w:color w:val="000000" w:themeColor="text1"/>
                      <w:kern w:val="0"/>
                      <w:sz w:val="20"/>
                      <w:u w:val="none"/>
                      <w14:textFill>
                        <w14:solidFill>
                          <w14:schemeClr w14:val="tx1"/>
                        </w14:solidFill>
                      </w14:textFill>
                    </w:rPr>
                    <w:t>微度脆弱</w:t>
                  </w:r>
                </w:p>
              </w:tc>
              <w:tc>
                <w:tcPr>
                  <w:tcW w:w="923" w:type="dxa"/>
                  <w:vAlign w:val="center"/>
                </w:tcPr>
                <w:p w14:paraId="6614B343">
                  <w:pPr>
                    <w:spacing w:line="240" w:lineRule="auto"/>
                    <w:jc w:val="center"/>
                    <w:rPr>
                      <w:rFonts w:hint="eastAsia" w:ascii="宋体" w:hAnsi="宋体" w:cs="宋体"/>
                      <w:bCs/>
                      <w:color w:val="000000" w:themeColor="text1"/>
                      <w:kern w:val="0"/>
                      <w:sz w:val="20"/>
                      <w:u w:val="none"/>
                      <w:lang w:val="en-US" w:eastAsia="zh-CN"/>
                      <w14:textFill>
                        <w14:solidFill>
                          <w14:schemeClr w14:val="tx1"/>
                        </w14:solidFill>
                      </w14:textFill>
                    </w:rPr>
                  </w:pPr>
                  <w:r>
                    <w:rPr>
                      <w:rFonts w:hint="eastAsia" w:ascii="宋体" w:hAnsi="宋体" w:cs="宋体"/>
                      <w:bCs/>
                      <w:color w:val="000000" w:themeColor="text1"/>
                      <w:kern w:val="0"/>
                      <w:sz w:val="20"/>
                      <w:u w:val="none"/>
                      <w:lang w:val="en-US" w:eastAsia="zh-CN"/>
                      <w14:textFill>
                        <w14:solidFill>
                          <w14:schemeClr w14:val="tx1"/>
                        </w14:solidFill>
                      </w14:textFill>
                    </w:rPr>
                    <w:t>中等风化</w:t>
                  </w:r>
                </w:p>
              </w:tc>
              <w:tc>
                <w:tcPr>
                  <w:tcW w:w="851" w:type="dxa"/>
                  <w:vAlign w:val="center"/>
                </w:tcPr>
                <w:p w14:paraId="48A5BE81">
                  <w:pPr>
                    <w:widowControl/>
                    <w:spacing w:line="240" w:lineRule="auto"/>
                    <w:jc w:val="center"/>
                    <w:rPr>
                      <w:rFonts w:hint="default" w:ascii="宋体" w:hAnsi="宋体" w:eastAsia="宋体" w:cs="宋体"/>
                      <w:color w:val="000000" w:themeColor="text1"/>
                      <w:kern w:val="0"/>
                      <w:sz w:val="20"/>
                      <w:szCs w:val="21"/>
                      <w:u w:val="none"/>
                      <w:lang w:val="en-US" w:eastAsia="zh-CN" w:bidi="ar-SA"/>
                      <w14:textFill>
                        <w14:solidFill>
                          <w14:schemeClr w14:val="tx1"/>
                        </w14:solidFill>
                      </w14:textFill>
                    </w:rPr>
                  </w:pPr>
                  <w:r>
                    <w:rPr>
                      <w:rFonts w:hint="default" w:ascii="宋体" w:hAnsi="宋体" w:eastAsia="宋体" w:cs="宋体"/>
                      <w:color w:val="000000" w:themeColor="text1"/>
                      <w:kern w:val="0"/>
                      <w:sz w:val="20"/>
                      <w:szCs w:val="21"/>
                      <w:u w:val="none"/>
                      <w:lang w:val="en-US" w:eastAsia="zh-CN" w:bidi="ar-SA"/>
                      <w14:textFill>
                        <w14:solidFill>
                          <w14:schemeClr w14:val="tx1"/>
                        </w14:solidFill>
                      </w14:textFill>
                    </w:rPr>
                    <w:t>出露地层主要为石炭系粉砂岩、</w:t>
                  </w:r>
                  <w:r>
                    <w:rPr>
                      <w:rFonts w:hint="eastAsia" w:ascii="宋体" w:hAnsi="宋体" w:cs="宋体"/>
                      <w:color w:val="000000" w:themeColor="text1"/>
                      <w:kern w:val="0"/>
                      <w:sz w:val="20"/>
                      <w:szCs w:val="21"/>
                      <w:u w:val="none"/>
                      <w:lang w:val="en-US" w:eastAsia="zh-CN" w:bidi="ar-SA"/>
                      <w14:textFill>
                        <w14:solidFill>
                          <w14:schemeClr w14:val="tx1"/>
                        </w14:solidFill>
                      </w14:textFill>
                    </w:rPr>
                    <w:t>板</w:t>
                  </w:r>
                  <w:r>
                    <w:rPr>
                      <w:rFonts w:hint="default" w:ascii="宋体" w:hAnsi="宋体" w:eastAsia="宋体" w:cs="宋体"/>
                      <w:color w:val="000000" w:themeColor="text1"/>
                      <w:kern w:val="0"/>
                      <w:sz w:val="20"/>
                      <w:szCs w:val="21"/>
                      <w:u w:val="none"/>
                      <w:lang w:val="en-US" w:eastAsia="zh-CN" w:bidi="ar-SA"/>
                      <w14:textFill>
                        <w14:solidFill>
                          <w14:schemeClr w14:val="tx1"/>
                        </w14:solidFill>
                      </w14:textFill>
                    </w:rPr>
                    <w:t>岩</w:t>
                  </w:r>
                </w:p>
              </w:tc>
              <w:tc>
                <w:tcPr>
                  <w:tcW w:w="547" w:type="dxa"/>
                  <w:vAlign w:val="center"/>
                </w:tcPr>
                <w:p w14:paraId="61591DDA">
                  <w:pPr>
                    <w:pStyle w:val="23"/>
                    <w:keepNext w:val="0"/>
                    <w:keepLines w:val="0"/>
                    <w:widowControl/>
                    <w:suppressLineNumbers w:val="0"/>
                    <w:adjustRightInd w:val="0"/>
                    <w:snapToGrid w:val="0"/>
                    <w:spacing w:line="240" w:lineRule="auto"/>
                    <w:ind w:left="0" w:leftChars="0" w:firstLine="0" w:firstLineChars="0"/>
                    <w:jc w:val="center"/>
                    <w:rPr>
                      <w:rFonts w:hint="default" w:ascii="宋体" w:hAnsi="宋体" w:eastAsia="宋体" w:cs="宋体"/>
                      <w:color w:val="FF0000"/>
                      <w:kern w:val="0"/>
                      <w:szCs w:val="21"/>
                      <w:u w:val="none"/>
                      <w:lang w:val="en-US" w:eastAsia="zh-CN"/>
                    </w:rPr>
                  </w:pPr>
                  <w:r>
                    <w:rPr>
                      <w:rFonts w:hint="eastAsia" w:ascii="Times New Roman" w:hAnsi="Calibri" w:eastAsia="Times New Roman" w:cs="Times New Roman"/>
                      <w:b w:val="0"/>
                      <w:bCs/>
                      <w:color w:val="auto"/>
                      <w:spacing w:val="-4"/>
                      <w:kern w:val="0"/>
                      <w:sz w:val="21"/>
                      <w:szCs w:val="22"/>
                      <w:u w:val="none"/>
                      <w:lang w:val="en-US" w:eastAsia="zh-CN" w:bidi="ar-SA"/>
                    </w:rPr>
                    <w:t>1097.8</w:t>
                  </w:r>
                </w:p>
              </w:tc>
              <w:tc>
                <w:tcPr>
                  <w:tcW w:w="745" w:type="dxa"/>
                  <w:vAlign w:val="center"/>
                </w:tcPr>
                <w:p w14:paraId="6C85A882">
                  <w:pPr>
                    <w:widowControl/>
                    <w:spacing w:line="240" w:lineRule="auto"/>
                    <w:jc w:val="center"/>
                    <w:rPr>
                      <w:rFonts w:hint="default" w:ascii="Times New Roman" w:hAnsi="Times New Roman" w:eastAsia="宋体" w:cs="Times New Roman"/>
                      <w:color w:val="000000" w:themeColor="text1"/>
                      <w:kern w:val="0"/>
                      <w:sz w:val="20"/>
                      <w:szCs w:val="21"/>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0"/>
                      <w:szCs w:val="21"/>
                      <w:u w:val="none"/>
                      <w:lang w:val="en-US" w:eastAsia="zh-CN" w:bidi="ar-SA"/>
                      <w14:textFill>
                        <w14:solidFill>
                          <w14:schemeClr w14:val="tx1"/>
                        </w14:solidFill>
                      </w14:textFill>
                    </w:rPr>
                    <w:t>22.0，山地</w:t>
                  </w:r>
                </w:p>
              </w:tc>
            </w:tr>
            <w:tr w14:paraId="3905BF8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 w:hRule="atLeast"/>
                <w:jc w:val="center"/>
              </w:trPr>
              <w:tc>
                <w:tcPr>
                  <w:tcW w:w="512" w:type="dxa"/>
                  <w:vAlign w:val="center"/>
                </w:tcPr>
                <w:p w14:paraId="4CCDB6C1">
                  <w:pPr>
                    <w:keepNext w:val="0"/>
                    <w:keepLines w:val="0"/>
                    <w:widowControl/>
                    <w:suppressLineNumbers w:val="0"/>
                    <w:adjustRightInd w:val="0"/>
                    <w:snapToGrid w:val="0"/>
                    <w:spacing w:line="240" w:lineRule="auto"/>
                    <w:ind w:left="0" w:leftChars="0" w:firstLine="0" w:firstLineChars="0"/>
                    <w:jc w:val="center"/>
                    <w:rPr>
                      <w:rFonts w:hint="default" w:ascii="Times New Roman" w:hAnsi="Times New Roman" w:eastAsia="宋体" w:cs="Times New Roman"/>
                      <w:color w:val="000000" w:themeColor="text1"/>
                      <w:kern w:val="0"/>
                      <w:sz w:val="20"/>
                      <w:szCs w:val="21"/>
                      <w:u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20"/>
                      <w:szCs w:val="21"/>
                      <w:u w:val="none"/>
                      <w:lang w:val="en-US" w:eastAsia="zh-CN" w:bidi="ar-SA"/>
                      <w14:textFill>
                        <w14:solidFill>
                          <w14:schemeClr w14:val="tx1"/>
                        </w14:solidFill>
                      </w14:textFill>
                    </w:rPr>
                    <w:t>TPS</w:t>
                  </w:r>
                  <w:r>
                    <w:rPr>
                      <w:rFonts w:hint="default" w:ascii="Times New Roman" w:hAnsi="Times New Roman" w:eastAsia="宋体" w:cs="Times New Roman"/>
                      <w:color w:val="000000" w:themeColor="text1"/>
                      <w:kern w:val="0"/>
                      <w:sz w:val="20"/>
                      <w:szCs w:val="21"/>
                      <w:u w:val="none"/>
                      <w:lang w:val="en-US" w:eastAsia="zh-CN" w:bidi="ar-SA"/>
                      <w14:textFill>
                        <w14:solidFill>
                          <w14:schemeClr w14:val="tx1"/>
                        </w14:solidFill>
                      </w14:textFill>
                    </w:rPr>
                    <w:t>1</w:t>
                  </w:r>
                  <w:r>
                    <w:rPr>
                      <w:rFonts w:hint="eastAsia" w:cs="Times New Roman"/>
                      <w:color w:val="000000" w:themeColor="text1"/>
                      <w:kern w:val="0"/>
                      <w:sz w:val="20"/>
                      <w:szCs w:val="21"/>
                      <w:u w:val="none"/>
                      <w:lang w:val="en-US" w:eastAsia="zh-CN" w:bidi="ar-SA"/>
                      <w14:textFill>
                        <w14:solidFill>
                          <w14:schemeClr w14:val="tx1"/>
                        </w14:solidFill>
                      </w14:textFill>
                    </w:rPr>
                    <w:t>1</w:t>
                  </w:r>
                </w:p>
              </w:tc>
              <w:tc>
                <w:tcPr>
                  <w:tcW w:w="1386" w:type="dxa"/>
                  <w:vAlign w:val="center"/>
                </w:tcPr>
                <w:p w14:paraId="18BDB23E">
                  <w:pPr>
                    <w:pStyle w:val="104"/>
                    <w:jc w:val="left"/>
                    <w:rPr>
                      <w:rFonts w:hint="eastAsia" w:ascii="宋体" w:hAnsi="宋体" w:cs="宋体"/>
                      <w:color w:val="000000" w:themeColor="text1"/>
                      <w:kern w:val="0"/>
                      <w:sz w:val="20"/>
                      <w:u w:val="none"/>
                      <w14:textFill>
                        <w14:solidFill>
                          <w14:schemeClr w14:val="tx1"/>
                        </w14:solidFill>
                      </w14:textFill>
                    </w:rPr>
                  </w:pPr>
                  <w:r>
                    <w:rPr>
                      <w:rFonts w:hint="eastAsia" w:ascii="Times New Roman" w:hAnsi="Times New Roman" w:cs="Times New Roman"/>
                      <w:color w:val="000000" w:themeColor="text1"/>
                      <w:kern w:val="0"/>
                      <w:sz w:val="20"/>
                      <w:u w:val="none"/>
                      <w14:textFill>
                        <w14:solidFill>
                          <w14:schemeClr w14:val="tx1"/>
                        </w14:solidFill>
                      </w14:textFill>
                    </w:rPr>
                    <w:t>植被以杉木林组成地的针叶林为主，常见的群系为杉木林等。</w:t>
                  </w:r>
                </w:p>
              </w:tc>
              <w:tc>
                <w:tcPr>
                  <w:tcW w:w="1181" w:type="dxa"/>
                  <w:vAlign w:val="center"/>
                </w:tcPr>
                <w:p w14:paraId="13D4D832">
                  <w:pPr>
                    <w:pStyle w:val="104"/>
                    <w:jc w:val="left"/>
                    <w:rPr>
                      <w:rFonts w:hint="eastAsia" w:ascii="宋体" w:hAnsi="宋体" w:cs="宋体"/>
                      <w:bCs/>
                      <w:color w:val="000000" w:themeColor="text1"/>
                      <w:kern w:val="0"/>
                      <w:sz w:val="20"/>
                      <w:u w:val="none"/>
                      <w14:textFill>
                        <w14:solidFill>
                          <w14:schemeClr w14:val="tx1"/>
                        </w14:solidFill>
                      </w14:textFill>
                    </w:rPr>
                  </w:pPr>
                  <w:r>
                    <w:rPr>
                      <w:rFonts w:hint="default" w:ascii="Times New Roman" w:hAnsi="Times New Roman" w:cs="Times New Roman"/>
                      <w:color w:val="000000" w:themeColor="text1"/>
                      <w:kern w:val="0"/>
                      <w:sz w:val="20"/>
                      <w:u w:val="none"/>
                      <w14:textFill>
                        <w14:solidFill>
                          <w14:schemeClr w14:val="tx1"/>
                        </w14:solidFill>
                      </w14:textFill>
                    </w:rPr>
                    <w:t>分布于该区域的野生动物主要有八哥</w:t>
                  </w:r>
                  <w:r>
                    <w:rPr>
                      <w:rFonts w:hint="eastAsia" w:cs="Times New Roman"/>
                      <w:color w:val="000000" w:themeColor="text1"/>
                      <w:kern w:val="0"/>
                      <w:sz w:val="20"/>
                      <w:u w:val="none"/>
                      <w:lang w:eastAsia="zh-CN"/>
                      <w14:textFill>
                        <w14:solidFill>
                          <w14:schemeClr w14:val="tx1"/>
                        </w14:solidFill>
                      </w14:textFill>
                    </w:rPr>
                    <w:t>、</w:t>
                  </w:r>
                  <w:r>
                    <w:rPr>
                      <w:rFonts w:hint="eastAsia" w:cs="Times New Roman"/>
                      <w:color w:val="000000" w:themeColor="text1"/>
                      <w:kern w:val="0"/>
                      <w:sz w:val="20"/>
                      <w:u w:val="none"/>
                      <w:lang w:val="en-US" w:eastAsia="zh-CN"/>
                      <w14:textFill>
                        <w14:solidFill>
                          <w14:schemeClr w14:val="tx1"/>
                        </w14:solidFill>
                      </w14:textFill>
                    </w:rPr>
                    <w:t>麻</w:t>
                  </w:r>
                  <w:r>
                    <w:rPr>
                      <w:rFonts w:hint="default" w:ascii="Times New Roman" w:hAnsi="Times New Roman" w:cs="Times New Roman"/>
                      <w:color w:val="000000" w:themeColor="text1"/>
                      <w:kern w:val="0"/>
                      <w:sz w:val="20"/>
                      <w:u w:val="none"/>
                      <w14:textFill>
                        <w14:solidFill>
                          <w14:schemeClr w14:val="tx1"/>
                        </w14:solidFill>
                      </w14:textFill>
                    </w:rPr>
                    <w:t>雀等，还有少量的东北刺猬、黄鼬等。</w:t>
                  </w:r>
                </w:p>
              </w:tc>
              <w:tc>
                <w:tcPr>
                  <w:tcW w:w="642" w:type="dxa"/>
                  <w:vAlign w:val="center"/>
                </w:tcPr>
                <w:p w14:paraId="2BAD86E3">
                  <w:pPr>
                    <w:pStyle w:val="104"/>
                    <w:keepNext w:val="0"/>
                    <w:keepLines w:val="0"/>
                    <w:widowControl/>
                    <w:suppressLineNumbers w:val="0"/>
                    <w:jc w:val="left"/>
                    <w:rPr>
                      <w:rFonts w:hint="eastAsia" w:ascii="Times New Roman" w:hAnsi="Times New Roman" w:eastAsia="宋体" w:cs="Times New Roman"/>
                      <w:color w:val="000000"/>
                      <w:kern w:val="0"/>
                      <w:sz w:val="20"/>
                      <w:szCs w:val="20"/>
                      <w:u w:val="none"/>
                      <w:lang w:val="en-US" w:eastAsia="zh-CN" w:bidi="ar"/>
                    </w:rPr>
                  </w:pPr>
                  <w:r>
                    <w:rPr>
                      <w:rFonts w:hint="default" w:ascii="Times New Roman" w:hAnsi="Times New Roman" w:cs="Times New Roman"/>
                      <w:color w:val="000000" w:themeColor="text1"/>
                      <w:kern w:val="0"/>
                      <w:sz w:val="20"/>
                      <w:u w:val="none"/>
                      <w:lang w:val="en-US" w:eastAsia="zh-CN"/>
                      <w14:textFill>
                        <w14:solidFill>
                          <w14:schemeClr w14:val="tx1"/>
                        </w14:solidFill>
                      </w14:textFill>
                    </w:rPr>
                    <w:t>2</w:t>
                  </w:r>
                  <w:r>
                    <w:rPr>
                      <w:rFonts w:hint="eastAsia" w:cs="Times New Roman"/>
                      <w:color w:val="000000" w:themeColor="text1"/>
                      <w:kern w:val="0"/>
                      <w:sz w:val="20"/>
                      <w:u w:val="none"/>
                      <w:lang w:val="en-US" w:eastAsia="zh-CN"/>
                      <w14:textFill>
                        <w14:solidFill>
                          <w14:schemeClr w14:val="tx1"/>
                        </w14:solidFill>
                      </w14:textFill>
                    </w:rPr>
                    <w:t>7.7</w:t>
                  </w:r>
                  <w:r>
                    <w:rPr>
                      <w:rFonts w:hint="default" w:ascii="Times New Roman" w:hAnsi="Times New Roman" w:cs="Times New Roman"/>
                      <w:color w:val="000000" w:themeColor="text1"/>
                      <w:kern w:val="0"/>
                      <w:sz w:val="20"/>
                      <w:u w:val="none"/>
                      <w:lang w:val="en-US" w:eastAsia="zh-CN"/>
                      <w14:textFill>
                        <w14:solidFill>
                          <w14:schemeClr w14:val="tx1"/>
                        </w14:solidFill>
                      </w14:textFill>
                    </w:rPr>
                    <w:t>m</w:t>
                  </w:r>
                  <w:r>
                    <w:rPr>
                      <w:rFonts w:hint="default" w:ascii="Times New Roman" w:hAnsi="Times New Roman" w:cs="Times New Roman"/>
                      <w:color w:val="000000" w:themeColor="text1"/>
                      <w:kern w:val="0"/>
                      <w:sz w:val="20"/>
                      <w:u w:val="none"/>
                      <w:vertAlign w:val="superscript"/>
                      <w:lang w:val="en-US" w:eastAsia="zh-CN"/>
                      <w14:textFill>
                        <w14:solidFill>
                          <w14:schemeClr w14:val="tx1"/>
                        </w14:solidFill>
                      </w14:textFill>
                    </w:rPr>
                    <w:t>3</w:t>
                  </w:r>
                  <w:r>
                    <w:rPr>
                      <w:rFonts w:hint="default" w:ascii="Times New Roman" w:hAnsi="Times New Roman" w:cs="Times New Roman"/>
                      <w:color w:val="000000" w:themeColor="text1"/>
                      <w:kern w:val="0"/>
                      <w:sz w:val="20"/>
                      <w:u w:val="none"/>
                      <w:lang w:val="en-US" w:eastAsia="zh-CN"/>
                      <w14:textFill>
                        <w14:solidFill>
                          <w14:schemeClr w14:val="tx1"/>
                        </w14:solidFill>
                      </w14:textFill>
                    </w:rPr>
                    <w:t>/hm</w:t>
                  </w:r>
                  <w:r>
                    <w:rPr>
                      <w:rFonts w:hint="default" w:ascii="Times New Roman" w:hAnsi="Times New Roman" w:cs="Times New Roman"/>
                      <w:color w:val="000000" w:themeColor="text1"/>
                      <w:kern w:val="0"/>
                      <w:sz w:val="20"/>
                      <w:u w:val="none"/>
                      <w:vertAlign w:val="superscript"/>
                      <w:lang w:val="en-US" w:eastAsia="zh-CN"/>
                      <w14:textFill>
                        <w14:solidFill>
                          <w14:schemeClr w14:val="tx1"/>
                        </w14:solidFill>
                      </w14:textFill>
                    </w:rPr>
                    <w:t>2</w:t>
                  </w:r>
                </w:p>
              </w:tc>
              <w:tc>
                <w:tcPr>
                  <w:tcW w:w="785" w:type="dxa"/>
                  <w:vAlign w:val="center"/>
                </w:tcPr>
                <w:p w14:paraId="4A8A835D">
                  <w:pPr>
                    <w:pStyle w:val="104"/>
                    <w:spacing w:line="240" w:lineRule="auto"/>
                    <w:jc w:val="left"/>
                    <w:rPr>
                      <w:rFonts w:hint="eastAsia" w:ascii="宋体" w:hAnsi="宋体" w:cs="宋体"/>
                      <w:bCs/>
                      <w:color w:val="000000" w:themeColor="text1"/>
                      <w:kern w:val="0"/>
                      <w:sz w:val="20"/>
                      <w:u w:val="none"/>
                      <w14:textFill>
                        <w14:solidFill>
                          <w14:schemeClr w14:val="tx1"/>
                        </w14:solidFill>
                      </w14:textFill>
                    </w:rPr>
                  </w:pPr>
                  <w:r>
                    <w:rPr>
                      <w:rFonts w:hint="eastAsia" w:ascii="宋体" w:hAnsi="宋体" w:cs="宋体"/>
                      <w:bCs/>
                      <w:color w:val="000000" w:themeColor="text1"/>
                      <w:kern w:val="0"/>
                      <w:sz w:val="20"/>
                      <w:u w:val="none"/>
                      <w14:textFill>
                        <w14:solidFill>
                          <w14:schemeClr w14:val="tx1"/>
                        </w14:solidFill>
                      </w14:textFill>
                    </w:rPr>
                    <w:t>微度脆弱</w:t>
                  </w:r>
                </w:p>
              </w:tc>
              <w:tc>
                <w:tcPr>
                  <w:tcW w:w="923" w:type="dxa"/>
                  <w:vAlign w:val="center"/>
                </w:tcPr>
                <w:p w14:paraId="1BCC46EA">
                  <w:pPr>
                    <w:pStyle w:val="104"/>
                    <w:jc w:val="left"/>
                    <w:rPr>
                      <w:rFonts w:hint="eastAsia" w:ascii="宋体" w:hAnsi="宋体" w:cs="宋体"/>
                      <w:bCs/>
                      <w:color w:val="000000" w:themeColor="text1"/>
                      <w:kern w:val="0"/>
                      <w:sz w:val="20"/>
                      <w:u w:val="none"/>
                      <w:lang w:val="en-US" w:eastAsia="zh-CN"/>
                      <w14:textFill>
                        <w14:solidFill>
                          <w14:schemeClr w14:val="tx1"/>
                        </w14:solidFill>
                      </w14:textFill>
                    </w:rPr>
                  </w:pPr>
                  <w:r>
                    <w:rPr>
                      <w:rFonts w:hint="eastAsia" w:ascii="宋体" w:hAnsi="宋体" w:cs="宋体"/>
                      <w:bCs/>
                      <w:color w:val="000000" w:themeColor="text1"/>
                      <w:kern w:val="0"/>
                      <w:sz w:val="20"/>
                      <w:u w:val="none"/>
                      <w:lang w:val="en-US" w:eastAsia="zh-CN"/>
                      <w14:textFill>
                        <w14:solidFill>
                          <w14:schemeClr w14:val="tx1"/>
                        </w14:solidFill>
                      </w14:textFill>
                    </w:rPr>
                    <w:t>中等风化</w:t>
                  </w:r>
                </w:p>
              </w:tc>
              <w:tc>
                <w:tcPr>
                  <w:tcW w:w="851" w:type="dxa"/>
                  <w:vAlign w:val="center"/>
                </w:tcPr>
                <w:p w14:paraId="0C55B704">
                  <w:pPr>
                    <w:widowControl/>
                    <w:spacing w:line="240" w:lineRule="auto"/>
                    <w:jc w:val="center"/>
                    <w:rPr>
                      <w:rFonts w:hint="default" w:ascii="宋体" w:hAnsi="宋体" w:eastAsia="宋体" w:cs="宋体"/>
                      <w:color w:val="000000" w:themeColor="text1"/>
                      <w:kern w:val="0"/>
                      <w:sz w:val="20"/>
                      <w:szCs w:val="21"/>
                      <w:u w:val="none"/>
                      <w:lang w:val="en-US" w:eastAsia="zh-CN" w:bidi="ar-SA"/>
                      <w14:textFill>
                        <w14:solidFill>
                          <w14:schemeClr w14:val="tx1"/>
                        </w14:solidFill>
                      </w14:textFill>
                    </w:rPr>
                  </w:pPr>
                  <w:r>
                    <w:rPr>
                      <w:rFonts w:hint="default" w:ascii="宋体" w:hAnsi="宋体" w:eastAsia="宋体" w:cs="宋体"/>
                      <w:color w:val="000000" w:themeColor="text1"/>
                      <w:kern w:val="0"/>
                      <w:sz w:val="20"/>
                      <w:szCs w:val="21"/>
                      <w:u w:val="none"/>
                      <w:lang w:val="en-US" w:eastAsia="zh-CN" w:bidi="ar-SA"/>
                      <w14:textFill>
                        <w14:solidFill>
                          <w14:schemeClr w14:val="tx1"/>
                        </w14:solidFill>
                      </w14:textFill>
                    </w:rPr>
                    <w:t>出露地层主要为石炭系粉砂岩、</w:t>
                  </w:r>
                  <w:r>
                    <w:rPr>
                      <w:rFonts w:hint="eastAsia" w:ascii="宋体" w:hAnsi="宋体" w:cs="宋体"/>
                      <w:color w:val="000000" w:themeColor="text1"/>
                      <w:kern w:val="0"/>
                      <w:sz w:val="20"/>
                      <w:szCs w:val="21"/>
                      <w:u w:val="none"/>
                      <w:lang w:val="en-US" w:eastAsia="zh-CN" w:bidi="ar-SA"/>
                      <w14:textFill>
                        <w14:solidFill>
                          <w14:schemeClr w14:val="tx1"/>
                        </w14:solidFill>
                      </w14:textFill>
                    </w:rPr>
                    <w:t>板</w:t>
                  </w:r>
                  <w:r>
                    <w:rPr>
                      <w:rFonts w:hint="default" w:ascii="宋体" w:hAnsi="宋体" w:eastAsia="宋体" w:cs="宋体"/>
                      <w:color w:val="000000" w:themeColor="text1"/>
                      <w:kern w:val="0"/>
                      <w:sz w:val="20"/>
                      <w:szCs w:val="21"/>
                      <w:u w:val="none"/>
                      <w:lang w:val="en-US" w:eastAsia="zh-CN" w:bidi="ar-SA"/>
                      <w14:textFill>
                        <w14:solidFill>
                          <w14:schemeClr w14:val="tx1"/>
                        </w14:solidFill>
                      </w14:textFill>
                    </w:rPr>
                    <w:t>岩</w:t>
                  </w:r>
                </w:p>
              </w:tc>
              <w:tc>
                <w:tcPr>
                  <w:tcW w:w="547" w:type="dxa"/>
                  <w:vAlign w:val="center"/>
                </w:tcPr>
                <w:p w14:paraId="00B6FDBA">
                  <w:pPr>
                    <w:pStyle w:val="23"/>
                    <w:keepNext w:val="0"/>
                    <w:keepLines w:val="0"/>
                    <w:widowControl/>
                    <w:suppressLineNumbers w:val="0"/>
                    <w:adjustRightInd w:val="0"/>
                    <w:snapToGrid w:val="0"/>
                    <w:spacing w:line="240" w:lineRule="auto"/>
                    <w:ind w:left="0" w:leftChars="0" w:firstLine="0" w:firstLineChars="0"/>
                    <w:jc w:val="center"/>
                    <w:rPr>
                      <w:rFonts w:hint="default" w:ascii="宋体" w:hAnsi="宋体" w:eastAsia="宋体" w:cs="宋体"/>
                      <w:color w:val="FF0000"/>
                      <w:kern w:val="0"/>
                      <w:szCs w:val="21"/>
                      <w:u w:val="none"/>
                      <w:lang w:val="en-US" w:eastAsia="zh-CN"/>
                    </w:rPr>
                  </w:pPr>
                  <w:r>
                    <w:rPr>
                      <w:rFonts w:hint="eastAsia" w:ascii="Times New Roman" w:hAnsi="Calibri" w:eastAsia="Times New Roman" w:cs="Times New Roman"/>
                      <w:b w:val="0"/>
                      <w:bCs/>
                      <w:color w:val="auto"/>
                      <w:spacing w:val="-4"/>
                      <w:kern w:val="0"/>
                      <w:sz w:val="21"/>
                      <w:szCs w:val="22"/>
                      <w:u w:val="none"/>
                      <w:lang w:val="en-US" w:eastAsia="zh-CN" w:bidi="ar-SA"/>
                    </w:rPr>
                    <w:t>1097.9</w:t>
                  </w:r>
                </w:p>
              </w:tc>
              <w:tc>
                <w:tcPr>
                  <w:tcW w:w="745" w:type="dxa"/>
                  <w:vAlign w:val="center"/>
                </w:tcPr>
                <w:p w14:paraId="2A375158">
                  <w:pPr>
                    <w:widowControl/>
                    <w:spacing w:line="240" w:lineRule="auto"/>
                    <w:jc w:val="center"/>
                    <w:rPr>
                      <w:rFonts w:hint="default" w:ascii="Times New Roman" w:hAnsi="Times New Roman" w:eastAsia="宋体" w:cs="Times New Roman"/>
                      <w:color w:val="000000" w:themeColor="text1"/>
                      <w:kern w:val="0"/>
                      <w:sz w:val="20"/>
                      <w:szCs w:val="21"/>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0"/>
                      <w:szCs w:val="21"/>
                      <w:u w:val="none"/>
                      <w:lang w:val="en-US" w:eastAsia="zh-CN" w:bidi="ar-SA"/>
                      <w14:textFill>
                        <w14:solidFill>
                          <w14:schemeClr w14:val="tx1"/>
                        </w14:solidFill>
                      </w14:textFill>
                    </w:rPr>
                    <w:t>2</w:t>
                  </w:r>
                  <w:r>
                    <w:rPr>
                      <w:rFonts w:hint="eastAsia" w:cs="Times New Roman"/>
                      <w:color w:val="000000" w:themeColor="text1"/>
                      <w:kern w:val="0"/>
                      <w:sz w:val="20"/>
                      <w:szCs w:val="21"/>
                      <w:u w:val="none"/>
                      <w:lang w:val="en-US" w:eastAsia="zh-CN" w:bidi="ar-SA"/>
                      <w14:textFill>
                        <w14:solidFill>
                          <w14:schemeClr w14:val="tx1"/>
                        </w14:solidFill>
                      </w14:textFill>
                    </w:rPr>
                    <w:t>5.0</w:t>
                  </w:r>
                  <w:r>
                    <w:rPr>
                      <w:rFonts w:hint="default" w:ascii="Times New Roman" w:hAnsi="Times New Roman" w:eastAsia="宋体" w:cs="Times New Roman"/>
                      <w:color w:val="000000" w:themeColor="text1"/>
                      <w:kern w:val="0"/>
                      <w:sz w:val="20"/>
                      <w:szCs w:val="21"/>
                      <w:u w:val="none"/>
                      <w:lang w:val="en-US" w:eastAsia="zh-CN" w:bidi="ar-SA"/>
                      <w14:textFill>
                        <w14:solidFill>
                          <w14:schemeClr w14:val="tx1"/>
                        </w14:solidFill>
                      </w14:textFill>
                    </w:rPr>
                    <w:t>，山地</w:t>
                  </w:r>
                </w:p>
              </w:tc>
            </w:tr>
            <w:tr w14:paraId="57B1672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 w:hRule="atLeast"/>
                <w:jc w:val="center"/>
              </w:trPr>
              <w:tc>
                <w:tcPr>
                  <w:tcW w:w="512" w:type="dxa"/>
                  <w:vAlign w:val="center"/>
                </w:tcPr>
                <w:p w14:paraId="6DBD2C7C">
                  <w:pPr>
                    <w:keepNext w:val="0"/>
                    <w:keepLines w:val="0"/>
                    <w:widowControl/>
                    <w:suppressLineNumbers w:val="0"/>
                    <w:adjustRightInd w:val="0"/>
                    <w:snapToGrid w:val="0"/>
                    <w:spacing w:line="240" w:lineRule="auto"/>
                    <w:ind w:left="0" w:leftChars="0" w:firstLine="0" w:firstLineChars="0"/>
                    <w:jc w:val="center"/>
                    <w:rPr>
                      <w:rFonts w:hint="default" w:ascii="Times New Roman" w:hAnsi="Times New Roman" w:eastAsia="宋体" w:cs="Times New Roman"/>
                      <w:color w:val="000000" w:themeColor="text1"/>
                      <w:kern w:val="0"/>
                      <w:sz w:val="20"/>
                      <w:szCs w:val="21"/>
                      <w:u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20"/>
                      <w:szCs w:val="21"/>
                      <w:u w:val="none"/>
                      <w:lang w:val="en-US" w:eastAsia="zh-CN" w:bidi="ar-SA"/>
                      <w14:textFill>
                        <w14:solidFill>
                          <w14:schemeClr w14:val="tx1"/>
                        </w14:solidFill>
                      </w14:textFill>
                    </w:rPr>
                    <w:t>TPS</w:t>
                  </w:r>
                  <w:r>
                    <w:rPr>
                      <w:rFonts w:hint="default" w:ascii="Times New Roman" w:hAnsi="Times New Roman" w:eastAsia="宋体" w:cs="Times New Roman"/>
                      <w:color w:val="000000" w:themeColor="text1"/>
                      <w:kern w:val="0"/>
                      <w:sz w:val="20"/>
                      <w:szCs w:val="21"/>
                      <w:u w:val="none"/>
                      <w:lang w:val="en-US" w:eastAsia="zh-CN" w:bidi="ar-SA"/>
                      <w14:textFill>
                        <w14:solidFill>
                          <w14:schemeClr w14:val="tx1"/>
                        </w14:solidFill>
                      </w14:textFill>
                    </w:rPr>
                    <w:t>1</w:t>
                  </w:r>
                  <w:r>
                    <w:rPr>
                      <w:rFonts w:hint="eastAsia" w:cs="Times New Roman"/>
                      <w:color w:val="000000" w:themeColor="text1"/>
                      <w:kern w:val="0"/>
                      <w:sz w:val="20"/>
                      <w:szCs w:val="21"/>
                      <w:u w:val="none"/>
                      <w:lang w:val="en-US" w:eastAsia="zh-CN" w:bidi="ar-SA"/>
                      <w14:textFill>
                        <w14:solidFill>
                          <w14:schemeClr w14:val="tx1"/>
                        </w14:solidFill>
                      </w14:textFill>
                    </w:rPr>
                    <w:t>2</w:t>
                  </w:r>
                </w:p>
              </w:tc>
              <w:tc>
                <w:tcPr>
                  <w:tcW w:w="1386" w:type="dxa"/>
                  <w:vAlign w:val="center"/>
                </w:tcPr>
                <w:p w14:paraId="67D7AC6F">
                  <w:pPr>
                    <w:pStyle w:val="104"/>
                    <w:jc w:val="left"/>
                    <w:rPr>
                      <w:rFonts w:hint="eastAsia" w:ascii="宋体" w:hAnsi="宋体" w:cs="宋体"/>
                      <w:color w:val="000000" w:themeColor="text1"/>
                      <w:kern w:val="0"/>
                      <w:sz w:val="20"/>
                      <w:u w:val="none"/>
                      <w14:textFill>
                        <w14:solidFill>
                          <w14:schemeClr w14:val="tx1"/>
                        </w14:solidFill>
                      </w14:textFill>
                    </w:rPr>
                  </w:pPr>
                  <w:r>
                    <w:rPr>
                      <w:rFonts w:hint="eastAsia" w:ascii="Times New Roman" w:hAnsi="Times New Roman" w:cs="Times New Roman"/>
                      <w:color w:val="000000" w:themeColor="text1"/>
                      <w:kern w:val="0"/>
                      <w:sz w:val="20"/>
                      <w:u w:val="none"/>
                      <w14:textFill>
                        <w14:solidFill>
                          <w14:schemeClr w14:val="tx1"/>
                        </w14:solidFill>
                      </w14:textFill>
                    </w:rPr>
                    <w:t>该区域土地利用类型以林地为主，植被以针叶林为主，常见的群系为杉木林等。</w:t>
                  </w:r>
                </w:p>
              </w:tc>
              <w:tc>
                <w:tcPr>
                  <w:tcW w:w="1181" w:type="dxa"/>
                  <w:vAlign w:val="center"/>
                </w:tcPr>
                <w:p w14:paraId="358C471F">
                  <w:pPr>
                    <w:pStyle w:val="104"/>
                    <w:jc w:val="left"/>
                    <w:rPr>
                      <w:rFonts w:hint="eastAsia" w:ascii="宋体" w:hAnsi="宋体" w:cs="宋体"/>
                      <w:bCs/>
                      <w:color w:val="000000" w:themeColor="text1"/>
                      <w:kern w:val="0"/>
                      <w:sz w:val="20"/>
                      <w:u w:val="none"/>
                      <w14:textFill>
                        <w14:solidFill>
                          <w14:schemeClr w14:val="tx1"/>
                        </w14:solidFill>
                      </w14:textFill>
                    </w:rPr>
                  </w:pPr>
                  <w:r>
                    <w:rPr>
                      <w:rFonts w:hint="eastAsia" w:ascii="宋体" w:hAnsi="宋体" w:cs="宋体"/>
                      <w:bCs/>
                      <w:color w:val="000000" w:themeColor="text1"/>
                      <w:kern w:val="0"/>
                      <w:sz w:val="20"/>
                      <w:u w:val="none"/>
                      <w14:textFill>
                        <w14:solidFill>
                          <w14:schemeClr w14:val="tx1"/>
                        </w14:solidFill>
                      </w14:textFill>
                    </w:rPr>
                    <w:t>分布于该区域的野生动物主要有杜鹃、山斑鸠等，还有少量的黄鼬、华南兔等。</w:t>
                  </w:r>
                </w:p>
              </w:tc>
              <w:tc>
                <w:tcPr>
                  <w:tcW w:w="642" w:type="dxa"/>
                  <w:vAlign w:val="center"/>
                </w:tcPr>
                <w:p w14:paraId="04FEDBE1">
                  <w:pPr>
                    <w:pStyle w:val="104"/>
                    <w:keepNext w:val="0"/>
                    <w:keepLines w:val="0"/>
                    <w:widowControl/>
                    <w:suppressLineNumbers w:val="0"/>
                    <w:jc w:val="left"/>
                    <w:rPr>
                      <w:rFonts w:hint="eastAsia" w:ascii="Times New Roman" w:hAnsi="Times New Roman" w:eastAsia="宋体" w:cs="Times New Roman"/>
                      <w:color w:val="000000"/>
                      <w:kern w:val="0"/>
                      <w:sz w:val="20"/>
                      <w:szCs w:val="20"/>
                      <w:u w:val="none"/>
                      <w:lang w:val="en-US" w:eastAsia="zh-CN" w:bidi="ar"/>
                    </w:rPr>
                  </w:pPr>
                  <w:r>
                    <w:rPr>
                      <w:rFonts w:hint="default" w:ascii="Times New Roman" w:hAnsi="Times New Roman" w:cs="Times New Roman"/>
                      <w:color w:val="000000" w:themeColor="text1"/>
                      <w:kern w:val="0"/>
                      <w:sz w:val="20"/>
                      <w:u w:val="none"/>
                      <w:lang w:val="en-US" w:eastAsia="zh-CN"/>
                      <w14:textFill>
                        <w14:solidFill>
                          <w14:schemeClr w14:val="tx1"/>
                        </w14:solidFill>
                      </w14:textFill>
                    </w:rPr>
                    <w:t>2</w:t>
                  </w:r>
                  <w:r>
                    <w:rPr>
                      <w:rFonts w:hint="eastAsia" w:cs="Times New Roman"/>
                      <w:color w:val="000000" w:themeColor="text1"/>
                      <w:kern w:val="0"/>
                      <w:sz w:val="20"/>
                      <w:u w:val="none"/>
                      <w:lang w:val="en-US" w:eastAsia="zh-CN"/>
                      <w14:textFill>
                        <w14:solidFill>
                          <w14:schemeClr w14:val="tx1"/>
                        </w14:solidFill>
                      </w14:textFill>
                    </w:rPr>
                    <w:t>7.3</w:t>
                  </w:r>
                  <w:r>
                    <w:rPr>
                      <w:rFonts w:hint="default" w:ascii="Times New Roman" w:hAnsi="Times New Roman" w:cs="Times New Roman"/>
                      <w:color w:val="000000" w:themeColor="text1"/>
                      <w:kern w:val="0"/>
                      <w:sz w:val="20"/>
                      <w:u w:val="none"/>
                      <w:lang w:val="en-US" w:eastAsia="zh-CN"/>
                      <w14:textFill>
                        <w14:solidFill>
                          <w14:schemeClr w14:val="tx1"/>
                        </w14:solidFill>
                      </w14:textFill>
                    </w:rPr>
                    <w:t>m</w:t>
                  </w:r>
                  <w:r>
                    <w:rPr>
                      <w:rFonts w:hint="default" w:ascii="Times New Roman" w:hAnsi="Times New Roman" w:cs="Times New Roman"/>
                      <w:color w:val="000000" w:themeColor="text1"/>
                      <w:kern w:val="0"/>
                      <w:sz w:val="20"/>
                      <w:u w:val="none"/>
                      <w:vertAlign w:val="superscript"/>
                      <w:lang w:val="en-US" w:eastAsia="zh-CN"/>
                      <w14:textFill>
                        <w14:solidFill>
                          <w14:schemeClr w14:val="tx1"/>
                        </w14:solidFill>
                      </w14:textFill>
                    </w:rPr>
                    <w:t>3</w:t>
                  </w:r>
                  <w:r>
                    <w:rPr>
                      <w:rFonts w:hint="default" w:ascii="Times New Roman" w:hAnsi="Times New Roman" w:cs="Times New Roman"/>
                      <w:color w:val="000000" w:themeColor="text1"/>
                      <w:kern w:val="0"/>
                      <w:sz w:val="20"/>
                      <w:u w:val="none"/>
                      <w:lang w:val="en-US" w:eastAsia="zh-CN"/>
                      <w14:textFill>
                        <w14:solidFill>
                          <w14:schemeClr w14:val="tx1"/>
                        </w14:solidFill>
                      </w14:textFill>
                    </w:rPr>
                    <w:t>/hm</w:t>
                  </w:r>
                  <w:r>
                    <w:rPr>
                      <w:rFonts w:hint="default" w:ascii="Times New Roman" w:hAnsi="Times New Roman" w:cs="Times New Roman"/>
                      <w:color w:val="000000" w:themeColor="text1"/>
                      <w:kern w:val="0"/>
                      <w:sz w:val="20"/>
                      <w:u w:val="none"/>
                      <w:vertAlign w:val="superscript"/>
                      <w:lang w:val="en-US" w:eastAsia="zh-CN"/>
                      <w14:textFill>
                        <w14:solidFill>
                          <w14:schemeClr w14:val="tx1"/>
                        </w14:solidFill>
                      </w14:textFill>
                    </w:rPr>
                    <w:t>2</w:t>
                  </w:r>
                </w:p>
              </w:tc>
              <w:tc>
                <w:tcPr>
                  <w:tcW w:w="785" w:type="dxa"/>
                  <w:vAlign w:val="center"/>
                </w:tcPr>
                <w:p w14:paraId="53D0AD16">
                  <w:pPr>
                    <w:spacing w:line="240" w:lineRule="auto"/>
                    <w:jc w:val="left"/>
                    <w:rPr>
                      <w:rFonts w:hint="eastAsia" w:ascii="宋体" w:hAnsi="宋体" w:cs="宋体"/>
                      <w:bCs/>
                      <w:color w:val="000000" w:themeColor="text1"/>
                      <w:kern w:val="0"/>
                      <w:sz w:val="20"/>
                      <w:u w:val="none"/>
                      <w14:textFill>
                        <w14:solidFill>
                          <w14:schemeClr w14:val="tx1"/>
                        </w14:solidFill>
                      </w14:textFill>
                    </w:rPr>
                  </w:pPr>
                  <w:r>
                    <w:rPr>
                      <w:rFonts w:hint="eastAsia" w:ascii="宋体" w:hAnsi="宋体" w:cs="宋体"/>
                      <w:bCs/>
                      <w:color w:val="000000" w:themeColor="text1"/>
                      <w:kern w:val="0"/>
                      <w:sz w:val="20"/>
                      <w:u w:val="none"/>
                      <w14:textFill>
                        <w14:solidFill>
                          <w14:schemeClr w14:val="tx1"/>
                        </w14:solidFill>
                      </w14:textFill>
                    </w:rPr>
                    <w:t>微度脆弱</w:t>
                  </w:r>
                </w:p>
              </w:tc>
              <w:tc>
                <w:tcPr>
                  <w:tcW w:w="923" w:type="dxa"/>
                  <w:vAlign w:val="center"/>
                </w:tcPr>
                <w:p w14:paraId="5CE17C1C">
                  <w:pPr>
                    <w:spacing w:line="240" w:lineRule="auto"/>
                    <w:jc w:val="center"/>
                    <w:rPr>
                      <w:rFonts w:hint="eastAsia" w:ascii="宋体" w:hAnsi="宋体" w:cs="宋体"/>
                      <w:bCs/>
                      <w:color w:val="000000" w:themeColor="text1"/>
                      <w:kern w:val="0"/>
                      <w:sz w:val="20"/>
                      <w:u w:val="none"/>
                      <w:lang w:val="en-US" w:eastAsia="zh-CN"/>
                      <w14:textFill>
                        <w14:solidFill>
                          <w14:schemeClr w14:val="tx1"/>
                        </w14:solidFill>
                      </w14:textFill>
                    </w:rPr>
                  </w:pPr>
                  <w:r>
                    <w:rPr>
                      <w:rFonts w:hint="eastAsia" w:ascii="宋体" w:hAnsi="宋体" w:cs="宋体"/>
                      <w:bCs/>
                      <w:color w:val="000000" w:themeColor="text1"/>
                      <w:kern w:val="0"/>
                      <w:sz w:val="20"/>
                      <w:u w:val="none"/>
                      <w:lang w:val="en-US" w:eastAsia="zh-CN"/>
                      <w14:textFill>
                        <w14:solidFill>
                          <w14:schemeClr w14:val="tx1"/>
                        </w14:solidFill>
                      </w14:textFill>
                    </w:rPr>
                    <w:t>中等风化</w:t>
                  </w:r>
                </w:p>
              </w:tc>
              <w:tc>
                <w:tcPr>
                  <w:tcW w:w="851" w:type="dxa"/>
                  <w:vAlign w:val="center"/>
                </w:tcPr>
                <w:p w14:paraId="42A38BC0">
                  <w:pPr>
                    <w:widowControl/>
                    <w:spacing w:line="240" w:lineRule="auto"/>
                    <w:jc w:val="center"/>
                    <w:rPr>
                      <w:rFonts w:hint="default" w:ascii="宋体" w:hAnsi="宋体" w:eastAsia="宋体" w:cs="宋体"/>
                      <w:color w:val="000000" w:themeColor="text1"/>
                      <w:kern w:val="0"/>
                      <w:sz w:val="20"/>
                      <w:szCs w:val="21"/>
                      <w:u w:val="none"/>
                      <w:lang w:val="en-US" w:eastAsia="zh-CN" w:bidi="ar-SA"/>
                      <w14:textFill>
                        <w14:solidFill>
                          <w14:schemeClr w14:val="tx1"/>
                        </w14:solidFill>
                      </w14:textFill>
                    </w:rPr>
                  </w:pPr>
                  <w:r>
                    <w:rPr>
                      <w:rFonts w:hint="default" w:ascii="宋体" w:hAnsi="宋体" w:eastAsia="宋体" w:cs="宋体"/>
                      <w:color w:val="000000" w:themeColor="text1"/>
                      <w:kern w:val="0"/>
                      <w:sz w:val="20"/>
                      <w:szCs w:val="21"/>
                      <w:u w:val="none"/>
                      <w:lang w:val="en-US" w:eastAsia="zh-CN" w:bidi="ar-SA"/>
                      <w14:textFill>
                        <w14:solidFill>
                          <w14:schemeClr w14:val="tx1"/>
                        </w14:solidFill>
                      </w14:textFill>
                    </w:rPr>
                    <w:t>出露地层主要为石炭系粉砂岩、</w:t>
                  </w:r>
                  <w:r>
                    <w:rPr>
                      <w:rFonts w:hint="eastAsia" w:ascii="宋体" w:hAnsi="宋体" w:cs="宋体"/>
                      <w:color w:val="000000" w:themeColor="text1"/>
                      <w:kern w:val="0"/>
                      <w:sz w:val="20"/>
                      <w:szCs w:val="21"/>
                      <w:u w:val="none"/>
                      <w:lang w:val="en-US" w:eastAsia="zh-CN" w:bidi="ar-SA"/>
                      <w14:textFill>
                        <w14:solidFill>
                          <w14:schemeClr w14:val="tx1"/>
                        </w14:solidFill>
                      </w14:textFill>
                    </w:rPr>
                    <w:t>板</w:t>
                  </w:r>
                  <w:r>
                    <w:rPr>
                      <w:rFonts w:hint="default" w:ascii="宋体" w:hAnsi="宋体" w:eastAsia="宋体" w:cs="宋体"/>
                      <w:color w:val="000000" w:themeColor="text1"/>
                      <w:kern w:val="0"/>
                      <w:sz w:val="20"/>
                      <w:szCs w:val="21"/>
                      <w:u w:val="none"/>
                      <w:lang w:val="en-US" w:eastAsia="zh-CN" w:bidi="ar-SA"/>
                      <w14:textFill>
                        <w14:solidFill>
                          <w14:schemeClr w14:val="tx1"/>
                        </w14:solidFill>
                      </w14:textFill>
                    </w:rPr>
                    <w:t>岩</w:t>
                  </w:r>
                </w:p>
              </w:tc>
              <w:tc>
                <w:tcPr>
                  <w:tcW w:w="547" w:type="dxa"/>
                  <w:vAlign w:val="center"/>
                </w:tcPr>
                <w:p w14:paraId="68249B8B">
                  <w:pPr>
                    <w:pStyle w:val="23"/>
                    <w:keepNext w:val="0"/>
                    <w:keepLines w:val="0"/>
                    <w:widowControl/>
                    <w:suppressLineNumbers w:val="0"/>
                    <w:adjustRightInd w:val="0"/>
                    <w:snapToGrid w:val="0"/>
                    <w:spacing w:line="240" w:lineRule="auto"/>
                    <w:ind w:left="0" w:leftChars="0" w:firstLine="0" w:firstLineChars="0"/>
                    <w:jc w:val="center"/>
                    <w:rPr>
                      <w:rFonts w:hint="default" w:ascii="宋体" w:hAnsi="宋体" w:eastAsia="宋体" w:cs="宋体"/>
                      <w:color w:val="FF0000"/>
                      <w:kern w:val="0"/>
                      <w:szCs w:val="21"/>
                      <w:u w:val="none"/>
                      <w:lang w:val="en-US" w:eastAsia="zh-CN"/>
                    </w:rPr>
                  </w:pPr>
                  <w:r>
                    <w:rPr>
                      <w:rFonts w:hint="eastAsia" w:ascii="Times New Roman" w:hAnsi="Calibri" w:eastAsia="Times New Roman" w:cs="Times New Roman"/>
                      <w:b w:val="0"/>
                      <w:bCs/>
                      <w:color w:val="auto"/>
                      <w:spacing w:val="-4"/>
                      <w:kern w:val="0"/>
                      <w:sz w:val="21"/>
                      <w:szCs w:val="22"/>
                      <w:u w:val="none"/>
                      <w:lang w:val="en-US" w:eastAsia="zh-CN" w:bidi="ar-SA"/>
                    </w:rPr>
                    <w:t>1069</w:t>
                  </w:r>
                </w:p>
              </w:tc>
              <w:tc>
                <w:tcPr>
                  <w:tcW w:w="745" w:type="dxa"/>
                  <w:vAlign w:val="center"/>
                </w:tcPr>
                <w:p w14:paraId="5767AF02">
                  <w:pPr>
                    <w:widowControl/>
                    <w:spacing w:line="240" w:lineRule="auto"/>
                    <w:jc w:val="center"/>
                    <w:rPr>
                      <w:rFonts w:hint="default" w:ascii="Times New Roman" w:hAnsi="Times New Roman" w:eastAsia="宋体" w:cs="Times New Roman"/>
                      <w:color w:val="000000" w:themeColor="text1"/>
                      <w:kern w:val="0"/>
                      <w:sz w:val="20"/>
                      <w:szCs w:val="21"/>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0"/>
                      <w:szCs w:val="21"/>
                      <w:u w:val="none"/>
                      <w:lang w:val="en-US" w:eastAsia="zh-CN" w:bidi="ar-SA"/>
                      <w14:textFill>
                        <w14:solidFill>
                          <w14:schemeClr w14:val="tx1"/>
                        </w14:solidFill>
                      </w14:textFill>
                    </w:rPr>
                    <w:t>23.2，山地</w:t>
                  </w:r>
                </w:p>
              </w:tc>
            </w:tr>
            <w:tr w14:paraId="50DD125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 w:hRule="atLeast"/>
                <w:jc w:val="center"/>
              </w:trPr>
              <w:tc>
                <w:tcPr>
                  <w:tcW w:w="512" w:type="dxa"/>
                  <w:vAlign w:val="center"/>
                </w:tcPr>
                <w:p w14:paraId="0424DE0F">
                  <w:pPr>
                    <w:keepNext w:val="0"/>
                    <w:keepLines w:val="0"/>
                    <w:widowControl/>
                    <w:suppressLineNumbers w:val="0"/>
                    <w:adjustRightInd w:val="0"/>
                    <w:snapToGrid w:val="0"/>
                    <w:spacing w:line="240" w:lineRule="auto"/>
                    <w:ind w:left="0" w:leftChars="0" w:firstLine="0" w:firstLineChars="0"/>
                    <w:jc w:val="center"/>
                    <w:rPr>
                      <w:rFonts w:hint="default" w:ascii="Times New Roman" w:hAnsi="Times New Roman" w:cs="Times New Roman"/>
                      <w:color w:val="000000" w:themeColor="text1"/>
                      <w:kern w:val="0"/>
                      <w:sz w:val="20"/>
                      <w:szCs w:val="21"/>
                      <w:u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20"/>
                      <w:szCs w:val="21"/>
                      <w:u w:val="none"/>
                      <w:lang w:val="en-US" w:eastAsia="zh-CN" w:bidi="ar-SA"/>
                      <w14:textFill>
                        <w14:solidFill>
                          <w14:schemeClr w14:val="tx1"/>
                        </w14:solidFill>
                      </w14:textFill>
                    </w:rPr>
                    <w:t>TPS</w:t>
                  </w:r>
                  <w:r>
                    <w:rPr>
                      <w:rFonts w:hint="default" w:ascii="Times New Roman" w:hAnsi="Times New Roman" w:eastAsia="宋体" w:cs="Times New Roman"/>
                      <w:color w:val="000000" w:themeColor="text1"/>
                      <w:kern w:val="0"/>
                      <w:sz w:val="20"/>
                      <w:szCs w:val="21"/>
                      <w:u w:val="none"/>
                      <w:lang w:val="en-US" w:eastAsia="zh-CN" w:bidi="ar-SA"/>
                      <w14:textFill>
                        <w14:solidFill>
                          <w14:schemeClr w14:val="tx1"/>
                        </w14:solidFill>
                      </w14:textFill>
                    </w:rPr>
                    <w:t>1</w:t>
                  </w:r>
                  <w:r>
                    <w:rPr>
                      <w:rFonts w:hint="eastAsia" w:cs="Times New Roman"/>
                      <w:color w:val="000000" w:themeColor="text1"/>
                      <w:kern w:val="0"/>
                      <w:sz w:val="20"/>
                      <w:szCs w:val="21"/>
                      <w:u w:val="none"/>
                      <w:lang w:val="en-US" w:eastAsia="zh-CN" w:bidi="ar-SA"/>
                      <w14:textFill>
                        <w14:solidFill>
                          <w14:schemeClr w14:val="tx1"/>
                        </w14:solidFill>
                      </w14:textFill>
                    </w:rPr>
                    <w:t>3</w:t>
                  </w:r>
                </w:p>
              </w:tc>
              <w:tc>
                <w:tcPr>
                  <w:tcW w:w="1386" w:type="dxa"/>
                  <w:vAlign w:val="center"/>
                </w:tcPr>
                <w:p w14:paraId="281DDE9E">
                  <w:pPr>
                    <w:spacing w:line="240" w:lineRule="auto"/>
                    <w:jc w:val="left"/>
                    <w:rPr>
                      <w:rFonts w:hint="eastAsia" w:ascii="Times New Roman" w:hAnsi="Times New Roman" w:cs="Times New Roman"/>
                      <w:color w:val="000000" w:themeColor="text1"/>
                      <w:kern w:val="0"/>
                      <w:sz w:val="20"/>
                      <w:u w:val="none"/>
                      <w14:textFill>
                        <w14:solidFill>
                          <w14:schemeClr w14:val="tx1"/>
                        </w14:solidFill>
                      </w14:textFill>
                    </w:rPr>
                  </w:pPr>
                  <w:r>
                    <w:rPr>
                      <w:rFonts w:hint="default" w:ascii="Times New Roman" w:hAnsi="Times New Roman" w:cs="Times New Roman"/>
                      <w:color w:val="000000" w:themeColor="text1"/>
                      <w:kern w:val="0"/>
                      <w:sz w:val="20"/>
                      <w:u w:val="none"/>
                      <w14:textFill>
                        <w14:solidFill>
                          <w14:schemeClr w14:val="tx1"/>
                        </w14:solidFill>
                      </w14:textFill>
                    </w:rPr>
                    <w:t>平台区域植被以杉木林、毛竹林、</w:t>
                  </w:r>
                  <w:r>
                    <w:rPr>
                      <w:rFonts w:hint="eastAsia" w:ascii="Times New Roman" w:hAnsi="Times New Roman" w:cs="Times New Roman"/>
                      <w:color w:val="000000" w:themeColor="text1"/>
                      <w:kern w:val="0"/>
                      <w:sz w:val="20"/>
                      <w:u w:val="none"/>
                      <w:lang w:val="en-US" w:eastAsia="zh-CN"/>
                      <w14:textFill>
                        <w14:solidFill>
                          <w14:schemeClr w14:val="tx1"/>
                        </w14:solidFill>
                      </w14:textFill>
                    </w:rPr>
                    <w:t>马尾松、盐肤木灌丛</w:t>
                  </w:r>
                  <w:r>
                    <w:rPr>
                      <w:rFonts w:hint="default" w:ascii="Times New Roman" w:hAnsi="Times New Roman" w:cs="Times New Roman"/>
                      <w:color w:val="000000" w:themeColor="text1"/>
                      <w:kern w:val="0"/>
                      <w:sz w:val="20"/>
                      <w:u w:val="none"/>
                      <w14:textFill>
                        <w14:solidFill>
                          <w14:schemeClr w14:val="tx1"/>
                        </w14:solidFill>
                      </w14:textFill>
                    </w:rPr>
                    <w:t>和</w:t>
                  </w:r>
                  <w:r>
                    <w:rPr>
                      <w:rFonts w:hint="eastAsia" w:cs="Times New Roman"/>
                      <w:color w:val="000000" w:themeColor="text1"/>
                      <w:kern w:val="0"/>
                      <w:sz w:val="20"/>
                      <w:u w:val="none"/>
                      <w:lang w:val="en-US" w:eastAsia="zh-CN"/>
                      <w14:textFill>
                        <w14:solidFill>
                          <w14:schemeClr w14:val="tx1"/>
                        </w14:solidFill>
                      </w14:textFill>
                    </w:rPr>
                    <w:t>白茅</w:t>
                  </w:r>
                  <w:r>
                    <w:rPr>
                      <w:rFonts w:hint="default" w:ascii="Times New Roman" w:hAnsi="Times New Roman" w:cs="Times New Roman"/>
                      <w:color w:val="000000" w:themeColor="text1"/>
                      <w:kern w:val="0"/>
                      <w:sz w:val="20"/>
                      <w:u w:val="none"/>
                      <w14:textFill>
                        <w14:solidFill>
                          <w14:schemeClr w14:val="tx1"/>
                        </w14:solidFill>
                      </w14:textFill>
                    </w:rPr>
                    <w:t>灌草丛</w:t>
                  </w:r>
                  <w:r>
                    <w:rPr>
                      <w:rFonts w:hint="eastAsia" w:cs="Times New Roman"/>
                      <w:color w:val="000000" w:themeColor="text1"/>
                      <w:kern w:val="0"/>
                      <w:sz w:val="20"/>
                      <w:u w:val="none"/>
                      <w:lang w:val="en-US" w:eastAsia="zh-CN"/>
                      <w14:textFill>
                        <w14:solidFill>
                          <w14:schemeClr w14:val="tx1"/>
                        </w14:solidFill>
                      </w14:textFill>
                    </w:rPr>
                    <w:t>为主</w:t>
                  </w:r>
                  <w:r>
                    <w:rPr>
                      <w:rFonts w:hint="default" w:ascii="Times New Roman" w:hAnsi="Times New Roman" w:cs="Times New Roman"/>
                      <w:color w:val="000000" w:themeColor="text1"/>
                      <w:kern w:val="0"/>
                      <w:sz w:val="20"/>
                      <w:u w:val="none"/>
                      <w14:textFill>
                        <w14:solidFill>
                          <w14:schemeClr w14:val="tx1"/>
                        </w14:solidFill>
                      </w14:textFill>
                    </w:rPr>
                    <w:t>，主要植物种类有杉木林、毛竹林、</w:t>
                  </w:r>
                  <w:r>
                    <w:rPr>
                      <w:rFonts w:hint="eastAsia" w:ascii="Times New Roman" w:hAnsi="Times New Roman" w:cs="Times New Roman"/>
                      <w:color w:val="000000" w:themeColor="text1"/>
                      <w:kern w:val="0"/>
                      <w:sz w:val="20"/>
                      <w:u w:val="none"/>
                      <w:lang w:val="en-US" w:eastAsia="zh-CN"/>
                      <w14:textFill>
                        <w14:solidFill>
                          <w14:schemeClr w14:val="tx1"/>
                        </w14:solidFill>
                      </w14:textFill>
                    </w:rPr>
                    <w:t>马尾松、盐肤木</w:t>
                  </w:r>
                  <w:r>
                    <w:rPr>
                      <w:rFonts w:hint="default" w:ascii="Times New Roman" w:hAnsi="Times New Roman" w:cs="Times New Roman"/>
                      <w:color w:val="000000" w:themeColor="text1"/>
                      <w:kern w:val="0"/>
                      <w:sz w:val="20"/>
                      <w:u w:val="none"/>
                      <w14:textFill>
                        <w14:solidFill>
                          <w14:schemeClr w14:val="tx1"/>
                        </w14:solidFill>
                      </w14:textFill>
                    </w:rPr>
                    <w:t>等。</w:t>
                  </w:r>
                </w:p>
              </w:tc>
              <w:tc>
                <w:tcPr>
                  <w:tcW w:w="1181" w:type="dxa"/>
                  <w:vAlign w:val="center"/>
                </w:tcPr>
                <w:p w14:paraId="59ABD22B">
                  <w:pPr>
                    <w:pStyle w:val="104"/>
                    <w:jc w:val="left"/>
                    <w:rPr>
                      <w:rFonts w:hint="eastAsia" w:ascii="宋体" w:hAnsi="宋体" w:cs="宋体"/>
                      <w:bCs/>
                      <w:color w:val="000000" w:themeColor="text1"/>
                      <w:kern w:val="0"/>
                      <w:sz w:val="20"/>
                      <w:u w:val="none"/>
                      <w14:textFill>
                        <w14:solidFill>
                          <w14:schemeClr w14:val="tx1"/>
                        </w14:solidFill>
                      </w14:textFill>
                    </w:rPr>
                  </w:pPr>
                  <w:r>
                    <w:rPr>
                      <w:rFonts w:hint="default" w:ascii="Times New Roman" w:hAnsi="Times New Roman" w:cs="Times New Roman"/>
                      <w:color w:val="000000" w:themeColor="text1"/>
                      <w:kern w:val="0"/>
                      <w:sz w:val="20"/>
                      <w:u w:val="none"/>
                      <w14:textFill>
                        <w14:solidFill>
                          <w14:schemeClr w14:val="tx1"/>
                        </w14:solidFill>
                      </w14:textFill>
                    </w:rPr>
                    <w:t>分布于该区域的野生动物主要有雉鸡、小杜鹃、黄鼬、褐家鼠等。</w:t>
                  </w:r>
                </w:p>
              </w:tc>
              <w:tc>
                <w:tcPr>
                  <w:tcW w:w="642" w:type="dxa"/>
                  <w:vAlign w:val="center"/>
                </w:tcPr>
                <w:p w14:paraId="1DF9D474">
                  <w:pPr>
                    <w:pStyle w:val="104"/>
                    <w:jc w:val="left"/>
                    <w:rPr>
                      <w:rFonts w:hint="default" w:ascii="Times New Roman" w:hAnsi="Times New Roman" w:cs="Times New Roman"/>
                      <w:color w:val="000000" w:themeColor="text1"/>
                      <w:kern w:val="0"/>
                      <w:sz w:val="20"/>
                      <w:u w:val="none"/>
                      <w:lang w:val="en-US"/>
                      <w14:textFill>
                        <w14:solidFill>
                          <w14:schemeClr w14:val="tx1"/>
                        </w14:solidFill>
                      </w14:textFill>
                    </w:rPr>
                  </w:pPr>
                  <w:r>
                    <w:rPr>
                      <w:rFonts w:hint="eastAsia" w:cs="Times New Roman"/>
                      <w:color w:val="000000" w:themeColor="text1"/>
                      <w:kern w:val="0"/>
                      <w:sz w:val="20"/>
                      <w:u w:val="none"/>
                      <w:lang w:val="en-US" w:eastAsia="zh-CN"/>
                      <w14:textFill>
                        <w14:solidFill>
                          <w14:schemeClr w14:val="tx1"/>
                        </w14:solidFill>
                      </w14:textFill>
                    </w:rPr>
                    <w:t>8.78</w:t>
                  </w:r>
                  <w:r>
                    <w:rPr>
                      <w:rFonts w:hint="default" w:ascii="Times New Roman" w:hAnsi="Times New Roman" w:cs="Times New Roman"/>
                      <w:color w:val="000000" w:themeColor="text1"/>
                      <w:kern w:val="0"/>
                      <w:sz w:val="20"/>
                      <w:u w:val="none"/>
                      <w:lang w:val="en-US" w:eastAsia="zh-CN"/>
                      <w14:textFill>
                        <w14:solidFill>
                          <w14:schemeClr w14:val="tx1"/>
                        </w14:solidFill>
                      </w14:textFill>
                    </w:rPr>
                    <w:t>m</w:t>
                  </w:r>
                  <w:r>
                    <w:rPr>
                      <w:rFonts w:hint="default" w:ascii="Times New Roman" w:hAnsi="Times New Roman" w:cs="Times New Roman"/>
                      <w:color w:val="000000" w:themeColor="text1"/>
                      <w:kern w:val="0"/>
                      <w:sz w:val="20"/>
                      <w:u w:val="none"/>
                      <w:vertAlign w:val="superscript"/>
                      <w:lang w:val="en-US" w:eastAsia="zh-CN"/>
                      <w14:textFill>
                        <w14:solidFill>
                          <w14:schemeClr w14:val="tx1"/>
                        </w14:solidFill>
                      </w14:textFill>
                    </w:rPr>
                    <w:t>3</w:t>
                  </w:r>
                  <w:r>
                    <w:rPr>
                      <w:rFonts w:hint="default" w:ascii="Times New Roman" w:hAnsi="Times New Roman" w:cs="Times New Roman"/>
                      <w:color w:val="000000" w:themeColor="text1"/>
                      <w:kern w:val="0"/>
                      <w:sz w:val="20"/>
                      <w:u w:val="none"/>
                      <w:lang w:val="en-US" w:eastAsia="zh-CN"/>
                      <w14:textFill>
                        <w14:solidFill>
                          <w14:schemeClr w14:val="tx1"/>
                        </w14:solidFill>
                      </w14:textFill>
                    </w:rPr>
                    <w:t>/hm</w:t>
                  </w:r>
                  <w:r>
                    <w:rPr>
                      <w:rFonts w:hint="default" w:ascii="Times New Roman" w:hAnsi="Times New Roman" w:cs="Times New Roman"/>
                      <w:color w:val="000000" w:themeColor="text1"/>
                      <w:kern w:val="0"/>
                      <w:sz w:val="20"/>
                      <w:u w:val="none"/>
                      <w:vertAlign w:val="superscript"/>
                      <w:lang w:val="en-US" w:eastAsia="zh-CN"/>
                      <w14:textFill>
                        <w14:solidFill>
                          <w14:schemeClr w14:val="tx1"/>
                        </w14:solidFill>
                      </w14:textFill>
                    </w:rPr>
                    <w:t>2</w:t>
                  </w:r>
                </w:p>
                <w:p w14:paraId="6BE7645E">
                  <w:pPr>
                    <w:pStyle w:val="104"/>
                    <w:jc w:val="left"/>
                    <w:rPr>
                      <w:rFonts w:hint="default" w:ascii="Times New Roman" w:hAnsi="Times New Roman" w:cs="Times New Roman"/>
                      <w:color w:val="000000" w:themeColor="text1"/>
                      <w:kern w:val="0"/>
                      <w:sz w:val="20"/>
                      <w:u w:val="none"/>
                      <w:lang w:val="en-US" w:eastAsia="zh-CN"/>
                      <w14:textFill>
                        <w14:solidFill>
                          <w14:schemeClr w14:val="tx1"/>
                        </w14:solidFill>
                      </w14:textFill>
                    </w:rPr>
                  </w:pPr>
                </w:p>
              </w:tc>
              <w:tc>
                <w:tcPr>
                  <w:tcW w:w="785" w:type="dxa"/>
                  <w:vAlign w:val="center"/>
                </w:tcPr>
                <w:p w14:paraId="169CECE3">
                  <w:pPr>
                    <w:pStyle w:val="104"/>
                    <w:spacing w:line="240" w:lineRule="auto"/>
                    <w:jc w:val="left"/>
                    <w:rPr>
                      <w:rFonts w:hint="eastAsia" w:ascii="宋体" w:hAnsi="宋体" w:cs="宋体"/>
                      <w:bCs/>
                      <w:color w:val="000000" w:themeColor="text1"/>
                      <w:kern w:val="0"/>
                      <w:sz w:val="20"/>
                      <w:u w:val="none"/>
                      <w14:textFill>
                        <w14:solidFill>
                          <w14:schemeClr w14:val="tx1"/>
                        </w14:solidFill>
                      </w14:textFill>
                    </w:rPr>
                  </w:pPr>
                  <w:r>
                    <w:rPr>
                      <w:rFonts w:hint="eastAsia" w:ascii="宋体" w:hAnsi="宋体" w:cs="宋体"/>
                      <w:bCs/>
                      <w:color w:val="000000" w:themeColor="text1"/>
                      <w:kern w:val="0"/>
                      <w:sz w:val="20"/>
                      <w:u w:val="none"/>
                      <w14:textFill>
                        <w14:solidFill>
                          <w14:schemeClr w14:val="tx1"/>
                        </w14:solidFill>
                      </w14:textFill>
                    </w:rPr>
                    <w:t>微度脆弱</w:t>
                  </w:r>
                </w:p>
              </w:tc>
              <w:tc>
                <w:tcPr>
                  <w:tcW w:w="923" w:type="dxa"/>
                  <w:vAlign w:val="center"/>
                </w:tcPr>
                <w:p w14:paraId="3B403798">
                  <w:pPr>
                    <w:pStyle w:val="104"/>
                    <w:jc w:val="left"/>
                    <w:rPr>
                      <w:rFonts w:hint="eastAsia" w:ascii="宋体" w:hAnsi="宋体" w:cs="宋体"/>
                      <w:bCs/>
                      <w:color w:val="000000" w:themeColor="text1"/>
                      <w:kern w:val="0"/>
                      <w:sz w:val="20"/>
                      <w:u w:val="none"/>
                      <w:lang w:val="en-US" w:eastAsia="zh-CN"/>
                      <w14:textFill>
                        <w14:solidFill>
                          <w14:schemeClr w14:val="tx1"/>
                        </w14:solidFill>
                      </w14:textFill>
                    </w:rPr>
                  </w:pPr>
                  <w:r>
                    <w:rPr>
                      <w:rFonts w:hint="eastAsia" w:ascii="宋体" w:hAnsi="宋体" w:cs="宋体"/>
                      <w:bCs/>
                      <w:color w:val="000000" w:themeColor="text1"/>
                      <w:kern w:val="0"/>
                      <w:sz w:val="20"/>
                      <w:u w:val="none"/>
                      <w:lang w:val="en-US" w:eastAsia="zh-CN"/>
                      <w14:textFill>
                        <w14:solidFill>
                          <w14:schemeClr w14:val="tx1"/>
                        </w14:solidFill>
                      </w14:textFill>
                    </w:rPr>
                    <w:t>中等风化</w:t>
                  </w:r>
                </w:p>
              </w:tc>
              <w:tc>
                <w:tcPr>
                  <w:tcW w:w="851" w:type="dxa"/>
                  <w:vAlign w:val="center"/>
                </w:tcPr>
                <w:p w14:paraId="61CEB218">
                  <w:pPr>
                    <w:widowControl/>
                    <w:spacing w:line="240" w:lineRule="auto"/>
                    <w:jc w:val="center"/>
                    <w:rPr>
                      <w:rFonts w:hint="default" w:ascii="宋体" w:hAnsi="宋体" w:eastAsia="宋体" w:cs="宋体"/>
                      <w:color w:val="000000" w:themeColor="text1"/>
                      <w:kern w:val="0"/>
                      <w:sz w:val="20"/>
                      <w:szCs w:val="21"/>
                      <w:u w:val="none"/>
                      <w:lang w:val="en-US" w:eastAsia="zh-CN" w:bidi="ar-SA"/>
                      <w14:textFill>
                        <w14:solidFill>
                          <w14:schemeClr w14:val="tx1"/>
                        </w14:solidFill>
                      </w14:textFill>
                    </w:rPr>
                  </w:pPr>
                  <w:r>
                    <w:rPr>
                      <w:rFonts w:hint="default" w:ascii="宋体" w:hAnsi="宋体" w:eastAsia="宋体" w:cs="宋体"/>
                      <w:color w:val="000000" w:themeColor="text1"/>
                      <w:kern w:val="0"/>
                      <w:sz w:val="20"/>
                      <w:szCs w:val="21"/>
                      <w:u w:val="none"/>
                      <w:lang w:val="en-US" w:eastAsia="zh-CN" w:bidi="ar-SA"/>
                      <w14:textFill>
                        <w14:solidFill>
                          <w14:schemeClr w14:val="tx1"/>
                        </w14:solidFill>
                      </w14:textFill>
                    </w:rPr>
                    <w:t>出露地层主要为石炭系粉砂岩、</w:t>
                  </w:r>
                  <w:r>
                    <w:rPr>
                      <w:rFonts w:hint="eastAsia" w:ascii="宋体" w:hAnsi="宋体" w:cs="宋体"/>
                      <w:color w:val="000000" w:themeColor="text1"/>
                      <w:kern w:val="0"/>
                      <w:sz w:val="20"/>
                      <w:szCs w:val="21"/>
                      <w:u w:val="none"/>
                      <w:lang w:val="en-US" w:eastAsia="zh-CN" w:bidi="ar-SA"/>
                      <w14:textFill>
                        <w14:solidFill>
                          <w14:schemeClr w14:val="tx1"/>
                        </w14:solidFill>
                      </w14:textFill>
                    </w:rPr>
                    <w:t>板</w:t>
                  </w:r>
                  <w:r>
                    <w:rPr>
                      <w:rFonts w:hint="default" w:ascii="宋体" w:hAnsi="宋体" w:eastAsia="宋体" w:cs="宋体"/>
                      <w:color w:val="000000" w:themeColor="text1"/>
                      <w:kern w:val="0"/>
                      <w:sz w:val="20"/>
                      <w:szCs w:val="21"/>
                      <w:u w:val="none"/>
                      <w:lang w:val="en-US" w:eastAsia="zh-CN" w:bidi="ar-SA"/>
                      <w14:textFill>
                        <w14:solidFill>
                          <w14:schemeClr w14:val="tx1"/>
                        </w14:solidFill>
                      </w14:textFill>
                    </w:rPr>
                    <w:t>岩</w:t>
                  </w:r>
                </w:p>
              </w:tc>
              <w:tc>
                <w:tcPr>
                  <w:tcW w:w="547" w:type="dxa"/>
                  <w:vAlign w:val="center"/>
                </w:tcPr>
                <w:p w14:paraId="4C684C54">
                  <w:pPr>
                    <w:pStyle w:val="23"/>
                    <w:keepNext w:val="0"/>
                    <w:keepLines w:val="0"/>
                    <w:widowControl/>
                    <w:suppressLineNumbers w:val="0"/>
                    <w:adjustRightInd w:val="0"/>
                    <w:snapToGrid w:val="0"/>
                    <w:spacing w:line="240" w:lineRule="auto"/>
                    <w:ind w:left="0" w:leftChars="0" w:firstLine="0" w:firstLineChars="0"/>
                    <w:jc w:val="center"/>
                    <w:rPr>
                      <w:rFonts w:hint="default" w:ascii="Times New Roman" w:hAnsi="Calibri" w:eastAsia="Times New Roman" w:cs="Times New Roman"/>
                      <w:b w:val="0"/>
                      <w:bCs/>
                      <w:color w:val="auto"/>
                      <w:spacing w:val="-4"/>
                      <w:kern w:val="0"/>
                      <w:sz w:val="21"/>
                      <w:szCs w:val="22"/>
                      <w:u w:val="none"/>
                      <w:lang w:val="en-US" w:eastAsia="zh-CN" w:bidi="ar-SA"/>
                    </w:rPr>
                  </w:pPr>
                  <w:r>
                    <w:rPr>
                      <w:rFonts w:hint="eastAsia" w:ascii="Times New Roman" w:hAnsi="Calibri" w:eastAsia="Times New Roman" w:cs="Times New Roman"/>
                      <w:b w:val="0"/>
                      <w:bCs/>
                      <w:color w:val="auto"/>
                      <w:spacing w:val="-4"/>
                      <w:kern w:val="0"/>
                      <w:sz w:val="21"/>
                      <w:szCs w:val="22"/>
                      <w:u w:val="none"/>
                      <w:lang w:val="en-US" w:eastAsia="zh-CN" w:bidi="ar-SA"/>
                    </w:rPr>
                    <w:t>946.2</w:t>
                  </w:r>
                </w:p>
              </w:tc>
              <w:tc>
                <w:tcPr>
                  <w:tcW w:w="745" w:type="dxa"/>
                  <w:vAlign w:val="center"/>
                </w:tcPr>
                <w:p w14:paraId="4CA3DEF8">
                  <w:pPr>
                    <w:widowControl/>
                    <w:spacing w:line="240" w:lineRule="auto"/>
                    <w:jc w:val="center"/>
                    <w:rPr>
                      <w:rFonts w:hint="default" w:ascii="Times New Roman" w:hAnsi="Times New Roman" w:eastAsia="宋体" w:cs="Times New Roman"/>
                      <w:color w:val="000000" w:themeColor="text1"/>
                      <w:kern w:val="0"/>
                      <w:sz w:val="20"/>
                      <w:szCs w:val="21"/>
                      <w:u w:val="none"/>
                      <w:lang w:val="en-US" w:eastAsia="zh-CN" w:bidi="ar-SA"/>
                      <w14:textFill>
                        <w14:solidFill>
                          <w14:schemeClr w14:val="tx1"/>
                        </w14:solidFill>
                      </w14:textFill>
                    </w:rPr>
                  </w:pPr>
                  <w:r>
                    <w:rPr>
                      <w:rFonts w:hint="eastAsia" w:cs="Times New Roman"/>
                      <w:color w:val="000000" w:themeColor="text1"/>
                      <w:kern w:val="0"/>
                      <w:sz w:val="20"/>
                      <w:szCs w:val="21"/>
                      <w:u w:val="none"/>
                      <w:lang w:val="en-US" w:eastAsia="zh-CN" w:bidi="ar-SA"/>
                      <w14:textFill>
                        <w14:solidFill>
                          <w14:schemeClr w14:val="tx1"/>
                        </w14:solidFill>
                      </w14:textFill>
                    </w:rPr>
                    <w:t>22.8</w:t>
                  </w:r>
                  <w:r>
                    <w:rPr>
                      <w:rFonts w:hint="default" w:ascii="Times New Roman" w:hAnsi="Times New Roman" w:eastAsia="宋体" w:cs="Times New Roman"/>
                      <w:color w:val="000000" w:themeColor="text1"/>
                      <w:kern w:val="0"/>
                      <w:sz w:val="20"/>
                      <w:szCs w:val="21"/>
                      <w:u w:val="none"/>
                      <w:lang w:val="en-US" w:eastAsia="zh-CN" w:bidi="ar-SA"/>
                      <w14:textFill>
                        <w14:solidFill>
                          <w14:schemeClr w14:val="tx1"/>
                        </w14:solidFill>
                      </w14:textFill>
                    </w:rPr>
                    <w:t>，山地</w:t>
                  </w:r>
                </w:p>
              </w:tc>
            </w:tr>
            <w:tr w14:paraId="241930F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 w:hRule="atLeast"/>
                <w:jc w:val="center"/>
              </w:trPr>
              <w:tc>
                <w:tcPr>
                  <w:tcW w:w="512" w:type="dxa"/>
                  <w:vAlign w:val="center"/>
                </w:tcPr>
                <w:p w14:paraId="420C98DE">
                  <w:pPr>
                    <w:keepNext w:val="0"/>
                    <w:keepLines w:val="0"/>
                    <w:widowControl/>
                    <w:suppressLineNumbers w:val="0"/>
                    <w:adjustRightInd w:val="0"/>
                    <w:snapToGrid w:val="0"/>
                    <w:spacing w:line="240" w:lineRule="auto"/>
                    <w:ind w:left="0" w:leftChars="0" w:firstLine="0" w:firstLineChars="0"/>
                    <w:jc w:val="center"/>
                    <w:rPr>
                      <w:rFonts w:hint="default" w:ascii="Times New Roman" w:hAnsi="Times New Roman" w:cs="Times New Roman"/>
                      <w:color w:val="000000" w:themeColor="text1"/>
                      <w:kern w:val="0"/>
                      <w:sz w:val="20"/>
                      <w:szCs w:val="21"/>
                      <w:u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20"/>
                      <w:szCs w:val="21"/>
                      <w:u w:val="none"/>
                      <w:lang w:val="en-US" w:eastAsia="zh-CN" w:bidi="ar-SA"/>
                      <w14:textFill>
                        <w14:solidFill>
                          <w14:schemeClr w14:val="tx1"/>
                        </w14:solidFill>
                      </w14:textFill>
                    </w:rPr>
                    <w:t>TPS</w:t>
                  </w:r>
                  <w:r>
                    <w:rPr>
                      <w:rFonts w:hint="default" w:ascii="Times New Roman" w:hAnsi="Times New Roman" w:eastAsia="宋体" w:cs="Times New Roman"/>
                      <w:color w:val="000000" w:themeColor="text1"/>
                      <w:kern w:val="0"/>
                      <w:sz w:val="20"/>
                      <w:szCs w:val="21"/>
                      <w:u w:val="none"/>
                      <w:lang w:val="en-US" w:eastAsia="zh-CN" w:bidi="ar-SA"/>
                      <w14:textFill>
                        <w14:solidFill>
                          <w14:schemeClr w14:val="tx1"/>
                        </w14:solidFill>
                      </w14:textFill>
                    </w:rPr>
                    <w:t>1</w:t>
                  </w:r>
                  <w:r>
                    <w:rPr>
                      <w:rFonts w:hint="eastAsia" w:cs="Times New Roman"/>
                      <w:color w:val="000000" w:themeColor="text1"/>
                      <w:kern w:val="0"/>
                      <w:sz w:val="20"/>
                      <w:szCs w:val="21"/>
                      <w:u w:val="none"/>
                      <w:lang w:val="en-US" w:eastAsia="zh-CN" w:bidi="ar-SA"/>
                      <w14:textFill>
                        <w14:solidFill>
                          <w14:schemeClr w14:val="tx1"/>
                        </w14:solidFill>
                      </w14:textFill>
                    </w:rPr>
                    <w:t>4</w:t>
                  </w:r>
                </w:p>
              </w:tc>
              <w:tc>
                <w:tcPr>
                  <w:tcW w:w="1386" w:type="dxa"/>
                  <w:vAlign w:val="center"/>
                </w:tcPr>
                <w:p w14:paraId="389F8C93">
                  <w:pPr>
                    <w:spacing w:line="240" w:lineRule="auto"/>
                    <w:jc w:val="left"/>
                    <w:rPr>
                      <w:rFonts w:hint="eastAsia" w:ascii="Times New Roman" w:hAnsi="Times New Roman" w:cs="Times New Roman"/>
                      <w:color w:val="000000" w:themeColor="text1"/>
                      <w:kern w:val="0"/>
                      <w:sz w:val="20"/>
                      <w:u w:val="none"/>
                      <w14:textFill>
                        <w14:solidFill>
                          <w14:schemeClr w14:val="tx1"/>
                        </w14:solidFill>
                      </w14:textFill>
                    </w:rPr>
                  </w:pPr>
                  <w:r>
                    <w:rPr>
                      <w:rFonts w:hint="default" w:ascii="Times New Roman" w:hAnsi="Times New Roman" w:cs="Times New Roman"/>
                      <w:color w:val="000000" w:themeColor="text1"/>
                      <w:kern w:val="0"/>
                      <w:sz w:val="20"/>
                      <w:u w:val="none"/>
                      <w14:textFill>
                        <w14:solidFill>
                          <w14:schemeClr w14:val="tx1"/>
                        </w14:solidFill>
                      </w14:textFill>
                    </w:rPr>
                    <w:t>平台区域植被以植被以针叶林为主，常见的群系为杉木林等。</w:t>
                  </w:r>
                </w:p>
              </w:tc>
              <w:tc>
                <w:tcPr>
                  <w:tcW w:w="1181" w:type="dxa"/>
                  <w:vAlign w:val="center"/>
                </w:tcPr>
                <w:p w14:paraId="672C6ABA">
                  <w:pPr>
                    <w:pStyle w:val="104"/>
                    <w:jc w:val="left"/>
                    <w:rPr>
                      <w:rFonts w:hint="eastAsia" w:ascii="宋体" w:hAnsi="宋体" w:cs="宋体"/>
                      <w:bCs/>
                      <w:color w:val="000000" w:themeColor="text1"/>
                      <w:kern w:val="0"/>
                      <w:sz w:val="20"/>
                      <w:u w:val="none"/>
                      <w14:textFill>
                        <w14:solidFill>
                          <w14:schemeClr w14:val="tx1"/>
                        </w14:solidFill>
                      </w14:textFill>
                    </w:rPr>
                  </w:pPr>
                  <w:r>
                    <w:rPr>
                      <w:rFonts w:hint="default" w:ascii="Times New Roman" w:hAnsi="Times New Roman" w:cs="Times New Roman"/>
                      <w:color w:val="000000" w:themeColor="text1"/>
                      <w:kern w:val="0"/>
                      <w:sz w:val="20"/>
                      <w:u w:val="none"/>
                      <w14:textFill>
                        <w14:solidFill>
                          <w14:schemeClr w14:val="tx1"/>
                        </w14:solidFill>
                      </w14:textFill>
                    </w:rPr>
                    <w:t>分布于该区域的野生动物主要有大山雀、山麻雀，还有少量的中国石龙子、铜蜓蜥等。</w:t>
                  </w:r>
                </w:p>
              </w:tc>
              <w:tc>
                <w:tcPr>
                  <w:tcW w:w="642" w:type="dxa"/>
                  <w:vAlign w:val="center"/>
                </w:tcPr>
                <w:p w14:paraId="46C94D46">
                  <w:pPr>
                    <w:pStyle w:val="104"/>
                    <w:jc w:val="left"/>
                    <w:rPr>
                      <w:rFonts w:hint="default" w:ascii="Times New Roman" w:hAnsi="Times New Roman" w:cs="Times New Roman"/>
                      <w:color w:val="000000" w:themeColor="text1"/>
                      <w:kern w:val="0"/>
                      <w:sz w:val="20"/>
                      <w:u w:val="none"/>
                      <w:lang w:val="en-US" w:eastAsia="zh-CN"/>
                      <w14:textFill>
                        <w14:solidFill>
                          <w14:schemeClr w14:val="tx1"/>
                        </w14:solidFill>
                      </w14:textFill>
                    </w:rPr>
                  </w:pPr>
                  <w:r>
                    <w:rPr>
                      <w:rFonts w:hint="eastAsia" w:cs="Times New Roman"/>
                      <w:color w:val="000000" w:themeColor="text1"/>
                      <w:kern w:val="0"/>
                      <w:sz w:val="20"/>
                      <w:u w:val="none"/>
                      <w:lang w:val="en-US" w:eastAsia="zh-CN"/>
                      <w14:textFill>
                        <w14:solidFill>
                          <w14:schemeClr w14:val="tx1"/>
                        </w14:solidFill>
                      </w14:textFill>
                    </w:rPr>
                    <w:t>10.6</w:t>
                  </w:r>
                  <w:r>
                    <w:rPr>
                      <w:rFonts w:hint="default" w:ascii="Times New Roman" w:hAnsi="Times New Roman" w:cs="Times New Roman"/>
                      <w:color w:val="000000" w:themeColor="text1"/>
                      <w:kern w:val="0"/>
                      <w:sz w:val="20"/>
                      <w:u w:val="none"/>
                      <w:lang w:val="en-US" w:eastAsia="zh-CN"/>
                      <w14:textFill>
                        <w14:solidFill>
                          <w14:schemeClr w14:val="tx1"/>
                        </w14:solidFill>
                      </w14:textFill>
                    </w:rPr>
                    <w:t>m</w:t>
                  </w:r>
                  <w:r>
                    <w:rPr>
                      <w:rFonts w:hint="default" w:ascii="Times New Roman" w:hAnsi="Times New Roman" w:cs="Times New Roman"/>
                      <w:color w:val="000000" w:themeColor="text1"/>
                      <w:kern w:val="0"/>
                      <w:sz w:val="20"/>
                      <w:u w:val="none"/>
                      <w:vertAlign w:val="superscript"/>
                      <w:lang w:val="en-US" w:eastAsia="zh-CN"/>
                      <w14:textFill>
                        <w14:solidFill>
                          <w14:schemeClr w14:val="tx1"/>
                        </w14:solidFill>
                      </w14:textFill>
                    </w:rPr>
                    <w:t>3</w:t>
                  </w:r>
                  <w:r>
                    <w:rPr>
                      <w:rFonts w:hint="default" w:ascii="Times New Roman" w:hAnsi="Times New Roman" w:cs="Times New Roman"/>
                      <w:color w:val="000000" w:themeColor="text1"/>
                      <w:kern w:val="0"/>
                      <w:sz w:val="20"/>
                      <w:u w:val="none"/>
                      <w:lang w:val="en-US" w:eastAsia="zh-CN"/>
                      <w14:textFill>
                        <w14:solidFill>
                          <w14:schemeClr w14:val="tx1"/>
                        </w14:solidFill>
                      </w14:textFill>
                    </w:rPr>
                    <w:t>/hm</w:t>
                  </w:r>
                  <w:r>
                    <w:rPr>
                      <w:rFonts w:hint="default" w:ascii="Times New Roman" w:hAnsi="Times New Roman" w:cs="Times New Roman"/>
                      <w:color w:val="000000" w:themeColor="text1"/>
                      <w:kern w:val="0"/>
                      <w:sz w:val="20"/>
                      <w:u w:val="none"/>
                      <w:vertAlign w:val="superscript"/>
                      <w:lang w:val="en-US" w:eastAsia="zh-CN"/>
                      <w14:textFill>
                        <w14:solidFill>
                          <w14:schemeClr w14:val="tx1"/>
                        </w14:solidFill>
                      </w14:textFill>
                    </w:rPr>
                    <w:t>2</w:t>
                  </w:r>
                </w:p>
              </w:tc>
              <w:tc>
                <w:tcPr>
                  <w:tcW w:w="785" w:type="dxa"/>
                  <w:vAlign w:val="center"/>
                </w:tcPr>
                <w:p w14:paraId="51663FF4">
                  <w:pPr>
                    <w:spacing w:line="240" w:lineRule="auto"/>
                    <w:jc w:val="left"/>
                    <w:rPr>
                      <w:rFonts w:hint="eastAsia" w:ascii="宋体" w:hAnsi="宋体" w:cs="宋体"/>
                      <w:bCs/>
                      <w:color w:val="000000" w:themeColor="text1"/>
                      <w:kern w:val="0"/>
                      <w:sz w:val="20"/>
                      <w:u w:val="none"/>
                      <w14:textFill>
                        <w14:solidFill>
                          <w14:schemeClr w14:val="tx1"/>
                        </w14:solidFill>
                      </w14:textFill>
                    </w:rPr>
                  </w:pPr>
                  <w:r>
                    <w:rPr>
                      <w:rFonts w:hint="eastAsia" w:ascii="宋体" w:hAnsi="宋体" w:cs="宋体"/>
                      <w:bCs/>
                      <w:color w:val="000000" w:themeColor="text1"/>
                      <w:kern w:val="0"/>
                      <w:sz w:val="20"/>
                      <w:u w:val="none"/>
                      <w14:textFill>
                        <w14:solidFill>
                          <w14:schemeClr w14:val="tx1"/>
                        </w14:solidFill>
                      </w14:textFill>
                    </w:rPr>
                    <w:t>微度脆弱</w:t>
                  </w:r>
                </w:p>
              </w:tc>
              <w:tc>
                <w:tcPr>
                  <w:tcW w:w="923" w:type="dxa"/>
                  <w:vAlign w:val="center"/>
                </w:tcPr>
                <w:p w14:paraId="7DCF58EE">
                  <w:pPr>
                    <w:spacing w:line="240" w:lineRule="auto"/>
                    <w:jc w:val="center"/>
                    <w:rPr>
                      <w:rFonts w:hint="eastAsia" w:ascii="宋体" w:hAnsi="宋体" w:cs="宋体"/>
                      <w:bCs/>
                      <w:color w:val="000000" w:themeColor="text1"/>
                      <w:kern w:val="0"/>
                      <w:sz w:val="20"/>
                      <w:u w:val="none"/>
                      <w:lang w:val="en-US" w:eastAsia="zh-CN"/>
                      <w14:textFill>
                        <w14:solidFill>
                          <w14:schemeClr w14:val="tx1"/>
                        </w14:solidFill>
                      </w14:textFill>
                    </w:rPr>
                  </w:pPr>
                  <w:r>
                    <w:rPr>
                      <w:rFonts w:hint="eastAsia" w:ascii="宋体" w:hAnsi="宋体" w:cs="宋体"/>
                      <w:bCs/>
                      <w:color w:val="000000" w:themeColor="text1"/>
                      <w:kern w:val="0"/>
                      <w:sz w:val="20"/>
                      <w:u w:val="none"/>
                      <w:lang w:val="en-US" w:eastAsia="zh-CN"/>
                      <w14:textFill>
                        <w14:solidFill>
                          <w14:schemeClr w14:val="tx1"/>
                        </w14:solidFill>
                      </w14:textFill>
                    </w:rPr>
                    <w:t>中等风化</w:t>
                  </w:r>
                </w:p>
              </w:tc>
              <w:tc>
                <w:tcPr>
                  <w:tcW w:w="851" w:type="dxa"/>
                  <w:vAlign w:val="center"/>
                </w:tcPr>
                <w:p w14:paraId="6D1CDDF0">
                  <w:pPr>
                    <w:widowControl/>
                    <w:spacing w:line="240" w:lineRule="auto"/>
                    <w:jc w:val="center"/>
                    <w:rPr>
                      <w:rFonts w:hint="default" w:ascii="宋体" w:hAnsi="宋体" w:eastAsia="宋体" w:cs="宋体"/>
                      <w:color w:val="000000" w:themeColor="text1"/>
                      <w:kern w:val="0"/>
                      <w:sz w:val="20"/>
                      <w:szCs w:val="21"/>
                      <w:u w:val="none"/>
                      <w:lang w:val="en-US" w:eastAsia="zh-CN" w:bidi="ar-SA"/>
                      <w14:textFill>
                        <w14:solidFill>
                          <w14:schemeClr w14:val="tx1"/>
                        </w14:solidFill>
                      </w14:textFill>
                    </w:rPr>
                  </w:pPr>
                  <w:r>
                    <w:rPr>
                      <w:rFonts w:hint="default" w:ascii="宋体" w:hAnsi="宋体" w:eastAsia="宋体" w:cs="宋体"/>
                      <w:color w:val="000000" w:themeColor="text1"/>
                      <w:kern w:val="0"/>
                      <w:sz w:val="20"/>
                      <w:szCs w:val="21"/>
                      <w:u w:val="none"/>
                      <w:lang w:val="en-US" w:eastAsia="zh-CN" w:bidi="ar-SA"/>
                      <w14:textFill>
                        <w14:solidFill>
                          <w14:schemeClr w14:val="tx1"/>
                        </w14:solidFill>
                      </w14:textFill>
                    </w:rPr>
                    <w:t>出露地层主要为石炭系粉砂岩、</w:t>
                  </w:r>
                  <w:r>
                    <w:rPr>
                      <w:rFonts w:hint="eastAsia" w:ascii="宋体" w:hAnsi="宋体" w:cs="宋体"/>
                      <w:color w:val="000000" w:themeColor="text1"/>
                      <w:kern w:val="0"/>
                      <w:sz w:val="20"/>
                      <w:szCs w:val="21"/>
                      <w:u w:val="none"/>
                      <w:lang w:val="en-US" w:eastAsia="zh-CN" w:bidi="ar-SA"/>
                      <w14:textFill>
                        <w14:solidFill>
                          <w14:schemeClr w14:val="tx1"/>
                        </w14:solidFill>
                      </w14:textFill>
                    </w:rPr>
                    <w:t>板</w:t>
                  </w:r>
                  <w:r>
                    <w:rPr>
                      <w:rFonts w:hint="default" w:ascii="宋体" w:hAnsi="宋体" w:eastAsia="宋体" w:cs="宋体"/>
                      <w:color w:val="000000" w:themeColor="text1"/>
                      <w:kern w:val="0"/>
                      <w:sz w:val="20"/>
                      <w:szCs w:val="21"/>
                      <w:u w:val="none"/>
                      <w:lang w:val="en-US" w:eastAsia="zh-CN" w:bidi="ar-SA"/>
                      <w14:textFill>
                        <w14:solidFill>
                          <w14:schemeClr w14:val="tx1"/>
                        </w14:solidFill>
                      </w14:textFill>
                    </w:rPr>
                    <w:t>岩</w:t>
                  </w:r>
                </w:p>
              </w:tc>
              <w:tc>
                <w:tcPr>
                  <w:tcW w:w="547" w:type="dxa"/>
                  <w:vAlign w:val="center"/>
                </w:tcPr>
                <w:p w14:paraId="5FFEB432">
                  <w:pPr>
                    <w:pStyle w:val="23"/>
                    <w:keepNext w:val="0"/>
                    <w:keepLines w:val="0"/>
                    <w:widowControl/>
                    <w:suppressLineNumbers w:val="0"/>
                    <w:adjustRightInd w:val="0"/>
                    <w:snapToGrid w:val="0"/>
                    <w:spacing w:line="240" w:lineRule="auto"/>
                    <w:ind w:left="0" w:leftChars="0" w:firstLine="0" w:firstLineChars="0"/>
                    <w:jc w:val="center"/>
                    <w:rPr>
                      <w:rFonts w:hint="default" w:ascii="Times New Roman" w:hAnsi="Calibri" w:eastAsia="Times New Roman" w:cs="Times New Roman"/>
                      <w:b w:val="0"/>
                      <w:bCs/>
                      <w:color w:val="auto"/>
                      <w:spacing w:val="-4"/>
                      <w:kern w:val="0"/>
                      <w:sz w:val="21"/>
                      <w:szCs w:val="22"/>
                      <w:u w:val="none"/>
                      <w:lang w:val="en-US" w:eastAsia="zh-CN" w:bidi="ar-SA"/>
                    </w:rPr>
                  </w:pPr>
                  <w:r>
                    <w:rPr>
                      <w:rFonts w:hint="eastAsia" w:ascii="Times New Roman" w:hAnsi="Calibri" w:eastAsia="Times New Roman" w:cs="Times New Roman"/>
                      <w:b w:val="0"/>
                      <w:bCs/>
                      <w:color w:val="auto"/>
                      <w:spacing w:val="-4"/>
                      <w:kern w:val="0"/>
                      <w:sz w:val="21"/>
                      <w:szCs w:val="22"/>
                      <w:u w:val="none"/>
                      <w:lang w:val="en-US" w:eastAsia="zh-CN" w:bidi="ar-SA"/>
                    </w:rPr>
                    <w:t>880.5</w:t>
                  </w:r>
                </w:p>
              </w:tc>
              <w:tc>
                <w:tcPr>
                  <w:tcW w:w="745" w:type="dxa"/>
                  <w:vAlign w:val="center"/>
                </w:tcPr>
                <w:p w14:paraId="2878D546">
                  <w:pPr>
                    <w:widowControl/>
                    <w:spacing w:line="240" w:lineRule="auto"/>
                    <w:jc w:val="center"/>
                    <w:rPr>
                      <w:rFonts w:hint="default" w:ascii="Times New Roman" w:hAnsi="Times New Roman" w:eastAsia="宋体" w:cs="Times New Roman"/>
                      <w:color w:val="000000" w:themeColor="text1"/>
                      <w:kern w:val="0"/>
                      <w:sz w:val="20"/>
                      <w:szCs w:val="21"/>
                      <w:u w:val="none"/>
                      <w:lang w:val="en-US" w:eastAsia="zh-CN" w:bidi="ar-SA"/>
                      <w14:textFill>
                        <w14:solidFill>
                          <w14:schemeClr w14:val="tx1"/>
                        </w14:solidFill>
                      </w14:textFill>
                    </w:rPr>
                  </w:pPr>
                  <w:r>
                    <w:rPr>
                      <w:rFonts w:hint="eastAsia" w:cs="Times New Roman"/>
                      <w:color w:val="000000" w:themeColor="text1"/>
                      <w:kern w:val="0"/>
                      <w:sz w:val="20"/>
                      <w:szCs w:val="21"/>
                      <w:u w:val="none"/>
                      <w:lang w:val="en-US" w:eastAsia="zh-CN" w:bidi="ar-SA"/>
                      <w14:textFill>
                        <w14:solidFill>
                          <w14:schemeClr w14:val="tx1"/>
                        </w14:solidFill>
                      </w14:textFill>
                    </w:rPr>
                    <w:t>23.9</w:t>
                  </w:r>
                  <w:r>
                    <w:rPr>
                      <w:rFonts w:hint="default" w:ascii="Times New Roman" w:hAnsi="Times New Roman" w:eastAsia="宋体" w:cs="Times New Roman"/>
                      <w:color w:val="000000" w:themeColor="text1"/>
                      <w:kern w:val="0"/>
                      <w:sz w:val="20"/>
                      <w:szCs w:val="21"/>
                      <w:u w:val="none"/>
                      <w:lang w:val="en-US" w:eastAsia="zh-CN" w:bidi="ar-SA"/>
                      <w14:textFill>
                        <w14:solidFill>
                          <w14:schemeClr w14:val="tx1"/>
                        </w14:solidFill>
                      </w14:textFill>
                    </w:rPr>
                    <w:t>，山地</w:t>
                  </w:r>
                </w:p>
              </w:tc>
            </w:tr>
            <w:tr w14:paraId="22BE186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23" w:hRule="atLeast"/>
                <w:jc w:val="center"/>
              </w:trPr>
              <w:tc>
                <w:tcPr>
                  <w:tcW w:w="512" w:type="dxa"/>
                  <w:vAlign w:val="center"/>
                </w:tcPr>
                <w:p w14:paraId="6918B38C">
                  <w:pPr>
                    <w:keepNext w:val="0"/>
                    <w:keepLines w:val="0"/>
                    <w:widowControl/>
                    <w:suppressLineNumbers w:val="0"/>
                    <w:adjustRightInd w:val="0"/>
                    <w:snapToGrid w:val="0"/>
                    <w:spacing w:line="240" w:lineRule="auto"/>
                    <w:ind w:left="0" w:leftChars="0" w:firstLine="0" w:firstLineChars="0"/>
                    <w:jc w:val="center"/>
                    <w:rPr>
                      <w:rFonts w:hint="default" w:ascii="Times New Roman" w:hAnsi="Times New Roman" w:cs="Times New Roman"/>
                      <w:color w:val="000000" w:themeColor="text1"/>
                      <w:kern w:val="0"/>
                      <w:sz w:val="20"/>
                      <w:szCs w:val="21"/>
                      <w:u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20"/>
                      <w:szCs w:val="21"/>
                      <w:u w:val="none"/>
                      <w:lang w:val="en-US" w:eastAsia="zh-CN" w:bidi="ar-SA"/>
                      <w14:textFill>
                        <w14:solidFill>
                          <w14:schemeClr w14:val="tx1"/>
                        </w14:solidFill>
                      </w14:textFill>
                    </w:rPr>
                    <w:t>TPS</w:t>
                  </w:r>
                  <w:r>
                    <w:rPr>
                      <w:rFonts w:hint="default" w:ascii="Times New Roman" w:hAnsi="Times New Roman" w:eastAsia="宋体" w:cs="Times New Roman"/>
                      <w:color w:val="000000" w:themeColor="text1"/>
                      <w:kern w:val="0"/>
                      <w:sz w:val="20"/>
                      <w:szCs w:val="21"/>
                      <w:u w:val="none"/>
                      <w:lang w:val="en-US" w:eastAsia="zh-CN" w:bidi="ar-SA"/>
                      <w14:textFill>
                        <w14:solidFill>
                          <w14:schemeClr w14:val="tx1"/>
                        </w14:solidFill>
                      </w14:textFill>
                    </w:rPr>
                    <w:t>1</w:t>
                  </w:r>
                  <w:r>
                    <w:rPr>
                      <w:rFonts w:hint="eastAsia" w:cs="Times New Roman"/>
                      <w:color w:val="000000" w:themeColor="text1"/>
                      <w:kern w:val="0"/>
                      <w:sz w:val="20"/>
                      <w:szCs w:val="21"/>
                      <w:u w:val="none"/>
                      <w:lang w:val="en-US" w:eastAsia="zh-CN" w:bidi="ar-SA"/>
                      <w14:textFill>
                        <w14:solidFill>
                          <w14:schemeClr w14:val="tx1"/>
                        </w14:solidFill>
                      </w14:textFill>
                    </w:rPr>
                    <w:t>5</w:t>
                  </w:r>
                </w:p>
              </w:tc>
              <w:tc>
                <w:tcPr>
                  <w:tcW w:w="1386" w:type="dxa"/>
                  <w:vAlign w:val="center"/>
                </w:tcPr>
                <w:p w14:paraId="6A4E4082">
                  <w:pPr>
                    <w:pStyle w:val="104"/>
                    <w:jc w:val="left"/>
                    <w:rPr>
                      <w:rFonts w:hint="eastAsia" w:ascii="Times New Roman" w:hAnsi="Times New Roman" w:cs="Times New Roman"/>
                      <w:color w:val="000000" w:themeColor="text1"/>
                      <w:kern w:val="0"/>
                      <w:sz w:val="20"/>
                      <w:u w:val="none"/>
                      <w14:textFill>
                        <w14:solidFill>
                          <w14:schemeClr w14:val="tx1"/>
                        </w14:solidFill>
                      </w14:textFill>
                    </w:rPr>
                  </w:pPr>
                  <w:r>
                    <w:rPr>
                      <w:rFonts w:hint="default" w:ascii="Times New Roman" w:hAnsi="Times New Roman" w:cs="Times New Roman"/>
                      <w:color w:val="000000" w:themeColor="text1"/>
                      <w:kern w:val="0"/>
                      <w:sz w:val="20"/>
                      <w:u w:val="none"/>
                      <w14:textFill>
                        <w14:solidFill>
                          <w14:schemeClr w14:val="tx1"/>
                        </w14:solidFill>
                      </w14:textFill>
                    </w:rPr>
                    <w:t>平台区域植被植被以灌丛和灌草丛为主，其他植物常见的有尾叶石韦、五节芒、荩草、芒萁等</w:t>
                  </w:r>
                  <w:r>
                    <w:rPr>
                      <w:rFonts w:hint="eastAsia" w:cs="Times New Roman"/>
                      <w:color w:val="000000" w:themeColor="text1"/>
                      <w:kern w:val="0"/>
                      <w:sz w:val="20"/>
                      <w:u w:val="none"/>
                      <w:lang w:eastAsia="zh-CN"/>
                      <w14:textFill>
                        <w14:solidFill>
                          <w14:schemeClr w14:val="tx1"/>
                        </w14:solidFill>
                      </w14:textFill>
                    </w:rPr>
                    <w:t>。</w:t>
                  </w:r>
                </w:p>
              </w:tc>
              <w:tc>
                <w:tcPr>
                  <w:tcW w:w="1181" w:type="dxa"/>
                  <w:vAlign w:val="center"/>
                </w:tcPr>
                <w:p w14:paraId="0A537436">
                  <w:pPr>
                    <w:pStyle w:val="104"/>
                    <w:jc w:val="left"/>
                    <w:rPr>
                      <w:rFonts w:hint="eastAsia" w:ascii="宋体" w:hAnsi="宋体" w:cs="宋体"/>
                      <w:bCs/>
                      <w:color w:val="000000" w:themeColor="text1"/>
                      <w:kern w:val="0"/>
                      <w:sz w:val="20"/>
                      <w:u w:val="none"/>
                      <w14:textFill>
                        <w14:solidFill>
                          <w14:schemeClr w14:val="tx1"/>
                        </w14:solidFill>
                      </w14:textFill>
                    </w:rPr>
                  </w:pPr>
                  <w:r>
                    <w:rPr>
                      <w:rFonts w:hint="default" w:ascii="Times New Roman" w:hAnsi="Times New Roman" w:cs="Times New Roman"/>
                      <w:color w:val="000000" w:themeColor="text1"/>
                      <w:kern w:val="0"/>
                      <w:sz w:val="20"/>
                      <w:u w:val="none"/>
                      <w14:textFill>
                        <w14:solidFill>
                          <w14:schemeClr w14:val="tx1"/>
                        </w14:solidFill>
                      </w14:textFill>
                    </w:rPr>
                    <w:t>分布于该区域的野生动物主要有松鸦、山斑鸠等，还有少量的铜蜓蜥、赤腹松鼠等。</w:t>
                  </w:r>
                </w:p>
              </w:tc>
              <w:tc>
                <w:tcPr>
                  <w:tcW w:w="642" w:type="dxa"/>
                  <w:vAlign w:val="center"/>
                </w:tcPr>
                <w:p w14:paraId="1C5971D1">
                  <w:pPr>
                    <w:pStyle w:val="104"/>
                    <w:jc w:val="left"/>
                    <w:rPr>
                      <w:rFonts w:hint="default" w:ascii="Times New Roman" w:hAnsi="Times New Roman" w:cs="Times New Roman"/>
                      <w:color w:val="000000" w:themeColor="text1"/>
                      <w:kern w:val="0"/>
                      <w:sz w:val="20"/>
                      <w:u w:val="none"/>
                      <w:lang w:val="en-US" w:eastAsia="zh-CN"/>
                      <w14:textFill>
                        <w14:solidFill>
                          <w14:schemeClr w14:val="tx1"/>
                        </w14:solidFill>
                      </w14:textFill>
                    </w:rPr>
                  </w:pPr>
                  <w:r>
                    <w:rPr>
                      <w:rFonts w:hint="eastAsia" w:cs="Times New Roman"/>
                      <w:color w:val="000000" w:themeColor="text1"/>
                      <w:kern w:val="0"/>
                      <w:sz w:val="20"/>
                      <w:u w:val="none"/>
                      <w:lang w:val="en-US" w:eastAsia="zh-CN"/>
                      <w14:textFill>
                        <w14:solidFill>
                          <w14:schemeClr w14:val="tx1"/>
                        </w14:solidFill>
                      </w14:textFill>
                    </w:rPr>
                    <w:t>12.5</w:t>
                  </w:r>
                  <w:r>
                    <w:rPr>
                      <w:rFonts w:hint="default" w:ascii="Times New Roman" w:hAnsi="Times New Roman" w:cs="Times New Roman"/>
                      <w:color w:val="000000" w:themeColor="text1"/>
                      <w:kern w:val="0"/>
                      <w:sz w:val="20"/>
                      <w:u w:val="none"/>
                      <w:lang w:val="en-US" w:eastAsia="zh-CN"/>
                      <w14:textFill>
                        <w14:solidFill>
                          <w14:schemeClr w14:val="tx1"/>
                        </w14:solidFill>
                      </w14:textFill>
                    </w:rPr>
                    <w:t>m</w:t>
                  </w:r>
                  <w:r>
                    <w:rPr>
                      <w:rFonts w:hint="default" w:ascii="Times New Roman" w:hAnsi="Times New Roman" w:cs="Times New Roman"/>
                      <w:color w:val="000000" w:themeColor="text1"/>
                      <w:kern w:val="0"/>
                      <w:sz w:val="20"/>
                      <w:u w:val="none"/>
                      <w:vertAlign w:val="superscript"/>
                      <w:lang w:val="en-US" w:eastAsia="zh-CN"/>
                      <w14:textFill>
                        <w14:solidFill>
                          <w14:schemeClr w14:val="tx1"/>
                        </w14:solidFill>
                      </w14:textFill>
                    </w:rPr>
                    <w:t>3</w:t>
                  </w:r>
                  <w:r>
                    <w:rPr>
                      <w:rFonts w:hint="default" w:ascii="Times New Roman" w:hAnsi="Times New Roman" w:cs="Times New Roman"/>
                      <w:color w:val="000000" w:themeColor="text1"/>
                      <w:kern w:val="0"/>
                      <w:sz w:val="20"/>
                      <w:u w:val="none"/>
                      <w:lang w:val="en-US" w:eastAsia="zh-CN"/>
                      <w14:textFill>
                        <w14:solidFill>
                          <w14:schemeClr w14:val="tx1"/>
                        </w14:solidFill>
                      </w14:textFill>
                    </w:rPr>
                    <w:t>/hm</w:t>
                  </w:r>
                  <w:r>
                    <w:rPr>
                      <w:rFonts w:hint="default" w:ascii="Times New Roman" w:hAnsi="Times New Roman" w:cs="Times New Roman"/>
                      <w:color w:val="000000" w:themeColor="text1"/>
                      <w:kern w:val="0"/>
                      <w:sz w:val="20"/>
                      <w:u w:val="none"/>
                      <w:vertAlign w:val="superscript"/>
                      <w:lang w:val="en-US" w:eastAsia="zh-CN"/>
                      <w14:textFill>
                        <w14:solidFill>
                          <w14:schemeClr w14:val="tx1"/>
                        </w14:solidFill>
                      </w14:textFill>
                    </w:rPr>
                    <w:t>2</w:t>
                  </w:r>
                </w:p>
              </w:tc>
              <w:tc>
                <w:tcPr>
                  <w:tcW w:w="785" w:type="dxa"/>
                  <w:vAlign w:val="center"/>
                </w:tcPr>
                <w:p w14:paraId="57F63457">
                  <w:pPr>
                    <w:spacing w:line="240" w:lineRule="auto"/>
                    <w:jc w:val="left"/>
                    <w:rPr>
                      <w:rFonts w:hint="eastAsia" w:ascii="宋体" w:hAnsi="宋体" w:cs="宋体"/>
                      <w:bCs/>
                      <w:color w:val="000000" w:themeColor="text1"/>
                      <w:kern w:val="0"/>
                      <w:sz w:val="20"/>
                      <w:u w:val="none"/>
                      <w14:textFill>
                        <w14:solidFill>
                          <w14:schemeClr w14:val="tx1"/>
                        </w14:solidFill>
                      </w14:textFill>
                    </w:rPr>
                  </w:pPr>
                  <w:r>
                    <w:rPr>
                      <w:rFonts w:hint="eastAsia" w:ascii="宋体" w:hAnsi="宋体" w:cs="宋体"/>
                      <w:bCs/>
                      <w:color w:val="000000" w:themeColor="text1"/>
                      <w:kern w:val="0"/>
                      <w:sz w:val="20"/>
                      <w:u w:val="none"/>
                      <w14:textFill>
                        <w14:solidFill>
                          <w14:schemeClr w14:val="tx1"/>
                        </w14:solidFill>
                      </w14:textFill>
                    </w:rPr>
                    <w:t>微度脆弱</w:t>
                  </w:r>
                </w:p>
              </w:tc>
              <w:tc>
                <w:tcPr>
                  <w:tcW w:w="923" w:type="dxa"/>
                  <w:vAlign w:val="center"/>
                </w:tcPr>
                <w:p w14:paraId="5B126E27">
                  <w:pPr>
                    <w:spacing w:line="240" w:lineRule="auto"/>
                    <w:jc w:val="center"/>
                    <w:rPr>
                      <w:rFonts w:hint="eastAsia" w:ascii="宋体" w:hAnsi="宋体" w:cs="宋体"/>
                      <w:bCs/>
                      <w:color w:val="000000" w:themeColor="text1"/>
                      <w:kern w:val="0"/>
                      <w:sz w:val="20"/>
                      <w:u w:val="none"/>
                      <w:lang w:val="en-US" w:eastAsia="zh-CN"/>
                      <w14:textFill>
                        <w14:solidFill>
                          <w14:schemeClr w14:val="tx1"/>
                        </w14:solidFill>
                      </w14:textFill>
                    </w:rPr>
                  </w:pPr>
                  <w:r>
                    <w:rPr>
                      <w:rFonts w:hint="eastAsia" w:ascii="宋体" w:hAnsi="宋体" w:cs="宋体"/>
                      <w:bCs/>
                      <w:color w:val="000000" w:themeColor="text1"/>
                      <w:kern w:val="0"/>
                      <w:sz w:val="20"/>
                      <w:u w:val="none"/>
                      <w:lang w:val="en-US" w:eastAsia="zh-CN"/>
                      <w14:textFill>
                        <w14:solidFill>
                          <w14:schemeClr w14:val="tx1"/>
                        </w14:solidFill>
                      </w14:textFill>
                    </w:rPr>
                    <w:t>中等风化</w:t>
                  </w:r>
                </w:p>
              </w:tc>
              <w:tc>
                <w:tcPr>
                  <w:tcW w:w="851" w:type="dxa"/>
                  <w:vAlign w:val="center"/>
                </w:tcPr>
                <w:p w14:paraId="4C2A3A20">
                  <w:pPr>
                    <w:widowControl/>
                    <w:spacing w:line="240" w:lineRule="auto"/>
                    <w:jc w:val="center"/>
                    <w:rPr>
                      <w:rFonts w:hint="default" w:ascii="宋体" w:hAnsi="宋体" w:eastAsia="宋体" w:cs="宋体"/>
                      <w:color w:val="000000" w:themeColor="text1"/>
                      <w:kern w:val="0"/>
                      <w:sz w:val="20"/>
                      <w:szCs w:val="21"/>
                      <w:u w:val="none"/>
                      <w:lang w:val="en-US" w:eastAsia="zh-CN" w:bidi="ar-SA"/>
                      <w14:textFill>
                        <w14:solidFill>
                          <w14:schemeClr w14:val="tx1"/>
                        </w14:solidFill>
                      </w14:textFill>
                    </w:rPr>
                  </w:pPr>
                  <w:r>
                    <w:rPr>
                      <w:rFonts w:hint="default" w:ascii="宋体" w:hAnsi="宋体" w:eastAsia="宋体" w:cs="宋体"/>
                      <w:color w:val="000000" w:themeColor="text1"/>
                      <w:kern w:val="0"/>
                      <w:sz w:val="20"/>
                      <w:szCs w:val="21"/>
                      <w:u w:val="none"/>
                      <w:lang w:val="en-US" w:eastAsia="zh-CN" w:bidi="ar-SA"/>
                      <w14:textFill>
                        <w14:solidFill>
                          <w14:schemeClr w14:val="tx1"/>
                        </w14:solidFill>
                      </w14:textFill>
                    </w:rPr>
                    <w:t>出露地层主要为石炭系粉砂岩、</w:t>
                  </w:r>
                  <w:r>
                    <w:rPr>
                      <w:rFonts w:hint="eastAsia" w:ascii="宋体" w:hAnsi="宋体" w:cs="宋体"/>
                      <w:color w:val="000000" w:themeColor="text1"/>
                      <w:kern w:val="0"/>
                      <w:sz w:val="20"/>
                      <w:szCs w:val="21"/>
                      <w:u w:val="none"/>
                      <w:lang w:val="en-US" w:eastAsia="zh-CN" w:bidi="ar-SA"/>
                      <w14:textFill>
                        <w14:solidFill>
                          <w14:schemeClr w14:val="tx1"/>
                        </w14:solidFill>
                      </w14:textFill>
                    </w:rPr>
                    <w:t>板</w:t>
                  </w:r>
                  <w:r>
                    <w:rPr>
                      <w:rFonts w:hint="default" w:ascii="宋体" w:hAnsi="宋体" w:eastAsia="宋体" w:cs="宋体"/>
                      <w:color w:val="000000" w:themeColor="text1"/>
                      <w:kern w:val="0"/>
                      <w:sz w:val="20"/>
                      <w:szCs w:val="21"/>
                      <w:u w:val="none"/>
                      <w:lang w:val="en-US" w:eastAsia="zh-CN" w:bidi="ar-SA"/>
                      <w14:textFill>
                        <w14:solidFill>
                          <w14:schemeClr w14:val="tx1"/>
                        </w14:solidFill>
                      </w14:textFill>
                    </w:rPr>
                    <w:t>岩</w:t>
                  </w:r>
                </w:p>
              </w:tc>
              <w:tc>
                <w:tcPr>
                  <w:tcW w:w="547" w:type="dxa"/>
                  <w:vAlign w:val="center"/>
                </w:tcPr>
                <w:p w14:paraId="4D30AA3A">
                  <w:pPr>
                    <w:pStyle w:val="23"/>
                    <w:keepNext w:val="0"/>
                    <w:keepLines w:val="0"/>
                    <w:widowControl/>
                    <w:suppressLineNumbers w:val="0"/>
                    <w:adjustRightInd w:val="0"/>
                    <w:snapToGrid w:val="0"/>
                    <w:spacing w:line="240" w:lineRule="auto"/>
                    <w:ind w:left="0" w:leftChars="0" w:firstLine="0" w:firstLineChars="0"/>
                    <w:jc w:val="center"/>
                    <w:rPr>
                      <w:rFonts w:hint="default" w:ascii="Times New Roman" w:hAnsi="Calibri" w:eastAsia="Times New Roman" w:cs="Times New Roman"/>
                      <w:b w:val="0"/>
                      <w:bCs/>
                      <w:color w:val="auto"/>
                      <w:spacing w:val="-4"/>
                      <w:kern w:val="0"/>
                      <w:sz w:val="21"/>
                      <w:szCs w:val="22"/>
                      <w:u w:val="none"/>
                      <w:lang w:val="en-US" w:eastAsia="zh-CN" w:bidi="ar-SA"/>
                    </w:rPr>
                  </w:pPr>
                  <w:r>
                    <w:rPr>
                      <w:rFonts w:hint="eastAsia" w:ascii="Times New Roman" w:hAnsi="Calibri" w:eastAsia="Times New Roman" w:cs="Times New Roman"/>
                      <w:b w:val="0"/>
                      <w:bCs/>
                      <w:color w:val="auto"/>
                      <w:spacing w:val="-4"/>
                      <w:kern w:val="0"/>
                      <w:sz w:val="21"/>
                      <w:szCs w:val="22"/>
                      <w:u w:val="none"/>
                      <w:lang w:val="en-US" w:eastAsia="zh-CN" w:bidi="ar-SA"/>
                    </w:rPr>
                    <w:t>878.2</w:t>
                  </w:r>
                </w:p>
              </w:tc>
              <w:tc>
                <w:tcPr>
                  <w:tcW w:w="745" w:type="dxa"/>
                  <w:vAlign w:val="center"/>
                </w:tcPr>
                <w:p w14:paraId="4569F92A">
                  <w:pPr>
                    <w:widowControl/>
                    <w:spacing w:line="240" w:lineRule="auto"/>
                    <w:jc w:val="center"/>
                    <w:rPr>
                      <w:rFonts w:hint="default" w:ascii="Times New Roman" w:hAnsi="Times New Roman" w:eastAsia="宋体" w:cs="Times New Roman"/>
                      <w:color w:val="000000" w:themeColor="text1"/>
                      <w:kern w:val="0"/>
                      <w:sz w:val="20"/>
                      <w:szCs w:val="21"/>
                      <w:u w:val="none"/>
                      <w:lang w:val="en-US" w:eastAsia="zh-CN" w:bidi="ar-SA"/>
                      <w14:textFill>
                        <w14:solidFill>
                          <w14:schemeClr w14:val="tx1"/>
                        </w14:solidFill>
                      </w14:textFill>
                    </w:rPr>
                  </w:pPr>
                  <w:r>
                    <w:rPr>
                      <w:rFonts w:hint="eastAsia" w:cs="Times New Roman"/>
                      <w:color w:val="000000" w:themeColor="text1"/>
                      <w:kern w:val="0"/>
                      <w:sz w:val="20"/>
                      <w:szCs w:val="21"/>
                      <w:u w:val="none"/>
                      <w:lang w:val="en-US" w:eastAsia="zh-CN" w:bidi="ar-SA"/>
                      <w14:textFill>
                        <w14:solidFill>
                          <w14:schemeClr w14:val="tx1"/>
                        </w14:solidFill>
                      </w14:textFill>
                    </w:rPr>
                    <w:t>24.6</w:t>
                  </w:r>
                  <w:r>
                    <w:rPr>
                      <w:rFonts w:hint="default" w:ascii="Times New Roman" w:hAnsi="Times New Roman" w:eastAsia="宋体" w:cs="Times New Roman"/>
                      <w:color w:val="000000" w:themeColor="text1"/>
                      <w:kern w:val="0"/>
                      <w:sz w:val="20"/>
                      <w:szCs w:val="21"/>
                      <w:u w:val="none"/>
                      <w:lang w:val="en-US" w:eastAsia="zh-CN" w:bidi="ar-SA"/>
                      <w14:textFill>
                        <w14:solidFill>
                          <w14:schemeClr w14:val="tx1"/>
                        </w14:solidFill>
                      </w14:textFill>
                    </w:rPr>
                    <w:t>，山地</w:t>
                  </w:r>
                </w:p>
              </w:tc>
            </w:tr>
          </w:tbl>
          <w:p w14:paraId="72A6A6B1">
            <w:pPr>
              <w:rPr>
                <w:color w:val="000000" w:themeColor="text1"/>
                <w:u w:val="none"/>
                <w14:textFill>
                  <w14:solidFill>
                    <w14:schemeClr w14:val="tx1"/>
                  </w14:solidFill>
                </w14:textFill>
              </w:rPr>
            </w:pPr>
            <w:r>
              <w:rPr>
                <w:color w:val="000000" w:themeColor="text1"/>
                <w:u w:val="none"/>
                <w14:textFill>
                  <w14:solidFill>
                    <w14:schemeClr w14:val="tx1"/>
                  </w14:solidFill>
                </w14:textFill>
              </w:rPr>
              <w:t>（</w:t>
            </w:r>
            <w:r>
              <w:rPr>
                <w:rFonts w:hint="eastAsia"/>
                <w:color w:val="000000" w:themeColor="text1"/>
                <w:u w:val="none"/>
                <w:lang w:val="en-US" w:eastAsia="zh-CN"/>
                <w14:textFill>
                  <w14:solidFill>
                    <w14:schemeClr w14:val="tx1"/>
                  </w14:solidFill>
                </w14:textFill>
              </w:rPr>
              <w:t>2</w:t>
            </w:r>
            <w:r>
              <w:rPr>
                <w:color w:val="000000" w:themeColor="text1"/>
                <w:u w:val="none"/>
                <w14:textFill>
                  <w14:solidFill>
                    <w14:schemeClr w14:val="tx1"/>
                  </w14:solidFill>
                </w14:textFill>
              </w:rPr>
              <w:t>）风电场道路区及集电线路区生态环境现状</w:t>
            </w:r>
          </w:p>
          <w:p w14:paraId="420B29AF">
            <w:pPr>
              <w:ind w:firstLine="480"/>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风电场道路总长度约</w:t>
            </w:r>
            <w:r>
              <w:rPr>
                <w:rFonts w:hint="eastAsia"/>
                <w:color w:val="000000" w:themeColor="text1"/>
                <w:u w:val="none"/>
                <w:lang w:val="en-US" w:eastAsia="zh-CN"/>
                <w14:textFill>
                  <w14:solidFill>
                    <w14:schemeClr w14:val="tx1"/>
                  </w14:solidFill>
                </w14:textFill>
              </w:rPr>
              <w:t>39.5</w:t>
            </w:r>
            <w:r>
              <w:rPr>
                <w:rFonts w:hint="eastAsia"/>
                <w:color w:val="000000" w:themeColor="text1"/>
                <w:u w:val="none"/>
                <w14:textFill>
                  <w14:solidFill>
                    <w14:schemeClr w14:val="tx1"/>
                  </w14:solidFill>
                </w14:textFill>
              </w:rPr>
              <w:t>km</w:t>
            </w:r>
            <w:r>
              <w:rPr>
                <w:rFonts w:hint="eastAsia"/>
                <w:color w:val="000000" w:themeColor="text1"/>
                <w:u w:val="none"/>
                <w:lang w:eastAsia="zh-CN"/>
                <w14:textFill>
                  <w14:solidFill>
                    <w14:schemeClr w14:val="tx1"/>
                  </w14:solidFill>
                </w14:textFill>
              </w:rPr>
              <w:t>，其中改建</w:t>
            </w:r>
            <w:r>
              <w:rPr>
                <w:rFonts w:hint="eastAsia"/>
                <w:color w:val="000000" w:themeColor="text1"/>
                <w:u w:val="none"/>
                <w:lang w:val="en-US" w:eastAsia="zh-CN"/>
                <w14:textFill>
                  <w14:solidFill>
                    <w14:schemeClr w14:val="tx1"/>
                  </w14:solidFill>
                </w14:textFill>
              </w:rPr>
              <w:t>5.0km</w:t>
            </w:r>
            <w:r>
              <w:rPr>
                <w:rFonts w:hint="eastAsia"/>
                <w:color w:val="000000" w:themeColor="text1"/>
                <w:u w:val="none"/>
                <w:lang w:eastAsia="zh-CN"/>
                <w14:textFill>
                  <w14:solidFill>
                    <w14:schemeClr w14:val="tx1"/>
                  </w14:solidFill>
                </w14:textFill>
              </w:rPr>
              <w:t>，</w:t>
            </w:r>
            <w:r>
              <w:rPr>
                <w:color w:val="000000" w:themeColor="text1"/>
                <w:u w:val="none"/>
                <w14:textFill>
                  <w14:solidFill>
                    <w14:schemeClr w14:val="tx1"/>
                  </w14:solidFill>
                </w14:textFill>
              </w:rPr>
              <w:t>路基宽6m，路面宽5m</w:t>
            </w:r>
            <w:r>
              <w:rPr>
                <w:rFonts w:hint="eastAsia"/>
                <w:color w:val="000000" w:themeColor="text1"/>
                <w:u w:val="none"/>
                <w14:textFill>
                  <w14:solidFill>
                    <w14:schemeClr w14:val="tx1"/>
                  </w14:solidFill>
                </w14:textFill>
              </w:rPr>
              <w:t>，采用山皮石路面结构。本工程集电线路采用全部电缆直埋敷设形式建设，新建电缆线路</w:t>
            </w:r>
            <w:r>
              <w:rPr>
                <w:rFonts w:hint="eastAsia"/>
                <w:color w:val="000000" w:themeColor="text1"/>
                <w:u w:val="none"/>
                <w:lang w:val="en-US" w:eastAsia="zh-CN"/>
                <w14:textFill>
                  <w14:solidFill>
                    <w14:schemeClr w14:val="tx1"/>
                  </w14:solidFill>
                </w14:textFill>
              </w:rPr>
              <w:t>56.1</w:t>
            </w:r>
            <w:r>
              <w:rPr>
                <w:color w:val="000000" w:themeColor="text1"/>
                <w:u w:val="none"/>
                <w14:textFill>
                  <w14:solidFill>
                    <w14:schemeClr w14:val="tx1"/>
                  </w14:solidFill>
                </w14:textFill>
              </w:rPr>
              <w:t>km</w:t>
            </w:r>
            <w:r>
              <w:rPr>
                <w:rFonts w:hint="eastAsia"/>
                <w:color w:val="000000" w:themeColor="text1"/>
                <w:u w:val="none"/>
                <w:lang w:eastAsia="zh-CN"/>
                <w14:textFill>
                  <w14:solidFill>
                    <w14:schemeClr w14:val="tx1"/>
                  </w14:solidFill>
                </w14:textFill>
              </w:rPr>
              <w:t>。</w:t>
            </w:r>
            <w:r>
              <w:rPr>
                <w:rFonts w:hint="eastAsia"/>
                <w:color w:val="000000" w:themeColor="text1"/>
                <w:u w:val="none"/>
                <w14:textFill>
                  <w14:solidFill>
                    <w14:schemeClr w14:val="tx1"/>
                  </w14:solidFill>
                </w14:textFill>
              </w:rPr>
              <w:t>集电线路主要沿场内道路直埋敷设。</w:t>
            </w:r>
          </w:p>
          <w:p w14:paraId="618332CE">
            <w:pPr>
              <w:ind w:firstLine="480"/>
              <w:rPr>
                <w:color w:val="FF0000"/>
                <w:u w:val="none"/>
              </w:rPr>
            </w:pPr>
            <w:r>
              <w:rPr>
                <w:rFonts w:hint="eastAsia"/>
                <w:color w:val="000000" w:themeColor="text1"/>
                <w:u w:val="none"/>
                <w14:textFill>
                  <w14:solidFill>
                    <w14:schemeClr w14:val="tx1"/>
                  </w14:solidFill>
                </w14:textFill>
              </w:rPr>
              <w:t>经现场实际调查，风电场道路区及集电线路区范围占地类型主要为林地和灌草地。林地有针叶林和阔叶林，主要植被群系有杉木林、马尾松林、</w:t>
            </w:r>
            <w:r>
              <w:rPr>
                <w:rFonts w:hint="eastAsia"/>
                <w:color w:val="000000" w:themeColor="text1"/>
                <w:u w:val="none"/>
                <w:lang w:val="en-US" w:eastAsia="zh-CN"/>
                <w14:textFill>
                  <w14:solidFill>
                    <w14:schemeClr w14:val="tx1"/>
                  </w14:solidFill>
                </w14:textFill>
              </w:rPr>
              <w:t>毛</w:t>
            </w:r>
            <w:r>
              <w:rPr>
                <w:rFonts w:hint="eastAsia"/>
                <w:color w:val="000000" w:themeColor="text1"/>
                <w:u w:val="none"/>
                <w14:textFill>
                  <w14:solidFill>
                    <w14:schemeClr w14:val="tx1"/>
                  </w14:solidFill>
                </w14:textFill>
              </w:rPr>
              <w:t>竹林等。灌草地植被以盐肤木灌丛、白茅灌草丛、紫萁灌丛为主，其他常见的植物有山胡椒、酢浆草、蕨、白茅等。</w:t>
            </w:r>
          </w:p>
          <w:p w14:paraId="768AB3B4">
            <w:pPr>
              <w:ind w:firstLine="480"/>
              <w:rPr>
                <w:rFonts w:hint="eastAsia"/>
                <w:color w:val="000000" w:themeColor="text1"/>
                <w:u w:val="wave"/>
                <w14:textFill>
                  <w14:solidFill>
                    <w14:schemeClr w14:val="tx1"/>
                  </w14:solidFill>
                </w14:textFill>
              </w:rPr>
            </w:pPr>
            <w:r>
              <w:rPr>
                <w:rFonts w:hint="eastAsia"/>
                <w:color w:val="000000" w:themeColor="text1"/>
                <w:u w:val="none"/>
                <w14:textFill>
                  <w14:solidFill>
                    <w14:schemeClr w14:val="tx1"/>
                  </w14:solidFill>
                </w14:textFill>
              </w:rPr>
              <w:t>风电场道路区及集电线路区常见动物以鸟类为主，如八哥、松鸦、麻雀、</w:t>
            </w:r>
            <w:r>
              <w:rPr>
                <w:rFonts w:hint="eastAsia"/>
                <w:color w:val="000000" w:themeColor="text1"/>
                <w:u w:val="none"/>
                <w:lang w:val="en-US" w:eastAsia="zh-CN"/>
                <w14:textFill>
                  <w14:solidFill>
                    <w14:schemeClr w14:val="tx1"/>
                  </w14:solidFill>
                </w14:textFill>
              </w:rPr>
              <w:t>杜鹃</w:t>
            </w:r>
            <w:r>
              <w:rPr>
                <w:rFonts w:hint="eastAsia"/>
                <w:color w:val="000000" w:themeColor="text1"/>
                <w:u w:val="none"/>
                <w14:textFill>
                  <w14:solidFill>
                    <w14:schemeClr w14:val="tx1"/>
                  </w14:solidFill>
                </w14:textFill>
              </w:rPr>
              <w:t>、山斑鸠、黑枕黄鹂、大山雀、山斑鸠、斑姬啄木鸟等。此外，还有中国石龙子、赤链蛇、中华竹鼠、华南兔、东北刺猬、黄鼬等分布。</w:t>
            </w:r>
          </w:p>
          <w:p w14:paraId="4790E380">
            <w:pPr>
              <w:pStyle w:val="71"/>
              <w:ind w:firstLine="480" w:firstLineChars="200"/>
              <w:rPr>
                <w:color w:val="000000" w:themeColor="text1"/>
                <w:u w:val="none"/>
                <w14:textFill>
                  <w14:solidFill>
                    <w14:schemeClr w14:val="tx1"/>
                  </w14:solidFill>
                </w14:textFill>
              </w:rPr>
            </w:pPr>
            <w:r>
              <w:rPr>
                <w:color w:val="000000" w:themeColor="text1"/>
                <w:u w:val="none"/>
                <w14:textFill>
                  <w14:solidFill>
                    <w14:schemeClr w14:val="tx1"/>
                  </w14:solidFill>
                </w14:textFill>
              </w:rPr>
              <w:t>（</w:t>
            </w:r>
            <w:r>
              <w:rPr>
                <w:rFonts w:hint="eastAsia"/>
                <w:color w:val="000000" w:themeColor="text1"/>
                <w:u w:val="none"/>
                <w:lang w:val="en-US" w:eastAsia="zh-CN"/>
                <w14:textFill>
                  <w14:solidFill>
                    <w14:schemeClr w14:val="tx1"/>
                  </w14:solidFill>
                </w14:textFill>
              </w:rPr>
              <w:t>3</w:t>
            </w:r>
            <w:r>
              <w:rPr>
                <w:color w:val="000000" w:themeColor="text1"/>
                <w:u w:val="none"/>
                <w14:textFill>
                  <w14:solidFill>
                    <w14:schemeClr w14:val="tx1"/>
                  </w14:solidFill>
                </w14:textFill>
              </w:rPr>
              <w:t>）</w:t>
            </w:r>
            <w:r>
              <w:rPr>
                <w:rFonts w:hint="eastAsia"/>
                <w:color w:val="000000" w:themeColor="text1"/>
                <w:u w:val="none"/>
                <w14:textFill>
                  <w14:solidFill>
                    <w14:schemeClr w14:val="tx1"/>
                  </w14:solidFill>
                </w14:textFill>
              </w:rPr>
              <w:t>升压站区生态环境现状</w:t>
            </w:r>
          </w:p>
          <w:p w14:paraId="21086EEB">
            <w:pPr>
              <w:ind w:firstLine="480" w:firstLineChars="200"/>
              <w:rPr>
                <w:color w:val="000000" w:themeColor="text1"/>
                <w:u w:val="none"/>
                <w14:textFill>
                  <w14:solidFill>
                    <w14:schemeClr w14:val="tx1"/>
                  </w14:solidFill>
                </w14:textFill>
              </w:rPr>
            </w:pPr>
            <w:r>
              <w:rPr>
                <w:bCs/>
                <w:color w:val="000000" w:themeColor="text1"/>
                <w:u w:val="none"/>
                <w:lang w:bidi="ar"/>
                <w14:textFill>
                  <w14:solidFill>
                    <w14:schemeClr w14:val="tx1"/>
                  </w14:solidFill>
                </w14:textFill>
              </w:rPr>
              <w:t>本项目选择在风电场</w:t>
            </w:r>
            <w:r>
              <w:rPr>
                <w:rFonts w:hint="eastAsia"/>
                <w:bCs/>
                <w:color w:val="000000" w:themeColor="text1"/>
                <w:u w:val="none"/>
                <w:lang w:val="en-US" w:eastAsia="zh-CN" w:bidi="ar"/>
                <w14:textFill>
                  <w14:solidFill>
                    <w14:schemeClr w14:val="tx1"/>
                  </w14:solidFill>
                </w14:textFill>
              </w:rPr>
              <w:t>东北</w:t>
            </w:r>
            <w:r>
              <w:rPr>
                <w:bCs/>
                <w:color w:val="000000" w:themeColor="text1"/>
                <w:u w:val="none"/>
                <w:lang w:bidi="ar"/>
                <w14:textFill>
                  <w14:solidFill>
                    <w14:schemeClr w14:val="tx1"/>
                  </w14:solidFill>
                </w14:textFill>
              </w:rPr>
              <w:t>部新建升压站1座。</w:t>
            </w:r>
            <w:r>
              <w:rPr>
                <w:rFonts w:hint="eastAsia"/>
                <w:color w:val="000000" w:themeColor="text1"/>
                <w:u w:val="none"/>
                <w:lang w:eastAsia="zh-CN"/>
                <w14:textFill>
                  <w14:solidFill>
                    <w14:schemeClr w14:val="tx1"/>
                  </w14:solidFill>
                </w14:textFill>
              </w:rPr>
              <w:t>220kV</w:t>
            </w:r>
            <w:r>
              <w:rPr>
                <w:rFonts w:hint="eastAsia"/>
                <w:color w:val="000000" w:themeColor="text1"/>
                <w:u w:val="none"/>
                <w14:textFill>
                  <w14:solidFill>
                    <w14:schemeClr w14:val="tx1"/>
                  </w14:solidFill>
                </w14:textFill>
              </w:rPr>
              <w:t>升压站围墙内总用地面积0.</w:t>
            </w:r>
            <w:r>
              <w:rPr>
                <w:rFonts w:hint="eastAsia"/>
                <w:color w:val="000000" w:themeColor="text1"/>
                <w:u w:val="none"/>
                <w:lang w:val="en-US" w:eastAsia="zh-CN"/>
                <w14:textFill>
                  <w14:solidFill>
                    <w14:schemeClr w14:val="tx1"/>
                  </w14:solidFill>
                </w14:textFill>
              </w:rPr>
              <w:t>799</w:t>
            </w:r>
            <w:r>
              <w:rPr>
                <w:rFonts w:hint="eastAsia"/>
                <w:color w:val="000000" w:themeColor="text1"/>
                <w:u w:val="none"/>
                <w14:textFill>
                  <w14:solidFill>
                    <w14:schemeClr w14:val="tx1"/>
                  </w14:solidFill>
                </w14:textFill>
              </w:rPr>
              <w:t>hm</w:t>
            </w:r>
            <w:r>
              <w:rPr>
                <w:rFonts w:hint="eastAsia"/>
                <w:color w:val="000000" w:themeColor="text1"/>
                <w:u w:val="none"/>
                <w:vertAlign w:val="superscript"/>
                <w14:textFill>
                  <w14:solidFill>
                    <w14:schemeClr w14:val="tx1"/>
                  </w14:solidFill>
                </w14:textFill>
              </w:rPr>
              <w:t>2</w:t>
            </w:r>
            <w:r>
              <w:rPr>
                <w:rFonts w:hint="eastAsia"/>
                <w:color w:val="000000" w:themeColor="text1"/>
                <w:u w:val="none"/>
                <w14:textFill>
                  <w14:solidFill>
                    <w14:schemeClr w14:val="tx1"/>
                  </w14:solidFill>
                </w14:textFill>
              </w:rPr>
              <w:t xml:space="preserve">，围墙内布置尺寸为 </w:t>
            </w:r>
            <w:r>
              <w:rPr>
                <w:rFonts w:hint="eastAsia"/>
                <w:color w:val="000000" w:themeColor="text1"/>
                <w:u w:val="none"/>
                <w:lang w:val="en-US" w:eastAsia="zh-CN"/>
                <w14:textFill>
                  <w14:solidFill>
                    <w14:schemeClr w14:val="tx1"/>
                  </w14:solidFill>
                </w14:textFill>
              </w:rPr>
              <w:t>45</w:t>
            </w:r>
            <w:r>
              <w:rPr>
                <w:rFonts w:hint="eastAsia"/>
                <w:color w:val="000000" w:themeColor="text1"/>
                <w:u w:val="none"/>
                <w14:textFill>
                  <w14:solidFill>
                    <w14:schemeClr w14:val="tx1"/>
                  </w14:solidFill>
                </w14:textFill>
              </w:rPr>
              <w:t>m×</w:t>
            </w:r>
            <w:r>
              <w:rPr>
                <w:rFonts w:hint="eastAsia"/>
                <w:color w:val="000000" w:themeColor="text1"/>
                <w:u w:val="none"/>
                <w:lang w:val="en-US" w:eastAsia="zh-CN"/>
                <w14:textFill>
                  <w14:solidFill>
                    <w14:schemeClr w14:val="tx1"/>
                  </w14:solidFill>
                </w14:textFill>
              </w:rPr>
              <w:t>55</w:t>
            </w:r>
            <w:r>
              <w:rPr>
                <w:rFonts w:hint="eastAsia"/>
                <w:color w:val="000000" w:themeColor="text1"/>
                <w:u w:val="none"/>
                <w14:textFill>
                  <w14:solidFill>
                    <w14:schemeClr w14:val="tx1"/>
                  </w14:solidFill>
                </w14:textFill>
              </w:rPr>
              <w:t>m。升压站四周为2.5m 高的围墙，站内主要布置了综合控制楼、生产楼、辅助用房、室外主变压器、</w:t>
            </w:r>
            <w:r>
              <w:rPr>
                <w:rFonts w:hint="eastAsia"/>
                <w:color w:val="000000" w:themeColor="text1"/>
                <w:u w:val="none"/>
                <w:lang w:eastAsia="zh-CN"/>
                <w14:textFill>
                  <w14:solidFill>
                    <w14:schemeClr w14:val="tx1"/>
                  </w14:solidFill>
                </w14:textFill>
              </w:rPr>
              <w:t>220kV</w:t>
            </w:r>
            <w:r>
              <w:rPr>
                <w:rFonts w:hint="eastAsia"/>
                <w:color w:val="000000" w:themeColor="text1"/>
                <w:u w:val="none"/>
                <w14:textFill>
                  <w14:solidFill>
                    <w14:schemeClr w14:val="tx1"/>
                  </w14:solidFill>
                </w14:textFill>
              </w:rPr>
              <w:t xml:space="preserve"> 配电装置等送配电建（构）筑物和大门、污水处理器等其他辅助建筑物，站内总建筑面积</w:t>
            </w:r>
            <w:r>
              <w:rPr>
                <w:rFonts w:hint="eastAsia"/>
                <w:color w:val="000000" w:themeColor="text1"/>
                <w:u w:val="none"/>
                <w:lang w:val="en-US" w:eastAsia="zh-CN"/>
                <w14:textFill>
                  <w14:solidFill>
                    <w14:schemeClr w14:val="tx1"/>
                  </w14:solidFill>
                </w14:textFill>
              </w:rPr>
              <w:t>845</w:t>
            </w:r>
            <w:r>
              <w:rPr>
                <w:rFonts w:hint="eastAsia"/>
                <w:color w:val="000000" w:themeColor="text1"/>
                <w:u w:val="none"/>
                <w14:textFill>
                  <w14:solidFill>
                    <w14:schemeClr w14:val="tx1"/>
                  </w14:solidFill>
                </w14:textFill>
              </w:rPr>
              <w:t>m²。</w:t>
            </w:r>
          </w:p>
          <w:p w14:paraId="58EFAD50">
            <w:pPr>
              <w:ind w:firstLine="480" w:firstLineChars="200"/>
              <w:rPr>
                <w:color w:val="000000" w:themeColor="text1"/>
                <w:u w:val="none"/>
                <w14:textFill>
                  <w14:solidFill>
                    <w14:schemeClr w14:val="tx1"/>
                  </w14:solidFill>
                </w14:textFill>
              </w:rPr>
            </w:pPr>
            <w:r>
              <w:rPr>
                <w:color w:val="000000" w:themeColor="text1"/>
                <w:u w:val="none"/>
                <w14:textFill>
                  <w14:solidFill>
                    <w14:schemeClr w14:val="tx1"/>
                  </w14:solidFill>
                </w14:textFill>
              </w:rPr>
              <w:t>该区域土地利用类型以林地和灌草地为主，植被以针叶林和灌丛、灌草丛为主，针叶林主要为</w:t>
            </w:r>
            <w:r>
              <w:rPr>
                <w:rFonts w:hint="eastAsia"/>
                <w:color w:val="000000" w:themeColor="text1"/>
                <w:u w:val="none"/>
                <w14:textFill>
                  <w14:solidFill>
                    <w14:schemeClr w14:val="tx1"/>
                  </w14:solidFill>
                </w14:textFill>
              </w:rPr>
              <w:t>杉木</w:t>
            </w:r>
            <w:r>
              <w:rPr>
                <w:color w:val="000000" w:themeColor="text1"/>
                <w:u w:val="none"/>
                <w14:textFill>
                  <w14:solidFill>
                    <w14:schemeClr w14:val="tx1"/>
                  </w14:solidFill>
                </w14:textFill>
              </w:rPr>
              <w:t>林，灌丛主要为盐肤木灌丛</w:t>
            </w:r>
            <w:r>
              <w:rPr>
                <w:rFonts w:hint="eastAsia"/>
                <w:color w:val="000000" w:themeColor="text1"/>
                <w:u w:val="none"/>
                <w:lang w:eastAsia="zh-CN"/>
                <w14:textFill>
                  <w14:solidFill>
                    <w14:schemeClr w14:val="tx1"/>
                  </w14:solidFill>
                </w14:textFill>
              </w:rPr>
              <w:t>、</w:t>
            </w:r>
            <w:r>
              <w:rPr>
                <w:rFonts w:hint="eastAsia"/>
                <w:color w:val="000000" w:themeColor="text1"/>
                <w:u w:val="none"/>
                <w14:textFill>
                  <w14:solidFill>
                    <w14:schemeClr w14:val="tx1"/>
                  </w14:solidFill>
                </w14:textFill>
              </w:rPr>
              <w:t>卫矛</w:t>
            </w:r>
            <w:r>
              <w:rPr>
                <w:color w:val="000000" w:themeColor="text1"/>
                <w:u w:val="none"/>
                <w14:textFill>
                  <w14:solidFill>
                    <w14:schemeClr w14:val="tx1"/>
                  </w14:solidFill>
                </w14:textFill>
              </w:rPr>
              <w:t>灌丛，其他林下常见的有五节芒、</w:t>
            </w:r>
            <w:r>
              <w:rPr>
                <w:rFonts w:hint="eastAsia"/>
                <w:color w:val="000000" w:themeColor="text1"/>
                <w:u w:val="none"/>
                <w14:textFill>
                  <w14:solidFill>
                    <w14:schemeClr w14:val="tx1"/>
                  </w14:solidFill>
                </w14:textFill>
              </w:rPr>
              <w:t>鸢尾</w:t>
            </w:r>
            <w:r>
              <w:rPr>
                <w:color w:val="000000" w:themeColor="text1"/>
                <w:u w:val="none"/>
                <w14:textFill>
                  <w14:solidFill>
                    <w14:schemeClr w14:val="tx1"/>
                  </w14:solidFill>
                </w14:textFill>
              </w:rPr>
              <w:t>、芒萁、蕨等。</w:t>
            </w:r>
          </w:p>
          <w:p w14:paraId="4DCEAC76">
            <w:pPr>
              <w:ind w:firstLine="480" w:firstLineChars="200"/>
              <w:rPr>
                <w:rFonts w:hint="eastAsia"/>
                <w:color w:val="000000" w:themeColor="text1"/>
                <w:u w:val="none"/>
                <w14:textFill>
                  <w14:solidFill>
                    <w14:schemeClr w14:val="tx1"/>
                  </w14:solidFill>
                </w14:textFill>
              </w:rPr>
            </w:pPr>
            <w:r>
              <w:rPr>
                <w:color w:val="000000" w:themeColor="text1"/>
                <w:u w:val="none"/>
                <w14:textFill>
                  <w14:solidFill>
                    <w14:schemeClr w14:val="tx1"/>
                  </w14:solidFill>
                </w14:textFill>
              </w:rPr>
              <w:t>该区域常见动物以鸟类为主，主要有山斑鸠、</w:t>
            </w:r>
            <w:r>
              <w:rPr>
                <w:rFonts w:hint="eastAsia"/>
                <w:color w:val="000000" w:themeColor="text1"/>
                <w:u w:val="none"/>
                <w14:textFill>
                  <w14:solidFill>
                    <w14:schemeClr w14:val="tx1"/>
                  </w14:solidFill>
                </w14:textFill>
              </w:rPr>
              <w:t>小杜鹃</w:t>
            </w:r>
            <w:r>
              <w:rPr>
                <w:color w:val="000000" w:themeColor="text1"/>
                <w:u w:val="none"/>
                <w14:textFill>
                  <w14:solidFill>
                    <w14:schemeClr w14:val="tx1"/>
                  </w14:solidFill>
                </w14:textFill>
              </w:rPr>
              <w:t>、大山雀、</w:t>
            </w:r>
            <w:r>
              <w:rPr>
                <w:rFonts w:hint="eastAsia"/>
                <w:color w:val="000000" w:themeColor="text1"/>
                <w:u w:val="none"/>
                <w14:textFill>
                  <w14:solidFill>
                    <w14:schemeClr w14:val="tx1"/>
                  </w14:solidFill>
                </w14:textFill>
              </w:rPr>
              <w:t>斑姬啄木鸟家燕</w:t>
            </w:r>
            <w:r>
              <w:rPr>
                <w:color w:val="000000" w:themeColor="text1"/>
                <w:u w:val="none"/>
                <w14:textFill>
                  <w14:solidFill>
                    <w14:schemeClr w14:val="tx1"/>
                  </w14:solidFill>
                </w14:textFill>
              </w:rPr>
              <w:t>、</w:t>
            </w:r>
            <w:r>
              <w:rPr>
                <w:rFonts w:hint="eastAsia"/>
                <w:color w:val="000000" w:themeColor="text1"/>
                <w:u w:val="none"/>
                <w14:textFill>
                  <w14:solidFill>
                    <w14:schemeClr w14:val="tx1"/>
                  </w14:solidFill>
                </w14:textFill>
              </w:rPr>
              <w:t>麻雀</w:t>
            </w:r>
            <w:r>
              <w:rPr>
                <w:color w:val="000000" w:themeColor="text1"/>
                <w:u w:val="none"/>
                <w14:textFill>
                  <w14:solidFill>
                    <w14:schemeClr w14:val="tx1"/>
                  </w14:solidFill>
                </w14:textFill>
              </w:rPr>
              <w:t>等。此外，还有铜蜓蜥、北草蜥、</w:t>
            </w:r>
            <w:r>
              <w:rPr>
                <w:rFonts w:hint="eastAsia"/>
                <w:color w:val="000000" w:themeColor="text1"/>
                <w:u w:val="none"/>
                <w14:textFill>
                  <w14:solidFill>
                    <w14:schemeClr w14:val="tx1"/>
                  </w14:solidFill>
                </w14:textFill>
              </w:rPr>
              <w:t>赤链蛇、</w:t>
            </w:r>
            <w:r>
              <w:rPr>
                <w:color w:val="000000" w:themeColor="text1"/>
                <w:u w:val="none"/>
                <w14:textFill>
                  <w14:solidFill>
                    <w14:schemeClr w14:val="tx1"/>
                  </w14:solidFill>
                </w14:textFill>
              </w:rPr>
              <w:t>黄鼬、华南兔等分布。</w:t>
            </w:r>
          </w:p>
          <w:p w14:paraId="28AA92D6">
            <w:pPr>
              <w:pStyle w:val="71"/>
              <w:numPr>
                <w:ilvl w:val="0"/>
                <w:numId w:val="2"/>
              </w:numPr>
              <w:ind w:firstLine="480" w:firstLineChars="200"/>
              <w:rPr>
                <w:rFonts w:hint="eastAsia"/>
                <w:color w:val="000000" w:themeColor="text1"/>
                <w:u w:val="none"/>
                <w:lang w:val="en-US" w:eastAsia="zh-CN"/>
                <w14:textFill>
                  <w14:solidFill>
                    <w14:schemeClr w14:val="tx1"/>
                  </w14:solidFill>
                </w14:textFill>
              </w:rPr>
            </w:pPr>
            <w:r>
              <w:rPr>
                <w:rFonts w:hint="eastAsia"/>
                <w:color w:val="000000" w:themeColor="text1"/>
                <w:u w:val="none"/>
                <w:lang w:val="en-US" w:eastAsia="zh-CN"/>
                <w14:textFill>
                  <w14:solidFill>
                    <w14:schemeClr w14:val="tx1"/>
                  </w14:solidFill>
                </w14:textFill>
              </w:rPr>
              <w:t>弃渣场生态环境现状</w:t>
            </w:r>
          </w:p>
          <w:p w14:paraId="6DD8B7D1">
            <w:pPr>
              <w:pStyle w:val="71"/>
              <w:widowControl w:val="0"/>
              <w:numPr>
                <w:ilvl w:val="0"/>
                <w:numId w:val="0"/>
              </w:numPr>
              <w:autoSpaceDE w:val="0"/>
              <w:autoSpaceDN w:val="0"/>
              <w:adjustRightInd w:val="0"/>
              <w:spacing w:line="360" w:lineRule="auto"/>
              <w:jc w:val="both"/>
              <w:textAlignment w:val="baseline"/>
              <w:rPr>
                <w:rFonts w:hint="default" w:ascii="Times New Roman" w:hAnsi="Times New Roman" w:cs="Times New Roman"/>
                <w:color w:val="000000" w:themeColor="text1"/>
                <w:u w:val="none"/>
                <w:lang w:val="en-US" w:eastAsia="zh-CN"/>
                <w14:textFill>
                  <w14:solidFill>
                    <w14:schemeClr w14:val="tx1"/>
                  </w14:solidFill>
                </w14:textFill>
              </w:rPr>
            </w:pPr>
            <w:r>
              <w:rPr>
                <w:rFonts w:hint="eastAsia"/>
                <w:color w:val="000000" w:themeColor="text1"/>
                <w:u w:val="none"/>
                <w:lang w:val="en-US" w:eastAsia="zh-CN"/>
                <w14:textFill>
                  <w14:solidFill>
                    <w14:schemeClr w14:val="tx1"/>
                  </w14:solidFill>
                </w14:textFill>
              </w:rPr>
              <w:t xml:space="preserve">   </w:t>
            </w:r>
            <w:r>
              <w:rPr>
                <w:rFonts w:hint="default" w:ascii="Times New Roman" w:hAnsi="Times New Roman" w:cs="Times New Roman"/>
                <w:color w:val="000000" w:themeColor="text1"/>
                <w:u w:val="none"/>
                <w:lang w:val="en-US" w:eastAsia="zh-CN"/>
                <w14:textFill>
                  <w14:solidFill>
                    <w14:schemeClr w14:val="tx1"/>
                  </w14:solidFill>
                </w14:textFill>
              </w:rPr>
              <w:t xml:space="preserve"> 1#弃渣场所在区域植被主要为杉木林、毛竹林、马尾松和狗牙根灌草丛，主要植物种类有杉木林、毛竹林、马尾松、盐肤木、狗尾草等。</w:t>
            </w:r>
          </w:p>
          <w:p w14:paraId="206D2347">
            <w:pPr>
              <w:pStyle w:val="71"/>
              <w:widowControl w:val="0"/>
              <w:numPr>
                <w:ilvl w:val="0"/>
                <w:numId w:val="0"/>
              </w:numPr>
              <w:autoSpaceDE w:val="0"/>
              <w:autoSpaceDN w:val="0"/>
              <w:adjustRightInd w:val="0"/>
              <w:spacing w:line="360" w:lineRule="auto"/>
              <w:ind w:firstLine="480" w:firstLineChars="200"/>
              <w:jc w:val="both"/>
              <w:textAlignment w:val="baseline"/>
              <w:rPr>
                <w:rFonts w:hint="default" w:ascii="Times New Roman" w:hAnsi="Times New Roman" w:cs="Times New Roman"/>
                <w:color w:val="000000" w:themeColor="text1"/>
                <w:u w:val="none"/>
                <w:lang w:val="en-US" w:eastAsia="zh-CN"/>
                <w14:textFill>
                  <w14:solidFill>
                    <w14:schemeClr w14:val="tx1"/>
                  </w14:solidFill>
                </w14:textFill>
              </w:rPr>
            </w:pPr>
            <w:r>
              <w:rPr>
                <w:rFonts w:hint="default" w:ascii="Times New Roman" w:hAnsi="Times New Roman" w:cs="Times New Roman"/>
                <w:color w:val="000000" w:themeColor="text1"/>
                <w:u w:val="none"/>
                <w:lang w:val="en-US" w:eastAsia="zh-CN"/>
                <w14:textFill>
                  <w14:solidFill>
                    <w14:schemeClr w14:val="tx1"/>
                  </w14:solidFill>
                </w14:textFill>
              </w:rPr>
              <w:t>2#弃渣场所在区域植被主要为毛竹林、狗</w:t>
            </w:r>
            <w:r>
              <w:rPr>
                <w:rFonts w:hint="eastAsia" w:ascii="Times New Roman" w:hAnsi="Times New Roman" w:cs="Times New Roman"/>
                <w:color w:val="000000" w:themeColor="text1"/>
                <w:u w:val="none"/>
                <w:lang w:val="en-US" w:eastAsia="zh-CN"/>
                <w14:textFill>
                  <w14:solidFill>
                    <w14:schemeClr w14:val="tx1"/>
                  </w14:solidFill>
                </w14:textFill>
              </w:rPr>
              <w:t>尾草</w:t>
            </w:r>
            <w:r>
              <w:rPr>
                <w:rFonts w:hint="default" w:ascii="Times New Roman" w:hAnsi="Times New Roman" w:cs="Times New Roman"/>
                <w:color w:val="000000" w:themeColor="text1"/>
                <w:u w:val="none"/>
                <w:lang w:val="en-US" w:eastAsia="zh-CN"/>
                <w14:textFill>
                  <w14:solidFill>
                    <w14:schemeClr w14:val="tx1"/>
                  </w14:solidFill>
                </w14:textFill>
              </w:rPr>
              <w:t>灌草丛等，主要植物种类有毛竹、杉木、马尾松、鸡屎藤、山胡椒、盐肤木、狗牙根、狗尾巴草等。</w:t>
            </w:r>
          </w:p>
          <w:p w14:paraId="4BD12010">
            <w:pPr>
              <w:pStyle w:val="71"/>
              <w:widowControl w:val="0"/>
              <w:numPr>
                <w:ilvl w:val="0"/>
                <w:numId w:val="0"/>
              </w:numPr>
              <w:autoSpaceDE w:val="0"/>
              <w:autoSpaceDN w:val="0"/>
              <w:adjustRightInd w:val="0"/>
              <w:spacing w:line="360" w:lineRule="auto"/>
              <w:ind w:firstLine="480" w:firstLineChars="200"/>
              <w:jc w:val="both"/>
              <w:textAlignment w:val="baseline"/>
              <w:rPr>
                <w:rFonts w:hint="eastAsia" w:ascii="Times New Roman" w:hAnsi="Times New Roman" w:cs="Times New Roman"/>
                <w:color w:val="000000" w:themeColor="text1"/>
                <w:u w:val="none"/>
                <w:lang w:val="en-US" w:eastAsia="zh-CN"/>
                <w14:textFill>
                  <w14:solidFill>
                    <w14:schemeClr w14:val="tx1"/>
                  </w14:solidFill>
                </w14:textFill>
              </w:rPr>
            </w:pPr>
            <w:r>
              <w:rPr>
                <w:rFonts w:hint="default" w:ascii="Times New Roman" w:hAnsi="Times New Roman" w:cs="Times New Roman"/>
                <w:color w:val="000000" w:themeColor="text1"/>
                <w:u w:val="none"/>
                <w:lang w:val="en-US" w:eastAsia="zh-CN"/>
                <w14:textFill>
                  <w14:solidFill>
                    <w14:schemeClr w14:val="tx1"/>
                  </w14:solidFill>
                </w14:textFill>
              </w:rPr>
              <w:t>3#弃渣场所在区域植被主要为为杉木林、毛竹林、马尾松和狗</w:t>
            </w:r>
            <w:r>
              <w:rPr>
                <w:rFonts w:hint="eastAsia" w:ascii="Times New Roman" w:hAnsi="Times New Roman" w:cs="Times New Roman"/>
                <w:color w:val="000000" w:themeColor="text1"/>
                <w:u w:val="none"/>
                <w:lang w:val="en-US" w:eastAsia="zh-CN"/>
                <w14:textFill>
                  <w14:solidFill>
                    <w14:schemeClr w14:val="tx1"/>
                  </w14:solidFill>
                </w14:textFill>
              </w:rPr>
              <w:t>尾草</w:t>
            </w:r>
            <w:r>
              <w:rPr>
                <w:rFonts w:hint="default" w:ascii="Times New Roman" w:hAnsi="Times New Roman" w:cs="Times New Roman"/>
                <w:color w:val="000000" w:themeColor="text1"/>
                <w:u w:val="none"/>
                <w:lang w:val="en-US" w:eastAsia="zh-CN"/>
                <w14:textFill>
                  <w14:solidFill>
                    <w14:schemeClr w14:val="tx1"/>
                  </w14:solidFill>
                </w14:textFill>
              </w:rPr>
              <w:t>灌草丛，主要植物种类有杉木林、毛竹林、马尾松、狗尾草、狗牙根等</w:t>
            </w:r>
            <w:r>
              <w:rPr>
                <w:rFonts w:hint="eastAsia" w:ascii="Times New Roman" w:hAnsi="Times New Roman" w:cs="Times New Roman"/>
                <w:color w:val="000000" w:themeColor="text1"/>
                <w:u w:val="none"/>
                <w:lang w:val="en-US" w:eastAsia="zh-CN"/>
                <w14:textFill>
                  <w14:solidFill>
                    <w14:schemeClr w14:val="tx1"/>
                  </w14:solidFill>
                </w14:textFill>
              </w:rPr>
              <w:t>。</w:t>
            </w:r>
          </w:p>
          <w:p w14:paraId="64C8E60C">
            <w:pPr>
              <w:pStyle w:val="71"/>
              <w:widowControl w:val="0"/>
              <w:numPr>
                <w:ilvl w:val="0"/>
                <w:numId w:val="0"/>
              </w:numPr>
              <w:autoSpaceDE w:val="0"/>
              <w:autoSpaceDN w:val="0"/>
              <w:adjustRightInd w:val="0"/>
              <w:spacing w:line="360" w:lineRule="auto"/>
              <w:ind w:firstLine="480" w:firstLineChars="200"/>
              <w:jc w:val="both"/>
              <w:textAlignment w:val="baseline"/>
              <w:rPr>
                <w:rFonts w:hint="default" w:ascii="Times New Roman" w:hAnsi="Times New Roman" w:cs="Times New Roman"/>
                <w:color w:val="000000" w:themeColor="text1"/>
                <w:u w:val="none"/>
                <w:lang w:val="en-US" w:eastAsia="zh-CN"/>
                <w14:textFill>
                  <w14:solidFill>
                    <w14:schemeClr w14:val="tx1"/>
                  </w14:solidFill>
                </w14:textFill>
              </w:rPr>
            </w:pPr>
            <w:r>
              <w:rPr>
                <w:rFonts w:hint="default" w:ascii="Times New Roman" w:hAnsi="Times New Roman" w:cs="Times New Roman"/>
                <w:color w:val="000000" w:themeColor="text1"/>
                <w:u w:val="none"/>
                <w:lang w:val="en-US" w:eastAsia="zh-CN"/>
                <w14:textFill>
                  <w14:solidFill>
                    <w14:schemeClr w14:val="tx1"/>
                  </w14:solidFill>
                </w14:textFill>
              </w:rPr>
              <w:t>4#弃渣场所在区域植被主要为盐肤木灌丛、狗尾草灌草丛，主要植物种类为盐肤木、狗尾草、五节芒</w:t>
            </w:r>
            <w:r>
              <w:rPr>
                <w:rFonts w:hint="eastAsia" w:ascii="Times New Roman" w:hAnsi="Times New Roman" w:cs="Times New Roman"/>
                <w:color w:val="000000" w:themeColor="text1"/>
                <w:u w:val="none"/>
                <w:lang w:val="en-US" w:eastAsia="zh-CN"/>
                <w14:textFill>
                  <w14:solidFill>
                    <w14:schemeClr w14:val="tx1"/>
                  </w14:solidFill>
                </w14:textFill>
              </w:rPr>
              <w:t>、</w:t>
            </w:r>
            <w:r>
              <w:rPr>
                <w:color w:val="000000" w:themeColor="text1"/>
                <w:u w:val="none"/>
                <w14:textFill>
                  <w14:solidFill>
                    <w14:schemeClr w14:val="tx1"/>
                  </w14:solidFill>
                </w14:textFill>
              </w:rPr>
              <w:t>蕨等。</w:t>
            </w:r>
          </w:p>
          <w:p w14:paraId="6248ACCA">
            <w:pPr>
              <w:pStyle w:val="71"/>
              <w:widowControl w:val="0"/>
              <w:numPr>
                <w:ilvl w:val="0"/>
                <w:numId w:val="0"/>
              </w:numPr>
              <w:autoSpaceDE w:val="0"/>
              <w:autoSpaceDN w:val="0"/>
              <w:adjustRightInd w:val="0"/>
              <w:spacing w:line="360" w:lineRule="auto"/>
              <w:ind w:firstLine="480" w:firstLineChars="200"/>
              <w:jc w:val="both"/>
              <w:textAlignment w:val="baseline"/>
              <w:rPr>
                <w:rFonts w:hint="default" w:ascii="Times New Roman" w:hAnsi="Times New Roman" w:cs="Times New Roman"/>
                <w:color w:val="000000" w:themeColor="text1"/>
                <w:u w:val="none"/>
                <w:lang w:val="en-US" w:eastAsia="zh-CN"/>
                <w14:textFill>
                  <w14:solidFill>
                    <w14:schemeClr w14:val="tx1"/>
                  </w14:solidFill>
                </w14:textFill>
              </w:rPr>
            </w:pPr>
            <w:r>
              <w:rPr>
                <w:rFonts w:hint="default" w:ascii="Times New Roman" w:hAnsi="Times New Roman" w:cs="Times New Roman"/>
                <w:color w:val="000000" w:themeColor="text1"/>
                <w:u w:val="none"/>
                <w:lang w:val="en-US" w:eastAsia="zh-CN"/>
                <w14:textFill>
                  <w14:solidFill>
                    <w14:schemeClr w14:val="tx1"/>
                  </w14:solidFill>
                </w14:textFill>
              </w:rPr>
              <w:t>5#弃渣场所在区域植被主要为毛竹林、紫萁灌丛，主要植物种类有毛竹林、马尾松、五节芒、狗尾巴草</w:t>
            </w:r>
            <w:r>
              <w:rPr>
                <w:rFonts w:hint="eastAsia" w:ascii="Times New Roman" w:hAnsi="Times New Roman" w:cs="Times New Roman"/>
                <w:color w:val="000000" w:themeColor="text1"/>
                <w:u w:val="none"/>
                <w:lang w:val="en-US" w:eastAsia="zh-CN"/>
                <w14:textFill>
                  <w14:solidFill>
                    <w14:schemeClr w14:val="tx1"/>
                  </w14:solidFill>
                </w14:textFill>
              </w:rPr>
              <w:t>、</w:t>
            </w:r>
            <w:r>
              <w:rPr>
                <w:rFonts w:hint="default" w:ascii="Times New Roman" w:hAnsi="Times New Roman" w:cs="Times New Roman"/>
                <w:color w:val="000000" w:themeColor="text1"/>
                <w:u w:val="none"/>
                <w:lang w:val="en-US" w:eastAsia="zh-CN"/>
                <w14:textFill>
                  <w14:solidFill>
                    <w14:schemeClr w14:val="tx1"/>
                  </w14:solidFill>
                </w14:textFill>
              </w:rPr>
              <w:t>紫萁等。</w:t>
            </w:r>
          </w:p>
          <w:p w14:paraId="22CC54D9">
            <w:pPr>
              <w:pStyle w:val="71"/>
              <w:widowControl w:val="0"/>
              <w:numPr>
                <w:ilvl w:val="0"/>
                <w:numId w:val="0"/>
              </w:numPr>
              <w:autoSpaceDE w:val="0"/>
              <w:autoSpaceDN w:val="0"/>
              <w:adjustRightInd w:val="0"/>
              <w:spacing w:line="360" w:lineRule="auto"/>
              <w:ind w:firstLine="480" w:firstLineChars="200"/>
              <w:jc w:val="both"/>
              <w:textAlignment w:val="baseline"/>
              <w:rPr>
                <w:rFonts w:hint="default" w:ascii="Times New Roman" w:hAnsi="Times New Roman" w:cs="Times New Roman"/>
                <w:color w:val="000000" w:themeColor="text1"/>
                <w:u w:val="none"/>
                <w:lang w:val="en-US" w:eastAsia="zh-CN"/>
                <w14:textFill>
                  <w14:solidFill>
                    <w14:schemeClr w14:val="tx1"/>
                  </w14:solidFill>
                </w14:textFill>
              </w:rPr>
            </w:pPr>
            <w:r>
              <w:rPr>
                <w:rFonts w:hint="default" w:ascii="Times New Roman" w:hAnsi="Times New Roman" w:cs="Times New Roman"/>
                <w:color w:val="000000" w:themeColor="text1"/>
                <w:u w:val="none"/>
                <w:lang w:val="en-US" w:eastAsia="zh-CN"/>
                <w14:textFill>
                  <w14:solidFill>
                    <w14:schemeClr w14:val="tx1"/>
                  </w14:solidFill>
                </w14:textFill>
              </w:rPr>
              <w:t>6#弃渣场所在区域植被主要为为马尾松林和五节芒灌草丛，主要植物种类有马尾松、杉木、人面竹、五节芒、狗尾巴草等</w:t>
            </w:r>
            <w:r>
              <w:rPr>
                <w:rFonts w:hint="eastAsia" w:ascii="Times New Roman" w:hAnsi="Times New Roman" w:cs="Times New Roman"/>
                <w:color w:val="000000" w:themeColor="text1"/>
                <w:u w:val="none"/>
                <w:lang w:val="en-US" w:eastAsia="zh-CN"/>
                <w14:textFill>
                  <w14:solidFill>
                    <w14:schemeClr w14:val="tx1"/>
                  </w14:solidFill>
                </w14:textFill>
              </w:rPr>
              <w:t>。</w:t>
            </w:r>
          </w:p>
          <w:p w14:paraId="719215F2">
            <w:pPr>
              <w:pStyle w:val="71"/>
              <w:widowControl w:val="0"/>
              <w:numPr>
                <w:ilvl w:val="0"/>
                <w:numId w:val="0"/>
              </w:numPr>
              <w:autoSpaceDE w:val="0"/>
              <w:autoSpaceDN w:val="0"/>
              <w:adjustRightInd w:val="0"/>
              <w:spacing w:line="360" w:lineRule="auto"/>
              <w:ind w:firstLine="480" w:firstLineChars="200"/>
              <w:jc w:val="both"/>
              <w:textAlignment w:val="baseline"/>
              <w:rPr>
                <w:rFonts w:hint="default" w:ascii="Times New Roman" w:hAnsi="Times New Roman" w:cs="Times New Roman"/>
                <w:color w:val="000000" w:themeColor="text1"/>
                <w:u w:val="none"/>
                <w:lang w:val="en-US" w:eastAsia="zh-CN"/>
                <w14:textFill>
                  <w14:solidFill>
                    <w14:schemeClr w14:val="tx1"/>
                  </w14:solidFill>
                </w14:textFill>
              </w:rPr>
            </w:pPr>
            <w:r>
              <w:rPr>
                <w:rFonts w:hint="default" w:ascii="Times New Roman" w:hAnsi="Times New Roman" w:cs="Times New Roman"/>
                <w:color w:val="000000" w:themeColor="text1"/>
                <w:u w:val="none"/>
                <w:lang w:val="en-US" w:eastAsia="zh-CN"/>
                <w14:textFill>
                  <w14:solidFill>
                    <w14:schemeClr w14:val="tx1"/>
                  </w14:solidFill>
                </w14:textFill>
              </w:rPr>
              <w:t>7#弃渣场所在区域植被主要为白茅灌丛、五节芒灌草丛，主要植物种类为盐肤木、五节芒、狗尾巴草等。</w:t>
            </w:r>
          </w:p>
          <w:p w14:paraId="60C1DEE5">
            <w:pPr>
              <w:pStyle w:val="71"/>
              <w:widowControl w:val="0"/>
              <w:numPr>
                <w:ilvl w:val="0"/>
                <w:numId w:val="0"/>
              </w:numPr>
              <w:autoSpaceDE w:val="0"/>
              <w:autoSpaceDN w:val="0"/>
              <w:adjustRightInd w:val="0"/>
              <w:spacing w:line="360" w:lineRule="auto"/>
              <w:ind w:firstLine="480" w:firstLineChars="200"/>
              <w:jc w:val="both"/>
              <w:textAlignment w:val="baseline"/>
              <w:rPr>
                <w:rFonts w:hint="default" w:ascii="Times New Roman" w:hAnsi="Times New Roman" w:eastAsia="宋体" w:cs="Times New Roman"/>
                <w:b w:val="0"/>
                <w:bCs w:val="0"/>
                <w:color w:val="000000" w:themeColor="text1"/>
                <w:kern w:val="2"/>
                <w:sz w:val="24"/>
                <w:szCs w:val="24"/>
                <w:u w:val="none"/>
                <w:lang w:val="en-US" w:eastAsia="zh-CN" w:bidi="ar-SA"/>
                <w14:textFill>
                  <w14:solidFill>
                    <w14:schemeClr w14:val="tx1"/>
                  </w14:solidFill>
                </w14:textFill>
              </w:rPr>
            </w:pPr>
            <w:r>
              <w:rPr>
                <w:rFonts w:hint="default" w:ascii="Times New Roman" w:hAnsi="Times New Roman" w:cs="Times New Roman"/>
                <w:color w:val="000000" w:themeColor="text1"/>
                <w:u w:val="none"/>
                <w:lang w:val="en-US" w:eastAsia="zh-CN"/>
                <w14:textFill>
                  <w14:solidFill>
                    <w14:schemeClr w14:val="tx1"/>
                  </w14:solidFill>
                </w14:textFill>
              </w:rPr>
              <w:t>8#弃渣场所在区域植被主要为</w:t>
            </w:r>
            <w:r>
              <w:rPr>
                <w:rFonts w:hint="default" w:ascii="Times New Roman" w:hAnsi="Times New Roman" w:eastAsia="宋体" w:cs="Times New Roman"/>
                <w:b w:val="0"/>
                <w:bCs w:val="0"/>
                <w:color w:val="000000" w:themeColor="text1"/>
                <w:kern w:val="2"/>
                <w:sz w:val="24"/>
                <w:szCs w:val="24"/>
                <w:u w:val="none"/>
                <w:lang w:val="en-US" w:eastAsia="zh-CN" w:bidi="ar-SA"/>
                <w14:textFill>
                  <w14:solidFill>
                    <w14:schemeClr w14:val="tx1"/>
                  </w14:solidFill>
                </w14:textFill>
              </w:rPr>
              <w:t>为狗尾草灌草丛，主要植物种类为山胡椒、盐肤木、狗尾草、五节芒等</w:t>
            </w:r>
            <w:r>
              <w:rPr>
                <w:rFonts w:hint="eastAsia" w:ascii="Times New Roman" w:hAnsi="Times New Roman" w:cs="Times New Roman"/>
                <w:b w:val="0"/>
                <w:bCs w:val="0"/>
                <w:color w:val="000000" w:themeColor="text1"/>
                <w:kern w:val="2"/>
                <w:sz w:val="24"/>
                <w:szCs w:val="24"/>
                <w:u w:val="none"/>
                <w:lang w:val="en-US" w:eastAsia="zh-CN" w:bidi="ar-SA"/>
                <w14:textFill>
                  <w14:solidFill>
                    <w14:schemeClr w14:val="tx1"/>
                  </w14:solidFill>
                </w14:textFill>
              </w:rPr>
              <w:t>。</w:t>
            </w:r>
          </w:p>
          <w:p w14:paraId="1A201A21">
            <w:pPr>
              <w:pStyle w:val="71"/>
              <w:widowControl w:val="0"/>
              <w:numPr>
                <w:ilvl w:val="0"/>
                <w:numId w:val="0"/>
              </w:numPr>
              <w:autoSpaceDE w:val="0"/>
              <w:autoSpaceDN w:val="0"/>
              <w:adjustRightInd w:val="0"/>
              <w:spacing w:line="360" w:lineRule="auto"/>
              <w:ind w:firstLine="480" w:firstLineChars="200"/>
              <w:jc w:val="both"/>
              <w:textAlignment w:val="baseline"/>
              <w:rPr>
                <w:rFonts w:hint="default" w:ascii="Times New Roman" w:hAnsi="Times New Roman" w:cs="Times New Roman"/>
                <w:color w:val="000000" w:themeColor="text1"/>
                <w:u w:val="none"/>
                <w:lang w:val="en-US" w:eastAsia="zh-CN"/>
                <w14:textFill>
                  <w14:solidFill>
                    <w14:schemeClr w14:val="tx1"/>
                  </w14:solidFill>
                </w14:textFill>
              </w:rPr>
            </w:pPr>
            <w:r>
              <w:rPr>
                <w:rFonts w:hint="eastAsia" w:ascii="Times New Roman" w:hAnsi="Times New Roman" w:cs="Times New Roman"/>
                <w:color w:val="000000" w:themeColor="text1"/>
                <w:u w:val="none"/>
                <w:lang w:val="en-US" w:eastAsia="zh-CN"/>
                <w14:textFill>
                  <w14:solidFill>
                    <w14:schemeClr w14:val="tx1"/>
                  </w14:solidFill>
                </w14:textFill>
              </w:rPr>
              <w:t>9</w:t>
            </w:r>
            <w:r>
              <w:rPr>
                <w:rFonts w:hint="default" w:ascii="Times New Roman" w:hAnsi="Times New Roman" w:cs="Times New Roman"/>
                <w:color w:val="000000" w:themeColor="text1"/>
                <w:u w:val="none"/>
                <w:lang w:val="en-US" w:eastAsia="zh-CN"/>
                <w14:textFill>
                  <w14:solidFill>
                    <w14:schemeClr w14:val="tx1"/>
                  </w14:solidFill>
                </w14:textFill>
              </w:rPr>
              <w:t>#弃渣场所在区域植被主要有盐肤木灌丛、五节芒灌草丛等，主要植物种类有玉竹、盐肤木、糯米条、五节芒等</w:t>
            </w:r>
            <w:r>
              <w:rPr>
                <w:rFonts w:hint="eastAsia" w:ascii="Times New Roman" w:hAnsi="Times New Roman" w:cs="Times New Roman"/>
                <w:color w:val="000000" w:themeColor="text1"/>
                <w:u w:val="none"/>
                <w:lang w:val="en-US" w:eastAsia="zh-CN"/>
                <w14:textFill>
                  <w14:solidFill>
                    <w14:schemeClr w14:val="tx1"/>
                  </w14:solidFill>
                </w14:textFill>
              </w:rPr>
              <w:t>。</w:t>
            </w:r>
          </w:p>
          <w:p w14:paraId="37662704">
            <w:pPr>
              <w:pStyle w:val="4"/>
              <w:rPr>
                <w:color w:val="000000" w:themeColor="text1"/>
                <w:highlight w:val="none"/>
                <w:u w:val="none"/>
                <w14:textFill>
                  <w14:solidFill>
                    <w14:schemeClr w14:val="tx1"/>
                  </w14:solidFill>
                </w14:textFill>
              </w:rPr>
            </w:pPr>
            <w:r>
              <w:rPr>
                <w:color w:val="000000" w:themeColor="text1"/>
                <w:highlight w:val="none"/>
                <w:u w:val="none"/>
                <w14:textFill>
                  <w14:solidFill>
                    <w14:schemeClr w14:val="tx1"/>
                  </w14:solidFill>
                </w14:textFill>
              </w:rPr>
              <w:t>3.5.</w:t>
            </w:r>
            <w:r>
              <w:rPr>
                <w:rFonts w:hint="eastAsia"/>
                <w:color w:val="000000" w:themeColor="text1"/>
                <w:highlight w:val="none"/>
                <w:u w:val="none"/>
                <w14:textFill>
                  <w14:solidFill>
                    <w14:schemeClr w14:val="tx1"/>
                  </w14:solidFill>
                </w14:textFill>
              </w:rPr>
              <w:t>2重点保护植物和古树名木</w:t>
            </w:r>
          </w:p>
          <w:p w14:paraId="43AD0290">
            <w:pPr>
              <w:adjustRightInd w:val="0"/>
              <w:snapToGrid w:val="0"/>
              <w:spacing w:line="360" w:lineRule="auto"/>
              <w:ind w:firstLine="482"/>
              <w:rPr>
                <w:color w:val="000000" w:themeColor="text1"/>
                <w:highlight w:val="none"/>
                <w:u w:val="none"/>
                <w14:textFill>
                  <w14:solidFill>
                    <w14:schemeClr w14:val="tx1"/>
                  </w14:solidFill>
                </w14:textFill>
              </w:rPr>
            </w:pPr>
            <w:bookmarkStart w:id="63" w:name="_Toc3378_WPSOffice_Level2"/>
            <w:r>
              <w:rPr>
                <w:color w:val="000000" w:themeColor="text1"/>
                <w:highlight w:val="none"/>
                <w:u w:val="none"/>
                <w14:textFill>
                  <w14:solidFill>
                    <w14:schemeClr w14:val="tx1"/>
                  </w14:solidFill>
                </w14:textFill>
              </w:rPr>
              <w:t xml:space="preserve">（1） </w:t>
            </w:r>
            <w:bookmarkEnd w:id="63"/>
            <w:r>
              <w:rPr>
                <w:rFonts w:hint="eastAsia"/>
                <w:color w:val="000000" w:themeColor="text1"/>
                <w:highlight w:val="none"/>
                <w:u w:val="none"/>
                <w14:textFill>
                  <w14:solidFill>
                    <w14:schemeClr w14:val="tx1"/>
                  </w14:solidFill>
                </w14:textFill>
              </w:rPr>
              <w:t>重点保护植物</w:t>
            </w:r>
          </w:p>
          <w:p w14:paraId="263869AF">
            <w:pPr>
              <w:numPr>
                <w:ilvl w:val="0"/>
                <w:numId w:val="0"/>
              </w:numPr>
              <w:adjustRightInd w:val="0"/>
              <w:snapToGrid w:val="0"/>
              <w:spacing w:line="360" w:lineRule="auto"/>
              <w:ind w:firstLine="480" w:firstLineChars="200"/>
              <w:rPr>
                <w:rFonts w:hint="eastAsia" w:ascii="Times New Roman" w:hAnsi="Times New Roman" w:cs="Times New Roman"/>
                <w:color w:val="000000" w:themeColor="text1"/>
                <w:sz w:val="24"/>
                <w:highlight w:val="none"/>
                <w:u w:val="wave"/>
                <w14:textFill>
                  <w14:solidFill>
                    <w14:schemeClr w14:val="tx1"/>
                  </w14:solidFill>
                </w14:textFill>
              </w:rPr>
            </w:pPr>
            <w:bookmarkStart w:id="64" w:name="_Toc21839_WPSOffice_Level2"/>
            <w:r>
              <w:rPr>
                <w:rFonts w:hint="eastAsia" w:ascii="Times New Roman" w:hAnsi="Times New Roman" w:cs="Times New Roman"/>
                <w:color w:val="000000" w:themeColor="text1"/>
                <w:sz w:val="24"/>
                <w:highlight w:val="none"/>
                <w:u w:val="wave"/>
                <w14:textFill>
                  <w14:solidFill>
                    <w14:schemeClr w14:val="tx1"/>
                  </w14:solidFill>
                </w14:textFill>
              </w:rPr>
              <w:t>评价区国家重点保护野生植物根据《国家重点保护野生植物名录》（第一批）（国务院，1999年8月）确定。参考《湖南省国家级珍稀濒危植物分布特征及区系探讨》（刘德良，2001年）、《湖南珍稀濒危保护植物的地理分布及其区系特征》（杨一光，1987年）、《湖南省林木种源普查资料汇编》（湖南省林业厅，1985年）、《湖南植物名录》（祁承经，1987年）、《湖南珍稀濒危植物优先护存分级指标的研究》（颜立红等，1997）、《湖南珍稀濒危植物迁地仿生护存的初步研究》（颜立红等，1997）及本工程所在行政区内关于国家重点保护野生植物的相关资料，结合现场调查，评价区内未发现国家或湖南省级重点保护野生植物。</w:t>
            </w:r>
          </w:p>
          <w:p w14:paraId="55C0B398">
            <w:pPr>
              <w:numPr>
                <w:ilvl w:val="0"/>
                <w:numId w:val="0"/>
              </w:numPr>
              <w:adjustRightInd w:val="0"/>
              <w:snapToGrid w:val="0"/>
              <w:spacing w:line="360" w:lineRule="auto"/>
              <w:ind w:firstLine="480" w:firstLineChars="200"/>
              <w:rPr>
                <w:color w:val="000000" w:themeColor="text1"/>
                <w:highlight w:val="none"/>
                <w:u w:val="none"/>
                <w14:textFill>
                  <w14:solidFill>
                    <w14:schemeClr w14:val="tx1"/>
                  </w14:solidFill>
                </w14:textFill>
              </w:rPr>
            </w:pPr>
            <w:r>
              <w:rPr>
                <w:rFonts w:hint="eastAsia" w:cs="Times New Roman"/>
                <w:color w:val="000000" w:themeColor="text1"/>
                <w:sz w:val="24"/>
                <w:highlight w:val="none"/>
                <w:u w:val="none"/>
                <w:lang w:eastAsia="zh-CN"/>
                <w14:textFill>
                  <w14:solidFill>
                    <w14:schemeClr w14:val="tx1"/>
                  </w14:solidFill>
                </w14:textFill>
              </w:rPr>
              <w:t>（</w:t>
            </w:r>
            <w:r>
              <w:rPr>
                <w:rFonts w:hint="eastAsia" w:cs="Times New Roman"/>
                <w:color w:val="000000" w:themeColor="text1"/>
                <w:sz w:val="24"/>
                <w:highlight w:val="none"/>
                <w:u w:val="none"/>
                <w:lang w:val="en-US" w:eastAsia="zh-CN"/>
                <w14:textFill>
                  <w14:solidFill>
                    <w14:schemeClr w14:val="tx1"/>
                  </w14:solidFill>
                </w14:textFill>
              </w:rPr>
              <w:t>2）</w:t>
            </w:r>
            <w:r>
              <w:rPr>
                <w:color w:val="000000" w:themeColor="text1"/>
                <w:highlight w:val="none"/>
                <w:u w:val="none"/>
                <w14:textFill>
                  <w14:solidFill>
                    <w14:schemeClr w14:val="tx1"/>
                  </w14:solidFill>
                </w14:textFill>
              </w:rPr>
              <w:t>古树名木</w:t>
            </w:r>
            <w:bookmarkEnd w:id="64"/>
          </w:p>
          <w:p w14:paraId="7099023E">
            <w:pPr>
              <w:adjustRightInd w:val="0"/>
              <w:snapToGrid w:val="0"/>
              <w:spacing w:line="360" w:lineRule="auto"/>
              <w:ind w:firstLine="482"/>
              <w:rPr>
                <w:rFonts w:hint="default" w:ascii="Times New Roman" w:hAnsi="Times New Roman" w:eastAsia="宋体" w:cs="Times New Roman"/>
                <w:color w:val="000000" w:themeColor="text1"/>
                <w:sz w:val="24"/>
                <w:highlight w:val="none"/>
                <w:u w:val="wave"/>
                <w:lang w:val="en-US" w:eastAsia="zh-CN"/>
                <w14:textFill>
                  <w14:solidFill>
                    <w14:schemeClr w14:val="tx1"/>
                  </w14:solidFill>
                </w14:textFill>
              </w:rPr>
            </w:pPr>
            <w:bookmarkStart w:id="65" w:name="_Toc13344_WPSOffice_Level3"/>
            <w:bookmarkStart w:id="66" w:name="_Toc119425269"/>
            <w:bookmarkStart w:id="67" w:name="_Toc30000_WPSOffice_Level1"/>
            <w:bookmarkStart w:id="68" w:name="_Toc21562"/>
            <w:r>
              <w:rPr>
                <w:rFonts w:hint="eastAsia" w:ascii="Times New Roman" w:hAnsi="Times New Roman" w:cs="Times New Roman"/>
                <w:color w:val="000000" w:themeColor="text1"/>
                <w:sz w:val="24"/>
                <w:highlight w:val="none"/>
                <w:u w:val="wave"/>
                <w14:textFill>
                  <w14:solidFill>
                    <w14:schemeClr w14:val="tx1"/>
                  </w14:solidFill>
                </w14:textFill>
              </w:rPr>
              <w:t>评价区古树名木根据《湖南省人民政府关于修订湖南省地方重点保护野生植物名录的通知）（湘政函，[2002]172号）、《湖南省林业条例》（湖南省人大常委会2012年修订）、（全绿委关于开展古树名木普查建档工作的通知）（全国绿化委员会、国家林业局，全绿字[2001]15号）确定。参考《湖南古树名木》（邓三龙等，2011年）及本工程所在行政区内关于古树名木及其分布资料，同时对项目所在区域的林业局、附近村民进行访问调查及现场实地调查，本次实地调查在评价区内</w:t>
            </w:r>
            <w:r>
              <w:rPr>
                <w:rFonts w:hint="eastAsia" w:cs="Times New Roman"/>
                <w:color w:val="000000" w:themeColor="text1"/>
                <w:sz w:val="24"/>
                <w:highlight w:val="none"/>
                <w:u w:val="wave"/>
                <w:lang w:val="en-US" w:eastAsia="zh-CN"/>
                <w14:textFill>
                  <w14:solidFill>
                    <w14:schemeClr w14:val="tx1"/>
                  </w14:solidFill>
                </w14:textFill>
              </w:rPr>
              <w:t>未</w:t>
            </w:r>
            <w:r>
              <w:rPr>
                <w:rFonts w:hint="eastAsia" w:ascii="Times New Roman" w:hAnsi="Times New Roman" w:cs="Times New Roman"/>
                <w:color w:val="000000" w:themeColor="text1"/>
                <w:sz w:val="24"/>
                <w:highlight w:val="none"/>
                <w:u w:val="wave"/>
                <w14:textFill>
                  <w14:solidFill>
                    <w14:schemeClr w14:val="tx1"/>
                  </w14:solidFill>
                </w14:textFill>
              </w:rPr>
              <w:t>发现古树名木</w:t>
            </w:r>
            <w:r>
              <w:rPr>
                <w:rFonts w:hint="eastAsia" w:cs="Times New Roman"/>
                <w:color w:val="000000" w:themeColor="text1"/>
                <w:sz w:val="24"/>
                <w:highlight w:val="none"/>
                <w:u w:val="wave"/>
                <w:lang w:val="en-US" w:eastAsia="zh-CN"/>
                <w14:textFill>
                  <w14:solidFill>
                    <w14:schemeClr w14:val="tx1"/>
                  </w14:solidFill>
                </w14:textFill>
              </w:rPr>
              <w:t>。</w:t>
            </w:r>
          </w:p>
          <w:p w14:paraId="0BE8CDD9">
            <w:pPr>
              <w:adjustRightInd w:val="0"/>
              <w:snapToGrid w:val="0"/>
              <w:spacing w:line="360" w:lineRule="auto"/>
              <w:ind w:firstLine="482"/>
              <w:rPr>
                <w:color w:val="000000" w:themeColor="text1"/>
                <w:highlight w:val="none"/>
                <w:u w:val="none"/>
                <w14:textFill>
                  <w14:solidFill>
                    <w14:schemeClr w14:val="tx1"/>
                  </w14:solidFill>
                </w14:textFill>
              </w:rPr>
            </w:pPr>
            <w:r>
              <w:rPr>
                <w:color w:val="000000" w:themeColor="text1"/>
                <w:highlight w:val="none"/>
                <w:u w:val="none"/>
                <w14:textFill>
                  <w14:solidFill>
                    <w14:schemeClr w14:val="tx1"/>
                  </w14:solidFill>
                </w14:textFill>
              </w:rPr>
              <w:t>（</w:t>
            </w:r>
            <w:r>
              <w:rPr>
                <w:rFonts w:hint="eastAsia"/>
                <w:color w:val="000000" w:themeColor="text1"/>
                <w:highlight w:val="none"/>
                <w:u w:val="none"/>
                <w14:textFill>
                  <w14:solidFill>
                    <w14:schemeClr w14:val="tx1"/>
                  </w14:solidFill>
                </w14:textFill>
              </w:rPr>
              <w:t>3</w:t>
            </w:r>
            <w:r>
              <w:rPr>
                <w:color w:val="000000" w:themeColor="text1"/>
                <w:highlight w:val="none"/>
                <w:u w:val="none"/>
                <w14:textFill>
                  <w14:solidFill>
                    <w14:schemeClr w14:val="tx1"/>
                  </w14:solidFill>
                </w14:textFill>
              </w:rPr>
              <w:t>）外来入侵物种</w:t>
            </w:r>
            <w:bookmarkEnd w:id="65"/>
            <w:bookmarkEnd w:id="66"/>
            <w:bookmarkEnd w:id="67"/>
            <w:bookmarkEnd w:id="68"/>
          </w:p>
          <w:p w14:paraId="1576115E">
            <w:pPr>
              <w:spacing w:line="360" w:lineRule="auto"/>
              <w:ind w:firstLine="480"/>
              <w:rPr>
                <w:rFonts w:hint="eastAsia"/>
                <w:color w:val="000000" w:themeColor="text1"/>
                <w:highlight w:val="none"/>
                <w:u w:val="none"/>
                <w14:textFill>
                  <w14:solidFill>
                    <w14:schemeClr w14:val="tx1"/>
                  </w14:solidFill>
                </w14:textFill>
              </w:rPr>
            </w:pPr>
            <w:r>
              <w:rPr>
                <w:rFonts w:hint="eastAsia"/>
                <w:color w:val="000000" w:themeColor="text1"/>
                <w:highlight w:val="none"/>
                <w:u w:val="none"/>
                <w14:textFill>
                  <w14:solidFill>
                    <w14:schemeClr w14:val="tx1"/>
                  </w14:solidFill>
                </w14:textFill>
              </w:rPr>
              <w:t>根据《中国外来入侵物种名单》（第一批，2003年）、《中国外来入侵物种名单》（第二批，2010年）、《中国外来入侵物种名单》（第三批，2014年）、《中国自然生态系统外来入侵物种名单》（第四批，2016年），参考本工程所在行政区内关于外来入侵植物的相关资料，通过现场实地调查，在评价区</w:t>
            </w:r>
            <w:r>
              <w:rPr>
                <w:rFonts w:hint="eastAsia"/>
                <w:color w:val="000000" w:themeColor="text1"/>
                <w:highlight w:val="none"/>
                <w:u w:val="none"/>
                <w:lang w:val="en-US" w:eastAsia="zh-CN"/>
                <w14:textFill>
                  <w14:solidFill>
                    <w14:schemeClr w14:val="tx1"/>
                  </w14:solidFill>
                </w14:textFill>
              </w:rPr>
              <w:t>未</w:t>
            </w:r>
            <w:r>
              <w:rPr>
                <w:rFonts w:hint="eastAsia"/>
                <w:color w:val="000000" w:themeColor="text1"/>
                <w:highlight w:val="none"/>
                <w:u w:val="none"/>
                <w14:textFill>
                  <w14:solidFill>
                    <w14:schemeClr w14:val="tx1"/>
                  </w14:solidFill>
                </w14:textFill>
              </w:rPr>
              <w:t>发现有外来入侵种。</w:t>
            </w:r>
          </w:p>
          <w:p w14:paraId="576068FC">
            <w:pPr>
              <w:spacing w:line="360" w:lineRule="auto"/>
              <w:ind w:firstLine="480"/>
              <w:rPr>
                <w:rFonts w:hint="eastAsia"/>
                <w:color w:val="000000" w:themeColor="text1"/>
                <w:highlight w:val="none"/>
                <w:u w:val="none"/>
                <w14:textFill>
                  <w14:solidFill>
                    <w14:schemeClr w14:val="tx1"/>
                  </w14:solidFill>
                </w14:textFill>
              </w:rPr>
            </w:pPr>
            <w:r>
              <w:rPr>
                <w:color w:val="000000" w:themeColor="text1"/>
                <w:highlight w:val="none"/>
                <w:u w:val="none"/>
                <w14:textFill>
                  <w14:solidFill>
                    <w14:schemeClr w14:val="tx1"/>
                  </w14:solidFill>
                </w14:textFill>
              </w:rPr>
              <w:t>（</w:t>
            </w:r>
            <w:r>
              <w:rPr>
                <w:rFonts w:hint="eastAsia"/>
                <w:color w:val="000000" w:themeColor="text1"/>
                <w:highlight w:val="none"/>
                <w:u w:val="none"/>
                <w:lang w:val="en-US" w:eastAsia="zh-CN"/>
                <w14:textFill>
                  <w14:solidFill>
                    <w14:schemeClr w14:val="tx1"/>
                  </w14:solidFill>
                </w14:textFill>
              </w:rPr>
              <w:t>4</w:t>
            </w:r>
            <w:r>
              <w:rPr>
                <w:color w:val="000000" w:themeColor="text1"/>
                <w:highlight w:val="none"/>
                <w:u w:val="none"/>
                <w14:textFill>
                  <w14:solidFill>
                    <w14:schemeClr w14:val="tx1"/>
                  </w14:solidFill>
                </w14:textFill>
              </w:rPr>
              <w:t>）</w:t>
            </w:r>
            <w:r>
              <w:rPr>
                <w:rFonts w:hint="eastAsia"/>
                <w:color w:val="000000" w:themeColor="text1"/>
                <w:highlight w:val="none"/>
                <w:u w:val="none"/>
                <w14:textFill>
                  <w14:solidFill>
                    <w14:schemeClr w14:val="tx1"/>
                  </w14:solidFill>
                </w14:textFill>
              </w:rPr>
              <w:t>生态保护红线和基本农田</w:t>
            </w:r>
          </w:p>
          <w:p w14:paraId="217AC5CC">
            <w:pPr>
              <w:spacing w:line="360" w:lineRule="auto"/>
              <w:ind w:firstLine="480"/>
              <w:rPr>
                <w:rFonts w:hint="eastAsia"/>
                <w:color w:val="000000" w:themeColor="text1"/>
                <w:highlight w:val="none"/>
                <w:u w:val="none"/>
                <w14:textFill>
                  <w14:solidFill>
                    <w14:schemeClr w14:val="tx1"/>
                  </w14:solidFill>
                </w14:textFill>
              </w:rPr>
            </w:pPr>
            <w:r>
              <w:rPr>
                <w:rFonts w:hint="eastAsia"/>
                <w:color w:val="000000" w:themeColor="text1"/>
                <w:highlight w:val="none"/>
                <w:u w:val="none"/>
                <w14:textFill>
                  <w14:solidFill>
                    <w14:schemeClr w14:val="tx1"/>
                  </w14:solidFill>
                </w14:textFill>
              </w:rPr>
              <w:t>根据</w:t>
            </w:r>
            <w:r>
              <w:rPr>
                <w:rFonts w:hint="eastAsia"/>
                <w:color w:val="000000" w:themeColor="text1"/>
                <w:highlight w:val="none"/>
                <w:u w:val="none"/>
                <w:lang w:eastAsia="zh-CN"/>
                <w14:textFill>
                  <w14:solidFill>
                    <w14:schemeClr w14:val="tx1"/>
                  </w14:solidFill>
                </w14:textFill>
              </w:rPr>
              <w:t>通道县</w:t>
            </w:r>
            <w:r>
              <w:rPr>
                <w:rFonts w:hint="eastAsia"/>
                <w:color w:val="000000" w:themeColor="text1"/>
                <w:highlight w:val="none"/>
                <w:u w:val="none"/>
                <w14:textFill>
                  <w14:solidFill>
                    <w14:schemeClr w14:val="tx1"/>
                  </w14:solidFill>
                </w14:textFill>
              </w:rPr>
              <w:t>自然资源局《关于将</w:t>
            </w:r>
            <w:r>
              <w:rPr>
                <w:rFonts w:hint="eastAsia"/>
                <w:color w:val="000000" w:themeColor="text1"/>
                <w:highlight w:val="none"/>
                <w:u w:val="none"/>
                <w:lang w:eastAsia="zh-CN"/>
                <w14:textFill>
                  <w14:solidFill>
                    <w14:schemeClr w14:val="tx1"/>
                  </w14:solidFill>
                </w14:textFill>
              </w:rPr>
              <w:t>湖南华电通道太平山风电场项目</w:t>
            </w:r>
            <w:r>
              <w:rPr>
                <w:rFonts w:hint="eastAsia"/>
                <w:color w:val="000000" w:themeColor="text1"/>
                <w:highlight w:val="none"/>
                <w:u w:val="none"/>
                <w14:textFill>
                  <w14:solidFill>
                    <w14:schemeClr w14:val="tx1"/>
                  </w14:solidFill>
                </w14:textFill>
              </w:rPr>
              <w:t>建设项目与</w:t>
            </w:r>
            <w:r>
              <w:rPr>
                <w:rFonts w:hint="eastAsia"/>
                <w:color w:val="000000" w:themeColor="text1"/>
                <w:highlight w:val="none"/>
                <w:u w:val="none"/>
                <w:lang w:eastAsia="zh-CN"/>
                <w14:textFill>
                  <w14:solidFill>
                    <w14:schemeClr w14:val="tx1"/>
                  </w14:solidFill>
                </w14:textFill>
              </w:rPr>
              <w:t>怀化市通道县</w:t>
            </w:r>
            <w:r>
              <w:rPr>
                <w:rFonts w:hint="eastAsia"/>
                <w:color w:val="000000" w:themeColor="text1"/>
                <w:highlight w:val="none"/>
                <w:u w:val="none"/>
                <w14:textFill>
                  <w14:solidFill>
                    <w14:schemeClr w14:val="tx1"/>
                  </w14:solidFill>
                </w14:textFill>
              </w:rPr>
              <w:t>“三区三线”划定成果套合的情况说明》，本项目不涉及永久基本农田和生态保护红线。</w:t>
            </w:r>
          </w:p>
          <w:p w14:paraId="429466F7">
            <w:pPr>
              <w:pStyle w:val="4"/>
              <w:rPr>
                <w:color w:val="000000" w:themeColor="text1"/>
                <w:highlight w:val="none"/>
                <w:u w:val="none"/>
                <w14:textFill>
                  <w14:solidFill>
                    <w14:schemeClr w14:val="tx1"/>
                  </w14:solidFill>
                </w14:textFill>
              </w:rPr>
            </w:pPr>
            <w:r>
              <w:rPr>
                <w:color w:val="000000" w:themeColor="text1"/>
                <w:highlight w:val="none"/>
                <w:u w:val="none"/>
                <w14:textFill>
                  <w14:solidFill>
                    <w14:schemeClr w14:val="tx1"/>
                  </w14:solidFill>
                </w14:textFill>
              </w:rPr>
              <w:t>3.5.</w:t>
            </w:r>
            <w:r>
              <w:rPr>
                <w:rFonts w:hint="eastAsia"/>
                <w:color w:val="000000" w:themeColor="text1"/>
                <w:highlight w:val="none"/>
                <w:u w:val="none"/>
                <w14:textFill>
                  <w14:solidFill>
                    <w14:schemeClr w14:val="tx1"/>
                  </w14:solidFill>
                </w14:textFill>
              </w:rPr>
              <w:t>3</w:t>
            </w:r>
            <w:r>
              <w:rPr>
                <w:color w:val="000000" w:themeColor="text1"/>
                <w:highlight w:val="none"/>
                <w:u w:val="none"/>
                <w14:textFill>
                  <w14:solidFill>
                    <w14:schemeClr w14:val="tx1"/>
                  </w14:solidFill>
                </w14:textFill>
              </w:rPr>
              <w:t xml:space="preserve"> </w:t>
            </w:r>
            <w:r>
              <w:rPr>
                <w:rFonts w:hint="eastAsia"/>
                <w:color w:val="000000" w:themeColor="text1"/>
                <w:highlight w:val="none"/>
                <w:u w:val="none"/>
                <w14:textFill>
                  <w14:solidFill>
                    <w14:schemeClr w14:val="tx1"/>
                  </w14:solidFill>
                </w14:textFill>
              </w:rPr>
              <w:t>重要</w:t>
            </w:r>
            <w:r>
              <w:rPr>
                <w:color w:val="000000" w:themeColor="text1"/>
                <w:highlight w:val="none"/>
                <w:u w:val="none"/>
                <w14:textFill>
                  <w14:solidFill>
                    <w14:schemeClr w14:val="tx1"/>
                  </w14:solidFill>
                </w14:textFill>
              </w:rPr>
              <w:t>野生动物</w:t>
            </w:r>
          </w:p>
          <w:p w14:paraId="37F3672D">
            <w:pPr>
              <w:spacing w:line="360" w:lineRule="auto"/>
              <w:ind w:firstLine="420"/>
              <w:rPr>
                <w:rFonts w:hint="eastAsia"/>
                <w:color w:val="000000" w:themeColor="text1"/>
                <w:highlight w:val="none"/>
                <w:u w:val="wave"/>
                <w14:textFill>
                  <w14:solidFill>
                    <w14:schemeClr w14:val="tx1"/>
                  </w14:solidFill>
                </w14:textFill>
              </w:rPr>
            </w:pPr>
            <w:r>
              <w:rPr>
                <w:rFonts w:hint="eastAsia"/>
                <w:color w:val="000000" w:themeColor="text1"/>
                <w:highlight w:val="none"/>
                <w:u w:val="wave"/>
                <w14:textFill>
                  <w14:solidFill>
                    <w14:schemeClr w14:val="tx1"/>
                  </w14:solidFill>
                </w14:textFill>
              </w:rPr>
              <w:t>根据《环境影响评价技术导则 生态影响》（HJ 19—2022），在生态影响评价中需要重点关注、具有较高保护价值或保护要求的物种，重要物种包括国家及地方重点保护野生动物，《中国生物多样性红色名录》中列为极危种，濒危种，易危物种，国家和地方政府列入拯救保护的极小种群物种，特有种。</w:t>
            </w:r>
          </w:p>
          <w:p w14:paraId="6401D1BB">
            <w:pPr>
              <w:spacing w:line="360" w:lineRule="auto"/>
              <w:ind w:firstLine="420"/>
              <w:rPr>
                <w:rFonts w:hint="eastAsia"/>
                <w:color w:val="000000" w:themeColor="text1"/>
                <w:highlight w:val="none"/>
                <w:u w:val="wave"/>
                <w14:textFill>
                  <w14:solidFill>
                    <w14:schemeClr w14:val="tx1"/>
                  </w14:solidFill>
                </w14:textFill>
              </w:rPr>
            </w:pPr>
            <w:r>
              <w:rPr>
                <w:rFonts w:hint="eastAsia"/>
                <w:color w:val="000000" w:themeColor="text1"/>
                <w:highlight w:val="none"/>
                <w:u w:val="wave"/>
                <w14:textFill>
                  <w14:solidFill>
                    <w14:schemeClr w14:val="tx1"/>
                  </w14:solidFill>
                </w14:textFill>
              </w:rPr>
              <w:t>通过实地调查，并结合对历年植物资料的系统整理，本报告认定评价区野生动物共有</w:t>
            </w:r>
            <w:r>
              <w:rPr>
                <w:rFonts w:hint="eastAsia"/>
                <w:color w:val="000000" w:themeColor="text1"/>
                <w:highlight w:val="none"/>
                <w:u w:val="wave"/>
                <w:lang w:val="en-US" w:eastAsia="zh-CN"/>
                <w14:textFill>
                  <w14:solidFill>
                    <w14:schemeClr w14:val="tx1"/>
                  </w14:solidFill>
                </w14:textFill>
              </w:rPr>
              <w:t>16</w:t>
            </w:r>
            <w:r>
              <w:rPr>
                <w:rFonts w:hint="default"/>
                <w:color w:val="000000" w:themeColor="text1"/>
                <w:highlight w:val="none"/>
                <w:u w:val="wave"/>
                <w14:textFill>
                  <w14:solidFill>
                    <w14:schemeClr w14:val="tx1"/>
                  </w14:solidFill>
                </w14:textFill>
              </w:rPr>
              <w:t>目</w:t>
            </w:r>
            <w:r>
              <w:rPr>
                <w:rFonts w:hint="eastAsia"/>
                <w:color w:val="000000" w:themeColor="text1"/>
                <w:highlight w:val="none"/>
                <w:u w:val="wave"/>
                <w:lang w:val="en-US" w:eastAsia="zh-CN"/>
                <w14:textFill>
                  <w14:solidFill>
                    <w14:schemeClr w14:val="tx1"/>
                  </w14:solidFill>
                </w14:textFill>
              </w:rPr>
              <w:t>35</w:t>
            </w:r>
            <w:r>
              <w:rPr>
                <w:rFonts w:hint="default"/>
                <w:color w:val="000000" w:themeColor="text1"/>
                <w:highlight w:val="none"/>
                <w:u w:val="wave"/>
                <w14:textFill>
                  <w14:solidFill>
                    <w14:schemeClr w14:val="tx1"/>
                  </w14:solidFill>
                </w14:textFill>
              </w:rPr>
              <w:t>科</w:t>
            </w:r>
            <w:r>
              <w:rPr>
                <w:rFonts w:hint="eastAsia"/>
                <w:color w:val="000000" w:themeColor="text1"/>
                <w:highlight w:val="none"/>
                <w:u w:val="wave"/>
                <w:lang w:val="en-US" w:eastAsia="zh-CN"/>
                <w14:textFill>
                  <w14:solidFill>
                    <w14:schemeClr w14:val="tx1"/>
                  </w14:solidFill>
                </w14:textFill>
              </w:rPr>
              <w:t>63</w:t>
            </w:r>
            <w:r>
              <w:rPr>
                <w:rFonts w:hint="default"/>
                <w:color w:val="000000" w:themeColor="text1"/>
                <w:highlight w:val="none"/>
                <w:u w:val="wave"/>
                <w14:textFill>
                  <w14:solidFill>
                    <w14:schemeClr w14:val="tx1"/>
                  </w14:solidFill>
                </w14:textFill>
              </w:rPr>
              <w:t>种（两栖类1目6科</w:t>
            </w:r>
            <w:r>
              <w:rPr>
                <w:rFonts w:hint="eastAsia"/>
                <w:color w:val="000000" w:themeColor="text1"/>
                <w:highlight w:val="none"/>
                <w:u w:val="wave"/>
                <w:lang w:val="en-US" w:eastAsia="zh-CN"/>
                <w14:textFill>
                  <w14:solidFill>
                    <w14:schemeClr w14:val="tx1"/>
                  </w14:solidFill>
                </w14:textFill>
              </w:rPr>
              <w:t>8</w:t>
            </w:r>
            <w:r>
              <w:rPr>
                <w:rFonts w:hint="default"/>
                <w:color w:val="000000" w:themeColor="text1"/>
                <w:highlight w:val="none"/>
                <w:u w:val="wave"/>
                <w14:textFill>
                  <w14:solidFill>
                    <w14:schemeClr w14:val="tx1"/>
                  </w14:solidFill>
                </w14:textFill>
              </w:rPr>
              <w:t>种、爬行类2目</w:t>
            </w:r>
            <w:r>
              <w:rPr>
                <w:rFonts w:hint="eastAsia"/>
                <w:color w:val="000000" w:themeColor="text1"/>
                <w:highlight w:val="none"/>
                <w:u w:val="wave"/>
                <w:lang w:val="en-US" w:eastAsia="zh-CN"/>
                <w14:textFill>
                  <w14:solidFill>
                    <w14:schemeClr w14:val="tx1"/>
                  </w14:solidFill>
                </w14:textFill>
              </w:rPr>
              <w:t>6</w:t>
            </w:r>
            <w:r>
              <w:rPr>
                <w:rFonts w:hint="default"/>
                <w:color w:val="000000" w:themeColor="text1"/>
                <w:highlight w:val="none"/>
                <w:u w:val="wave"/>
                <w14:textFill>
                  <w14:solidFill>
                    <w14:schemeClr w14:val="tx1"/>
                  </w14:solidFill>
                </w14:textFill>
              </w:rPr>
              <w:t>科1</w:t>
            </w:r>
            <w:r>
              <w:rPr>
                <w:rFonts w:hint="eastAsia"/>
                <w:color w:val="000000" w:themeColor="text1"/>
                <w:highlight w:val="none"/>
                <w:u w:val="wave"/>
                <w:lang w:val="en-US" w:eastAsia="zh-CN"/>
                <w14:textFill>
                  <w14:solidFill>
                    <w14:schemeClr w14:val="tx1"/>
                  </w14:solidFill>
                </w14:textFill>
              </w:rPr>
              <w:t>0</w:t>
            </w:r>
            <w:r>
              <w:rPr>
                <w:rFonts w:hint="default"/>
                <w:color w:val="000000" w:themeColor="text1"/>
                <w:highlight w:val="none"/>
                <w:u w:val="wave"/>
                <w14:textFill>
                  <w14:solidFill>
                    <w14:schemeClr w14:val="tx1"/>
                  </w14:solidFill>
                </w14:textFill>
              </w:rPr>
              <w:t>种、鸟类</w:t>
            </w:r>
            <w:r>
              <w:rPr>
                <w:rFonts w:hint="eastAsia"/>
                <w:color w:val="000000" w:themeColor="text1"/>
                <w:highlight w:val="none"/>
                <w:u w:val="wave"/>
                <w:lang w:val="en-US" w:eastAsia="zh-CN"/>
                <w14:textFill>
                  <w14:solidFill>
                    <w14:schemeClr w14:val="tx1"/>
                  </w14:solidFill>
                </w14:textFill>
              </w:rPr>
              <w:t>8</w:t>
            </w:r>
            <w:r>
              <w:rPr>
                <w:rFonts w:hint="default"/>
                <w:color w:val="000000" w:themeColor="text1"/>
                <w:highlight w:val="none"/>
                <w:u w:val="wave"/>
                <w14:textFill>
                  <w14:solidFill>
                    <w14:schemeClr w14:val="tx1"/>
                  </w14:solidFill>
                </w14:textFill>
              </w:rPr>
              <w:t>目</w:t>
            </w:r>
            <w:r>
              <w:rPr>
                <w:rFonts w:hint="eastAsia"/>
                <w:color w:val="000000" w:themeColor="text1"/>
                <w:highlight w:val="none"/>
                <w:u w:val="wave"/>
                <w:lang w:val="en-US" w:eastAsia="zh-CN"/>
                <w14:textFill>
                  <w14:solidFill>
                    <w14:schemeClr w14:val="tx1"/>
                  </w14:solidFill>
                </w14:textFill>
              </w:rPr>
              <w:t>15</w:t>
            </w:r>
            <w:r>
              <w:rPr>
                <w:rFonts w:hint="default"/>
                <w:color w:val="000000" w:themeColor="text1"/>
                <w:highlight w:val="none"/>
                <w:u w:val="wave"/>
                <w14:textFill>
                  <w14:solidFill>
                    <w14:schemeClr w14:val="tx1"/>
                  </w14:solidFill>
                </w14:textFill>
              </w:rPr>
              <w:t>科</w:t>
            </w:r>
            <w:r>
              <w:rPr>
                <w:rFonts w:hint="eastAsia"/>
                <w:color w:val="000000" w:themeColor="text1"/>
                <w:highlight w:val="none"/>
                <w:u w:val="wave"/>
                <w:lang w:val="en-US" w:eastAsia="zh-CN"/>
                <w14:textFill>
                  <w14:solidFill>
                    <w14:schemeClr w14:val="tx1"/>
                  </w14:solidFill>
                </w14:textFill>
              </w:rPr>
              <w:t>30</w:t>
            </w:r>
            <w:r>
              <w:rPr>
                <w:rFonts w:hint="default"/>
                <w:color w:val="000000" w:themeColor="text1"/>
                <w:highlight w:val="none"/>
                <w:u w:val="wave"/>
                <w14:textFill>
                  <w14:solidFill>
                    <w14:schemeClr w14:val="tx1"/>
                  </w14:solidFill>
                </w14:textFill>
              </w:rPr>
              <w:t>种、兽类6目8科15种</w:t>
            </w:r>
            <w:r>
              <w:rPr>
                <w:rFonts w:hint="eastAsia"/>
                <w:color w:val="000000" w:themeColor="text1"/>
                <w:highlight w:val="none"/>
                <w:u w:val="wave"/>
                <w14:textFill>
                  <w14:solidFill>
                    <w14:schemeClr w14:val="tx1"/>
                  </w14:solidFill>
                </w14:textFill>
              </w:rPr>
              <w:t>），其中国家重点保护动物共有</w:t>
            </w:r>
            <w:r>
              <w:rPr>
                <w:rFonts w:hint="eastAsia"/>
                <w:color w:val="000000" w:themeColor="text1"/>
                <w:highlight w:val="none"/>
                <w:u w:val="wave"/>
                <w:lang w:val="en-US" w:eastAsia="zh-CN"/>
                <w14:textFill>
                  <w14:solidFill>
                    <w14:schemeClr w14:val="tx1"/>
                  </w14:solidFill>
                </w14:textFill>
              </w:rPr>
              <w:t>2</w:t>
            </w:r>
            <w:r>
              <w:rPr>
                <w:rFonts w:hint="eastAsia"/>
                <w:color w:val="000000" w:themeColor="text1"/>
                <w:highlight w:val="none"/>
                <w:u w:val="wave"/>
                <w14:textFill>
                  <w14:solidFill>
                    <w14:schemeClr w14:val="tx1"/>
                  </w14:solidFill>
                </w14:textFill>
              </w:rPr>
              <w:t>种，均为国家Ⅱ级保护种，包括苍鹰（Accipiter gentilis）、雀鹰（Accipiter nisus）。</w:t>
            </w:r>
          </w:p>
          <w:p w14:paraId="654A0DD4">
            <w:pPr>
              <w:spacing w:line="360" w:lineRule="auto"/>
              <w:ind w:firstLine="420"/>
              <w:rPr>
                <w:rFonts w:hint="eastAsia"/>
                <w:color w:val="000000" w:themeColor="text1"/>
                <w:highlight w:val="none"/>
                <w:u w:val="none"/>
                <w14:textFill>
                  <w14:solidFill>
                    <w14:schemeClr w14:val="tx1"/>
                  </w14:solidFill>
                </w14:textFill>
              </w:rPr>
            </w:pPr>
            <w:r>
              <w:rPr>
                <w:rFonts w:hint="eastAsia"/>
                <w:color w:val="000000" w:themeColor="text1"/>
                <w:highlight w:val="none"/>
                <w:u w:val="none"/>
                <w14:textFill>
                  <w14:solidFill>
                    <w14:schemeClr w14:val="tx1"/>
                  </w14:solidFill>
                </w14:textFill>
              </w:rPr>
              <w:t>1、爬行类</w:t>
            </w:r>
          </w:p>
          <w:p w14:paraId="36D88CE0">
            <w:pPr>
              <w:pStyle w:val="4"/>
              <w:ind w:firstLine="480" w:firstLineChars="200"/>
              <w:rPr>
                <w:rFonts w:hint="eastAsia"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①种类组成</w:t>
            </w:r>
          </w:p>
          <w:p w14:paraId="3623EF6A">
            <w:pPr>
              <w:pStyle w:val="4"/>
              <w:ind w:firstLine="480" w:firstLineChars="200"/>
              <w:rPr>
                <w:rFonts w:hint="eastAsia"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评价区内爬行动物共有</w:t>
            </w:r>
            <w:r>
              <w:rPr>
                <w:rFonts w:hint="eastAsia" w:cs="Times New Roman"/>
                <w:b w:val="0"/>
                <w:bCs w:val="0"/>
                <w:color w:val="000000" w:themeColor="text1"/>
                <w:kern w:val="2"/>
                <w:sz w:val="24"/>
                <w:szCs w:val="24"/>
                <w:highlight w:val="none"/>
                <w:u w:val="none"/>
                <w:lang w:val="en-US" w:eastAsia="zh-CN" w:bidi="ar-SA"/>
                <w14:textFill>
                  <w14:solidFill>
                    <w14:schemeClr w14:val="tx1"/>
                  </w14:solidFill>
                </w14:textFill>
              </w:rPr>
              <w:t>2</w:t>
            </w:r>
            <w:r>
              <w:rPr>
                <w:rFonts w:hint="eastAsia"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目6科1</w:t>
            </w:r>
            <w:r>
              <w:rPr>
                <w:rFonts w:hint="eastAsia" w:cs="Times New Roman"/>
                <w:b w:val="0"/>
                <w:bCs w:val="0"/>
                <w:color w:val="000000" w:themeColor="text1"/>
                <w:kern w:val="2"/>
                <w:sz w:val="24"/>
                <w:szCs w:val="24"/>
                <w:highlight w:val="none"/>
                <w:u w:val="none"/>
                <w:lang w:val="en-US" w:eastAsia="zh-CN" w:bidi="ar-SA"/>
                <w14:textFill>
                  <w14:solidFill>
                    <w14:schemeClr w14:val="tx1"/>
                  </w14:solidFill>
                </w14:textFill>
              </w:rPr>
              <w:t>0</w:t>
            </w:r>
            <w:r>
              <w:rPr>
                <w:rFonts w:hint="eastAsia"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种。</w:t>
            </w:r>
          </w:p>
          <w:p w14:paraId="1FD21D70">
            <w:pPr>
              <w:pStyle w:val="4"/>
              <w:ind w:firstLine="480" w:firstLineChars="200"/>
              <w:rPr>
                <w:rFonts w:hint="eastAsia"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②区系类型</w:t>
            </w:r>
          </w:p>
          <w:p w14:paraId="23A1BDD2">
            <w:pPr>
              <w:pStyle w:val="4"/>
              <w:ind w:firstLine="480" w:firstLineChars="200"/>
              <w:rPr>
                <w:rFonts w:hint="eastAsia"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按区系类型划分，将评价区1</w:t>
            </w:r>
            <w:r>
              <w:rPr>
                <w:rFonts w:hint="eastAsia" w:cs="Times New Roman"/>
                <w:b w:val="0"/>
                <w:bCs w:val="0"/>
                <w:color w:val="000000" w:themeColor="text1"/>
                <w:kern w:val="2"/>
                <w:sz w:val="24"/>
                <w:szCs w:val="24"/>
                <w:highlight w:val="none"/>
                <w:u w:val="none"/>
                <w:lang w:val="en-US" w:eastAsia="zh-CN" w:bidi="ar-SA"/>
                <w14:textFill>
                  <w14:solidFill>
                    <w14:schemeClr w14:val="tx1"/>
                  </w14:solidFill>
                </w14:textFill>
              </w:rPr>
              <w:t>0</w:t>
            </w:r>
            <w:r>
              <w:rPr>
                <w:rFonts w:hint="eastAsia"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种爬行类分为2种区系类型：东洋种</w:t>
            </w:r>
            <w:r>
              <w:rPr>
                <w:rFonts w:hint="eastAsia" w:cs="Times New Roman"/>
                <w:b w:val="0"/>
                <w:bCs w:val="0"/>
                <w:color w:val="000000" w:themeColor="text1"/>
                <w:kern w:val="2"/>
                <w:sz w:val="24"/>
                <w:szCs w:val="24"/>
                <w:highlight w:val="none"/>
                <w:u w:val="none"/>
                <w:lang w:val="en-US" w:eastAsia="zh-CN" w:bidi="ar-SA"/>
                <w14:textFill>
                  <w14:solidFill>
                    <w14:schemeClr w14:val="tx1"/>
                  </w14:solidFill>
                </w14:textFill>
              </w:rPr>
              <w:t>4</w:t>
            </w:r>
            <w:r>
              <w:rPr>
                <w:rFonts w:hint="eastAsia"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种，占</w:t>
            </w:r>
            <w:r>
              <w:rPr>
                <w:rFonts w:hint="eastAsia" w:cs="Times New Roman"/>
                <w:b w:val="0"/>
                <w:bCs w:val="0"/>
                <w:color w:val="000000" w:themeColor="text1"/>
                <w:kern w:val="2"/>
                <w:sz w:val="24"/>
                <w:szCs w:val="24"/>
                <w:highlight w:val="none"/>
                <w:u w:val="none"/>
                <w:lang w:val="en-US" w:eastAsia="zh-CN" w:bidi="ar-SA"/>
                <w14:textFill>
                  <w14:solidFill>
                    <w14:schemeClr w14:val="tx1"/>
                  </w14:solidFill>
                </w14:textFill>
              </w:rPr>
              <w:t>40</w:t>
            </w:r>
            <w:r>
              <w:rPr>
                <w:rFonts w:hint="eastAsia"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%；广布种4种，占</w:t>
            </w:r>
            <w:r>
              <w:rPr>
                <w:rFonts w:hint="eastAsia" w:cs="Times New Roman"/>
                <w:b w:val="0"/>
                <w:bCs w:val="0"/>
                <w:color w:val="000000" w:themeColor="text1"/>
                <w:kern w:val="2"/>
                <w:sz w:val="24"/>
                <w:szCs w:val="24"/>
                <w:highlight w:val="none"/>
                <w:u w:val="none"/>
                <w:lang w:val="en-US" w:eastAsia="zh-CN" w:bidi="ar-SA"/>
                <w14:textFill>
                  <w14:solidFill>
                    <w14:schemeClr w14:val="tx1"/>
                  </w14:solidFill>
                </w14:textFill>
              </w:rPr>
              <w:t>40</w:t>
            </w:r>
            <w:r>
              <w:rPr>
                <w:rFonts w:hint="eastAsia"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%；古北种2种，占</w:t>
            </w:r>
            <w:r>
              <w:rPr>
                <w:rFonts w:hint="eastAsia" w:cs="Times New Roman"/>
                <w:b w:val="0"/>
                <w:bCs w:val="0"/>
                <w:color w:val="000000" w:themeColor="text1"/>
                <w:kern w:val="2"/>
                <w:sz w:val="24"/>
                <w:szCs w:val="24"/>
                <w:highlight w:val="none"/>
                <w:u w:val="none"/>
                <w:lang w:val="en-US" w:eastAsia="zh-CN" w:bidi="ar-SA"/>
                <w14:textFill>
                  <w14:solidFill>
                    <w14:schemeClr w14:val="tx1"/>
                  </w14:solidFill>
                </w14:textFill>
              </w:rPr>
              <w:t>20</w:t>
            </w:r>
            <w:r>
              <w:rPr>
                <w:rFonts w:hint="eastAsia"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w:t>
            </w:r>
          </w:p>
          <w:p w14:paraId="6B3892C9">
            <w:pPr>
              <w:pStyle w:val="4"/>
              <w:ind w:firstLine="480" w:firstLineChars="200"/>
              <w:rPr>
                <w:rFonts w:hint="eastAsia"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③生态类型及分布</w:t>
            </w:r>
          </w:p>
          <w:p w14:paraId="4D0FAF76">
            <w:pPr>
              <w:pStyle w:val="4"/>
              <w:ind w:firstLine="480" w:firstLineChars="200"/>
              <w:rPr>
                <w:rFonts w:hint="eastAsia"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根据生活习性的不同，评价区内的</w:t>
            </w:r>
            <w:r>
              <w:rPr>
                <w:rFonts w:hint="eastAsia" w:cs="Times New Roman"/>
                <w:b w:val="0"/>
                <w:bCs w:val="0"/>
                <w:color w:val="000000" w:themeColor="text1"/>
                <w:kern w:val="2"/>
                <w:sz w:val="24"/>
                <w:szCs w:val="24"/>
                <w:highlight w:val="none"/>
                <w:u w:val="none"/>
                <w:lang w:val="en-US" w:eastAsia="zh-CN" w:bidi="ar-SA"/>
                <w14:textFill>
                  <w14:solidFill>
                    <w14:schemeClr w14:val="tx1"/>
                  </w14:solidFill>
                </w14:textFill>
              </w:rPr>
              <w:t>10</w:t>
            </w:r>
            <w:r>
              <w:rPr>
                <w:rFonts w:hint="eastAsia"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种爬行动物分为以下</w:t>
            </w:r>
            <w:r>
              <w:rPr>
                <w:rFonts w:hint="eastAsia" w:cs="Times New Roman"/>
                <w:b w:val="0"/>
                <w:bCs w:val="0"/>
                <w:color w:val="000000" w:themeColor="text1"/>
                <w:kern w:val="2"/>
                <w:sz w:val="24"/>
                <w:szCs w:val="24"/>
                <w:highlight w:val="none"/>
                <w:u w:val="none"/>
                <w:lang w:val="en-US" w:eastAsia="zh-CN" w:bidi="ar-SA"/>
                <w14:textFill>
                  <w14:solidFill>
                    <w14:schemeClr w14:val="tx1"/>
                  </w14:solidFill>
                </w14:textFill>
              </w:rPr>
              <w:t>2</w:t>
            </w:r>
            <w:r>
              <w:rPr>
                <w:rFonts w:hint="eastAsia"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种生态类型：</w:t>
            </w:r>
          </w:p>
          <w:p w14:paraId="4C93FECF">
            <w:pPr>
              <w:pStyle w:val="4"/>
              <w:ind w:firstLine="480" w:firstLineChars="200"/>
              <w:rPr>
                <w:rFonts w:hint="eastAsia"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a灌丛石隙型（经常活动在灌丛下面，路边石缝中的爬行类）：包括多疣壁虎（Gekko japonicus）、铜蜓蜥（Sphenomorphus indicus）、南草蜥（Takydromus sexlineatus）和北草蜥（Takydromus septentrionalis），共</w:t>
            </w:r>
            <w:r>
              <w:rPr>
                <w:rFonts w:hint="eastAsia" w:cs="Times New Roman"/>
                <w:b w:val="0"/>
                <w:bCs w:val="0"/>
                <w:color w:val="000000" w:themeColor="text1"/>
                <w:kern w:val="2"/>
                <w:sz w:val="24"/>
                <w:szCs w:val="24"/>
                <w:highlight w:val="none"/>
                <w:u w:val="none"/>
                <w:lang w:val="en-US" w:eastAsia="zh-CN" w:bidi="ar-SA"/>
                <w14:textFill>
                  <w14:solidFill>
                    <w14:schemeClr w14:val="tx1"/>
                  </w14:solidFill>
                </w14:textFill>
              </w:rPr>
              <w:t>4</w:t>
            </w:r>
            <w:r>
              <w:rPr>
                <w:rFonts w:hint="eastAsia"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种。主要在影响评价区内的林地、灌丛中生活，数量较多。</w:t>
            </w:r>
          </w:p>
          <w:p w14:paraId="268338F6">
            <w:pPr>
              <w:pStyle w:val="4"/>
              <w:ind w:firstLine="480" w:firstLineChars="200"/>
              <w:rPr>
                <w:rFonts w:hint="default"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b林栖傍水型：包括王锦蛇（Elaphe carinata）、赤链蛇、双全白环蛇（Lycodon fasciatus）、翠青蛇、黑眉锦蛇、乌梢蛇（Ptyas dhumnades）、和短尾蝮（Gloydius brevicaudus），共</w:t>
            </w:r>
            <w:r>
              <w:rPr>
                <w:rFonts w:hint="eastAsia" w:cs="Times New Roman"/>
                <w:b w:val="0"/>
                <w:bCs w:val="0"/>
                <w:color w:val="000000" w:themeColor="text1"/>
                <w:kern w:val="2"/>
                <w:sz w:val="24"/>
                <w:szCs w:val="24"/>
                <w:highlight w:val="none"/>
                <w:u w:val="none"/>
                <w:lang w:val="en-US" w:eastAsia="zh-CN" w:bidi="ar-SA"/>
                <w14:textFill>
                  <w14:solidFill>
                    <w14:schemeClr w14:val="tx1"/>
                  </w14:solidFill>
                </w14:textFill>
              </w:rPr>
              <w:t>6</w:t>
            </w:r>
            <w:r>
              <w:rPr>
                <w:rFonts w:hint="eastAsia"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种，数量较多。</w:t>
            </w:r>
            <w:r>
              <w:rPr>
                <w:rFonts w:hint="eastAsia" w:cs="Times New Roman"/>
                <w:b w:val="0"/>
                <w:bCs w:val="0"/>
                <w:color w:val="000000" w:themeColor="text1"/>
                <w:kern w:val="2"/>
                <w:sz w:val="24"/>
                <w:szCs w:val="24"/>
                <w:highlight w:val="none"/>
                <w:u w:val="none"/>
                <w:lang w:val="en-US" w:eastAsia="zh-CN" w:bidi="ar-SA"/>
                <w14:textFill>
                  <w14:solidFill>
                    <w14:schemeClr w14:val="tx1"/>
                  </w14:solidFill>
                </w14:textFill>
              </w:rPr>
              <w:t xml:space="preserve">            </w:t>
            </w:r>
          </w:p>
          <w:p w14:paraId="156A7136">
            <w:pPr>
              <w:pStyle w:val="4"/>
              <w:ind w:firstLine="480" w:firstLineChars="200"/>
              <w:rPr>
                <w:rFonts w:hint="eastAsia"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④国家重点保护种</w:t>
            </w:r>
          </w:p>
          <w:p w14:paraId="26F126F7">
            <w:pPr>
              <w:pStyle w:val="4"/>
              <w:ind w:firstLine="480" w:firstLineChars="200"/>
              <w:rPr>
                <w:rFonts w:hint="eastAsia"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爬行动物中无国家重点保护种。</w:t>
            </w:r>
          </w:p>
          <w:p w14:paraId="552DCEE5">
            <w:pPr>
              <w:pStyle w:val="4"/>
              <w:numPr>
                <w:ilvl w:val="0"/>
                <w:numId w:val="3"/>
              </w:numPr>
              <w:ind w:firstLine="480" w:firstLineChars="200"/>
              <w:rPr>
                <w:rFonts w:hint="eastAsia" w:cs="Times New Roman"/>
                <w:b w:val="0"/>
                <w:bCs w:val="0"/>
                <w:color w:val="000000" w:themeColor="text1"/>
                <w:kern w:val="2"/>
                <w:sz w:val="24"/>
                <w:szCs w:val="24"/>
                <w:highlight w:val="none"/>
                <w:u w:val="none"/>
                <w:lang w:val="en-US" w:eastAsia="zh-CN" w:bidi="ar-SA"/>
                <w14:textFill>
                  <w14:solidFill>
                    <w14:schemeClr w14:val="tx1"/>
                  </w14:solidFill>
                </w14:textFill>
              </w:rPr>
            </w:pPr>
            <w:r>
              <w:rPr>
                <w:rFonts w:hint="eastAsia" w:cs="Times New Roman"/>
                <w:b w:val="0"/>
                <w:bCs w:val="0"/>
                <w:color w:val="000000" w:themeColor="text1"/>
                <w:kern w:val="2"/>
                <w:sz w:val="24"/>
                <w:szCs w:val="24"/>
                <w:highlight w:val="none"/>
                <w:u w:val="none"/>
                <w:lang w:val="en-US" w:eastAsia="zh-CN" w:bidi="ar-SA"/>
                <w14:textFill>
                  <w14:solidFill>
                    <w14:schemeClr w14:val="tx1"/>
                  </w14:solidFill>
                </w14:textFill>
              </w:rPr>
              <w:t>兽类</w:t>
            </w:r>
          </w:p>
          <w:p w14:paraId="6A7D1053">
            <w:pPr>
              <w:pStyle w:val="4"/>
              <w:numPr>
                <w:ilvl w:val="0"/>
                <w:numId w:val="0"/>
              </w:numPr>
              <w:ind w:firstLine="480" w:firstLineChars="200"/>
              <w:rPr>
                <w:rFonts w:hint="eastAsia" w:cs="Times New Roman"/>
                <w:b w:val="0"/>
                <w:bCs w:val="0"/>
                <w:color w:val="000000" w:themeColor="text1"/>
                <w:kern w:val="2"/>
                <w:sz w:val="24"/>
                <w:szCs w:val="24"/>
                <w:highlight w:val="none"/>
                <w:u w:val="none"/>
                <w:lang w:val="en-US" w:eastAsia="zh-CN" w:bidi="ar-SA"/>
                <w14:textFill>
                  <w14:solidFill>
                    <w14:schemeClr w14:val="tx1"/>
                  </w14:solidFill>
                </w14:textFill>
              </w:rPr>
            </w:pPr>
            <w:r>
              <w:rPr>
                <w:rFonts w:hint="eastAsia" w:cs="Times New Roman"/>
                <w:b w:val="0"/>
                <w:bCs w:val="0"/>
                <w:color w:val="000000" w:themeColor="text1"/>
                <w:kern w:val="2"/>
                <w:sz w:val="24"/>
                <w:szCs w:val="24"/>
                <w:highlight w:val="none"/>
                <w:u w:val="none"/>
                <w:lang w:val="en-US" w:eastAsia="zh-CN" w:bidi="ar-SA"/>
                <w14:textFill>
                  <w14:solidFill>
                    <w14:schemeClr w14:val="tx1"/>
                  </w14:solidFill>
                </w14:textFill>
              </w:rPr>
              <w:t>①种类组成</w:t>
            </w:r>
          </w:p>
          <w:p w14:paraId="480C4CE4">
            <w:pPr>
              <w:pStyle w:val="4"/>
              <w:numPr>
                <w:ilvl w:val="0"/>
                <w:numId w:val="0"/>
              </w:numPr>
              <w:ind w:firstLine="480" w:firstLineChars="200"/>
              <w:rPr>
                <w:rFonts w:hint="eastAsia" w:cs="Times New Roman"/>
                <w:b w:val="0"/>
                <w:bCs w:val="0"/>
                <w:color w:val="000000" w:themeColor="text1"/>
                <w:kern w:val="2"/>
                <w:sz w:val="24"/>
                <w:szCs w:val="24"/>
                <w:highlight w:val="none"/>
                <w:u w:val="none"/>
                <w:lang w:val="en-US" w:eastAsia="zh-CN" w:bidi="ar-SA"/>
                <w14:textFill>
                  <w14:solidFill>
                    <w14:schemeClr w14:val="tx1"/>
                  </w14:solidFill>
                </w14:textFill>
              </w:rPr>
            </w:pPr>
            <w:r>
              <w:rPr>
                <w:rFonts w:hint="eastAsia" w:cs="Times New Roman"/>
                <w:b w:val="0"/>
                <w:bCs w:val="0"/>
                <w:color w:val="000000" w:themeColor="text1"/>
                <w:kern w:val="2"/>
                <w:sz w:val="24"/>
                <w:szCs w:val="24"/>
                <w:highlight w:val="none"/>
                <w:u w:val="none"/>
                <w:lang w:val="en-US" w:eastAsia="zh-CN" w:bidi="ar-SA"/>
                <w14:textFill>
                  <w14:solidFill>
                    <w14:schemeClr w14:val="tx1"/>
                  </w14:solidFill>
                </w14:textFill>
              </w:rPr>
              <w:t>评价区内兽类共有兽类6目8科15种，其中鼠科有4种，数量最多，占影响评价区总种数的26%；鼬科、松鼠科和蝙蝠科各有2种，占影响评价区总种数的40%；猬科、鼹科、猫科、豪猪科和兔科均仅有1种，占影响评价区总种数的33%。</w:t>
            </w:r>
          </w:p>
          <w:p w14:paraId="4F428F3A">
            <w:pPr>
              <w:pStyle w:val="4"/>
              <w:numPr>
                <w:ilvl w:val="0"/>
                <w:numId w:val="0"/>
              </w:numPr>
              <w:ind w:firstLine="480" w:firstLineChars="200"/>
              <w:rPr>
                <w:rFonts w:hint="eastAsia" w:cs="Times New Roman"/>
                <w:b w:val="0"/>
                <w:bCs w:val="0"/>
                <w:color w:val="000000" w:themeColor="text1"/>
                <w:kern w:val="2"/>
                <w:sz w:val="24"/>
                <w:szCs w:val="24"/>
                <w:highlight w:val="none"/>
                <w:u w:val="none"/>
                <w:lang w:val="en-US" w:eastAsia="zh-CN" w:bidi="ar-SA"/>
                <w14:textFill>
                  <w14:solidFill>
                    <w14:schemeClr w14:val="tx1"/>
                  </w14:solidFill>
                </w14:textFill>
              </w:rPr>
            </w:pPr>
            <w:r>
              <w:rPr>
                <w:rFonts w:hint="eastAsia" w:cs="Times New Roman"/>
                <w:b w:val="0"/>
                <w:bCs w:val="0"/>
                <w:color w:val="000000" w:themeColor="text1"/>
                <w:kern w:val="2"/>
                <w:sz w:val="24"/>
                <w:szCs w:val="24"/>
                <w:highlight w:val="none"/>
                <w:u w:val="none"/>
                <w:lang w:val="en-US" w:eastAsia="zh-CN" w:bidi="ar-SA"/>
                <w14:textFill>
                  <w14:solidFill>
                    <w14:schemeClr w14:val="tx1"/>
                  </w14:solidFill>
                </w14:textFill>
              </w:rPr>
              <w:t>②区系类型</w:t>
            </w:r>
          </w:p>
          <w:p w14:paraId="13D18CA8">
            <w:pPr>
              <w:pStyle w:val="4"/>
              <w:numPr>
                <w:ilvl w:val="0"/>
                <w:numId w:val="0"/>
              </w:numPr>
              <w:ind w:firstLine="480" w:firstLineChars="200"/>
              <w:rPr>
                <w:rFonts w:hint="eastAsia" w:cs="Times New Roman"/>
                <w:b w:val="0"/>
                <w:bCs w:val="0"/>
                <w:color w:val="000000" w:themeColor="text1"/>
                <w:kern w:val="2"/>
                <w:sz w:val="24"/>
                <w:szCs w:val="24"/>
                <w:highlight w:val="none"/>
                <w:u w:val="none"/>
                <w:lang w:val="en-US" w:eastAsia="zh-CN" w:bidi="ar-SA"/>
                <w14:textFill>
                  <w14:solidFill>
                    <w14:schemeClr w14:val="tx1"/>
                  </w14:solidFill>
                </w14:textFill>
              </w:rPr>
            </w:pPr>
            <w:r>
              <w:rPr>
                <w:rFonts w:hint="eastAsia" w:cs="Times New Roman"/>
                <w:b w:val="0"/>
                <w:bCs w:val="0"/>
                <w:color w:val="000000" w:themeColor="text1"/>
                <w:kern w:val="2"/>
                <w:sz w:val="24"/>
                <w:szCs w:val="24"/>
                <w:highlight w:val="none"/>
                <w:u w:val="none"/>
                <w:lang w:val="en-US" w:eastAsia="zh-CN" w:bidi="ar-SA"/>
                <w14:textFill>
                  <w14:solidFill>
                    <w14:schemeClr w14:val="tx1"/>
                  </w14:solidFill>
                </w14:textFill>
              </w:rPr>
              <w:t>按区系类型划分，将评价区15种兽类分为3种区系类型：东洋种8种，占54%；广布种5种，占33%；古北种2种，占13%。</w:t>
            </w:r>
          </w:p>
          <w:p w14:paraId="305ADF58">
            <w:pPr>
              <w:pStyle w:val="4"/>
              <w:numPr>
                <w:ilvl w:val="0"/>
                <w:numId w:val="0"/>
              </w:numPr>
              <w:ind w:firstLine="480" w:firstLineChars="200"/>
              <w:rPr>
                <w:rFonts w:hint="eastAsia" w:cs="Times New Roman"/>
                <w:b w:val="0"/>
                <w:bCs w:val="0"/>
                <w:color w:val="000000" w:themeColor="text1"/>
                <w:kern w:val="2"/>
                <w:sz w:val="24"/>
                <w:szCs w:val="24"/>
                <w:highlight w:val="none"/>
                <w:u w:val="none"/>
                <w:lang w:val="en-US" w:eastAsia="zh-CN" w:bidi="ar-SA"/>
                <w14:textFill>
                  <w14:solidFill>
                    <w14:schemeClr w14:val="tx1"/>
                  </w14:solidFill>
                </w14:textFill>
              </w:rPr>
            </w:pPr>
            <w:r>
              <w:rPr>
                <w:rFonts w:hint="eastAsia" w:cs="Times New Roman"/>
                <w:b w:val="0"/>
                <w:bCs w:val="0"/>
                <w:color w:val="000000" w:themeColor="text1"/>
                <w:kern w:val="2"/>
                <w:sz w:val="24"/>
                <w:szCs w:val="24"/>
                <w:highlight w:val="none"/>
                <w:u w:val="none"/>
                <w:lang w:val="en-US" w:eastAsia="zh-CN" w:bidi="ar-SA"/>
                <w14:textFill>
                  <w14:solidFill>
                    <w14:schemeClr w14:val="tx1"/>
                  </w14:solidFill>
                </w14:textFill>
              </w:rPr>
              <w:t>③生态类型及分布</w:t>
            </w:r>
          </w:p>
          <w:p w14:paraId="2872B274">
            <w:pPr>
              <w:pStyle w:val="4"/>
              <w:numPr>
                <w:ilvl w:val="0"/>
                <w:numId w:val="0"/>
              </w:numPr>
              <w:ind w:firstLine="480" w:firstLineChars="200"/>
              <w:rPr>
                <w:rFonts w:hint="eastAsia" w:cs="Times New Roman"/>
                <w:b w:val="0"/>
                <w:bCs w:val="0"/>
                <w:color w:val="000000" w:themeColor="text1"/>
                <w:kern w:val="2"/>
                <w:sz w:val="24"/>
                <w:szCs w:val="24"/>
                <w:highlight w:val="none"/>
                <w:u w:val="none"/>
                <w:lang w:val="en-US" w:eastAsia="zh-CN" w:bidi="ar-SA"/>
                <w14:textFill>
                  <w14:solidFill>
                    <w14:schemeClr w14:val="tx1"/>
                  </w14:solidFill>
                </w14:textFill>
              </w:rPr>
            </w:pPr>
            <w:r>
              <w:rPr>
                <w:rFonts w:hint="eastAsia" w:cs="Times New Roman"/>
                <w:b w:val="0"/>
                <w:bCs w:val="0"/>
                <w:color w:val="000000" w:themeColor="text1"/>
                <w:kern w:val="2"/>
                <w:sz w:val="24"/>
                <w:szCs w:val="24"/>
                <w:highlight w:val="none"/>
                <w:u w:val="none"/>
                <w:lang w:val="en-US" w:eastAsia="zh-CN" w:bidi="ar-SA"/>
                <w14:textFill>
                  <w14:solidFill>
                    <w14:schemeClr w14:val="tx1"/>
                  </w14:solidFill>
                </w14:textFill>
              </w:rPr>
              <w:t>根据生活习性的不同，评价区内的15种兽类可分为以下3种生态类型：</w:t>
            </w:r>
          </w:p>
          <w:p w14:paraId="3259682D">
            <w:pPr>
              <w:pStyle w:val="4"/>
              <w:numPr>
                <w:ilvl w:val="0"/>
                <w:numId w:val="0"/>
              </w:numPr>
              <w:ind w:firstLine="480" w:firstLineChars="200"/>
              <w:rPr>
                <w:rFonts w:hint="eastAsia" w:cs="Times New Roman"/>
                <w:b w:val="0"/>
                <w:bCs w:val="0"/>
                <w:color w:val="000000" w:themeColor="text1"/>
                <w:kern w:val="2"/>
                <w:sz w:val="24"/>
                <w:szCs w:val="24"/>
                <w:highlight w:val="none"/>
                <w:u w:val="none"/>
                <w:lang w:val="en-US" w:eastAsia="zh-CN" w:bidi="ar-SA"/>
                <w14:textFill>
                  <w14:solidFill>
                    <w14:schemeClr w14:val="tx1"/>
                  </w14:solidFill>
                </w14:textFill>
              </w:rPr>
            </w:pPr>
            <w:r>
              <w:rPr>
                <w:rFonts w:hint="eastAsia" w:cs="Times New Roman"/>
                <w:b w:val="0"/>
                <w:bCs w:val="0"/>
                <w:color w:val="000000" w:themeColor="text1"/>
                <w:kern w:val="2"/>
                <w:sz w:val="24"/>
                <w:szCs w:val="24"/>
                <w:highlight w:val="none"/>
                <w:u w:val="none"/>
                <w:lang w:val="en-US" w:eastAsia="zh-CN" w:bidi="ar-SA"/>
                <w14:textFill>
                  <w14:solidFill>
                    <w14:schemeClr w14:val="tx1"/>
                  </w14:solidFill>
                </w14:textFill>
              </w:rPr>
              <w:t>a岩洞栖息型（在岩洞中倒挂栖息的小型兽类）：2种，即翼手目的南蝠（Ia io）和普通伏翼，这种兽类主要分布在居民点附近，黄昏时出现在居民点附近上空。</w:t>
            </w:r>
          </w:p>
          <w:p w14:paraId="240A63E0">
            <w:pPr>
              <w:pStyle w:val="4"/>
              <w:numPr>
                <w:ilvl w:val="0"/>
                <w:numId w:val="0"/>
              </w:numPr>
              <w:ind w:firstLine="480" w:firstLineChars="200"/>
              <w:rPr>
                <w:rFonts w:hint="eastAsia" w:cs="Times New Roman"/>
                <w:b w:val="0"/>
                <w:bCs w:val="0"/>
                <w:color w:val="000000" w:themeColor="text1"/>
                <w:kern w:val="2"/>
                <w:sz w:val="24"/>
                <w:szCs w:val="24"/>
                <w:highlight w:val="none"/>
                <w:u w:val="none"/>
                <w:lang w:val="en-US" w:eastAsia="zh-CN" w:bidi="ar-SA"/>
                <w14:textFill>
                  <w14:solidFill>
                    <w14:schemeClr w14:val="tx1"/>
                  </w14:solidFill>
                </w14:textFill>
              </w:rPr>
            </w:pPr>
            <w:r>
              <w:rPr>
                <w:rFonts w:hint="eastAsia" w:cs="Times New Roman"/>
                <w:b w:val="0"/>
                <w:bCs w:val="0"/>
                <w:color w:val="000000" w:themeColor="text1"/>
                <w:kern w:val="2"/>
                <w:sz w:val="24"/>
                <w:szCs w:val="24"/>
                <w:highlight w:val="none"/>
                <w:u w:val="none"/>
                <w:lang w:val="en-US" w:eastAsia="zh-CN" w:bidi="ar-SA"/>
                <w14:textFill>
                  <w14:solidFill>
                    <w14:schemeClr w14:val="tx1"/>
                  </w14:solidFill>
                </w14:textFill>
              </w:rPr>
              <w:t>b半地下生活性（穴居型，主要在地面活动觅食、栖息、避敌于洞穴中，有的也在地下寻找食物）：包括食虫目1种、兔形目1种、啮齿目的巢鼠、褐家鼠、中华竹鼠、白腹巨鼠；食肉目的猪獾（Arctonyx collaris）、黄腹鼬（Mustela kathiah）和黄鼬（Mustela sibirica），共9种。</w:t>
            </w:r>
          </w:p>
          <w:p w14:paraId="5976E721">
            <w:pPr>
              <w:pStyle w:val="4"/>
              <w:numPr>
                <w:ilvl w:val="0"/>
                <w:numId w:val="0"/>
              </w:numPr>
              <w:ind w:firstLine="480" w:firstLineChars="200"/>
              <w:rPr>
                <w:rFonts w:hint="eastAsia" w:cs="Times New Roman"/>
                <w:b w:val="0"/>
                <w:bCs w:val="0"/>
                <w:color w:val="000000" w:themeColor="text1"/>
                <w:kern w:val="2"/>
                <w:sz w:val="24"/>
                <w:szCs w:val="24"/>
                <w:highlight w:val="none"/>
                <w:u w:val="none"/>
                <w:lang w:val="en-US" w:eastAsia="zh-CN" w:bidi="ar-SA"/>
                <w14:textFill>
                  <w14:solidFill>
                    <w14:schemeClr w14:val="tx1"/>
                  </w14:solidFill>
                </w14:textFill>
              </w:rPr>
            </w:pPr>
            <w:r>
              <w:rPr>
                <w:rFonts w:hint="eastAsia" w:cs="Times New Roman"/>
                <w:b w:val="0"/>
                <w:bCs w:val="0"/>
                <w:color w:val="000000" w:themeColor="text1"/>
                <w:kern w:val="2"/>
                <w:sz w:val="24"/>
                <w:szCs w:val="24"/>
                <w:highlight w:val="none"/>
                <w:u w:val="none"/>
                <w:lang w:val="en-US" w:eastAsia="zh-CN" w:bidi="ar-SA"/>
                <w14:textFill>
                  <w14:solidFill>
                    <w14:schemeClr w14:val="tx1"/>
                  </w14:solidFill>
                </w14:textFill>
              </w:rPr>
              <w:t>c地面生活型（主要在地面上活动、觅食）：包括啮齿目的中赤腹松鼠（Callosciurus erythraeus）、岩松鼠（Sciurotamias davidianus）食肉目的果子狸（Paguma larvata）、豹猫（Prionailurus bengalensis），共4种。</w:t>
            </w:r>
          </w:p>
          <w:p w14:paraId="3E354B16">
            <w:pPr>
              <w:pStyle w:val="4"/>
              <w:numPr>
                <w:ilvl w:val="0"/>
                <w:numId w:val="0"/>
              </w:numPr>
              <w:ind w:firstLine="480" w:firstLineChars="200"/>
              <w:rPr>
                <w:rFonts w:hint="eastAsia" w:cs="Times New Roman"/>
                <w:b w:val="0"/>
                <w:bCs w:val="0"/>
                <w:color w:val="000000" w:themeColor="text1"/>
                <w:kern w:val="2"/>
                <w:sz w:val="24"/>
                <w:szCs w:val="24"/>
                <w:highlight w:val="none"/>
                <w:u w:val="none"/>
                <w:lang w:val="en-US" w:eastAsia="zh-CN" w:bidi="ar-SA"/>
                <w14:textFill>
                  <w14:solidFill>
                    <w14:schemeClr w14:val="tx1"/>
                  </w14:solidFill>
                </w14:textFill>
              </w:rPr>
            </w:pPr>
            <w:r>
              <w:rPr>
                <w:rFonts w:hint="eastAsia" w:cs="Times New Roman"/>
                <w:b w:val="0"/>
                <w:bCs w:val="0"/>
                <w:color w:val="000000" w:themeColor="text1"/>
                <w:kern w:val="2"/>
                <w:sz w:val="24"/>
                <w:szCs w:val="24"/>
                <w:highlight w:val="none"/>
                <w:u w:val="none"/>
                <w:lang w:val="en-US" w:eastAsia="zh-CN" w:bidi="ar-SA"/>
                <w14:textFill>
                  <w14:solidFill>
                    <w14:schemeClr w14:val="tx1"/>
                  </w14:solidFill>
                </w14:textFill>
              </w:rPr>
              <w:t>④国家重点保护种</w:t>
            </w:r>
          </w:p>
          <w:p w14:paraId="29CDFA3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000000" w:themeColor="text1"/>
                <w:kern w:val="2"/>
                <w:sz w:val="24"/>
                <w:szCs w:val="24"/>
                <w:highlight w:val="none"/>
                <w:u w:val="none"/>
                <w:lang w:val="en-US" w:eastAsia="zh-CN" w:bidi="ar-SA"/>
                <w14:textFill>
                  <w14:solidFill>
                    <w14:schemeClr w14:val="tx1"/>
                  </w14:solidFill>
                </w14:textFill>
              </w:rPr>
            </w:pPr>
            <w:r>
              <w:rPr>
                <w:rFonts w:hint="eastAsia" w:cs="Times New Roman"/>
                <w:b w:val="0"/>
                <w:bCs w:val="0"/>
                <w:color w:val="000000" w:themeColor="text1"/>
                <w:kern w:val="2"/>
                <w:sz w:val="24"/>
                <w:szCs w:val="24"/>
                <w:highlight w:val="none"/>
                <w:u w:val="none"/>
                <w:lang w:val="en-US" w:eastAsia="zh-CN" w:bidi="ar-SA"/>
                <w14:textFill>
                  <w14:solidFill>
                    <w14:schemeClr w14:val="tx1"/>
                  </w14:solidFill>
                </w14:textFill>
              </w:rPr>
              <w:t>兽类中无国家重点保护种。</w:t>
            </w:r>
          </w:p>
          <w:p w14:paraId="1C94F51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highlight w:val="none"/>
                <w:u w:val="none"/>
                <w14:textFill>
                  <w14:solidFill>
                    <w14:schemeClr w14:val="tx1"/>
                  </w14:solidFill>
                </w14:textFill>
              </w:rPr>
            </w:pPr>
            <w:r>
              <w:rPr>
                <w:rFonts w:hint="eastAsia" w:cs="Times New Roman"/>
                <w:color w:val="000000" w:themeColor="text1"/>
                <w:kern w:val="0"/>
                <w:sz w:val="24"/>
                <w:szCs w:val="24"/>
                <w:highlight w:val="none"/>
                <w:u w:val="none"/>
                <w:lang w:val="en-US" w:eastAsia="zh-CN"/>
                <w14:textFill>
                  <w14:solidFill>
                    <w14:schemeClr w14:val="tx1"/>
                  </w14:solidFill>
                </w14:textFill>
              </w:rPr>
              <w:t>3、</w:t>
            </w:r>
            <w:r>
              <w:rPr>
                <w:rFonts w:hint="default" w:ascii="Times New Roman" w:hAnsi="Times New Roman" w:eastAsia="宋体" w:cs="Times New Roman"/>
                <w:color w:val="000000" w:themeColor="text1"/>
                <w:kern w:val="0"/>
                <w:sz w:val="24"/>
                <w:szCs w:val="24"/>
                <w:highlight w:val="none"/>
                <w:u w:val="none"/>
                <w14:textFill>
                  <w14:solidFill>
                    <w14:schemeClr w14:val="tx1"/>
                  </w14:solidFill>
                </w14:textFill>
              </w:rPr>
              <w:t>两栖类</w:t>
            </w:r>
          </w:p>
          <w:p w14:paraId="2834956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①种类组成</w:t>
            </w:r>
          </w:p>
          <w:p w14:paraId="3325DAB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评价区内两栖动物有1目</w:t>
            </w:r>
            <w:r>
              <w:rPr>
                <w:rFonts w:hint="eastAsia" w:cs="Times New Roman"/>
                <w:b w:val="0"/>
                <w:bCs w:val="0"/>
                <w:color w:val="000000" w:themeColor="text1"/>
                <w:kern w:val="2"/>
                <w:sz w:val="24"/>
                <w:szCs w:val="24"/>
                <w:highlight w:val="none"/>
                <w:u w:val="none"/>
                <w:lang w:val="en-US" w:eastAsia="zh-CN" w:bidi="ar-SA"/>
                <w14:textFill>
                  <w14:solidFill>
                    <w14:schemeClr w14:val="tx1"/>
                  </w14:solidFill>
                </w14:textFill>
              </w:rPr>
              <w:t>6</w:t>
            </w:r>
            <w:r>
              <w:rPr>
                <w:rFonts w:hint="default"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科</w:t>
            </w:r>
            <w:r>
              <w:rPr>
                <w:rFonts w:hint="eastAsia" w:cs="Times New Roman"/>
                <w:b w:val="0"/>
                <w:bCs w:val="0"/>
                <w:color w:val="000000" w:themeColor="text1"/>
                <w:kern w:val="2"/>
                <w:sz w:val="24"/>
                <w:szCs w:val="24"/>
                <w:highlight w:val="none"/>
                <w:u w:val="none"/>
                <w:lang w:val="en-US" w:eastAsia="zh-CN" w:bidi="ar-SA"/>
                <w14:textFill>
                  <w14:solidFill>
                    <w14:schemeClr w14:val="tx1"/>
                  </w14:solidFill>
                </w14:textFill>
              </w:rPr>
              <w:t>8</w:t>
            </w:r>
            <w:r>
              <w:rPr>
                <w:rFonts w:hint="default"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种。</w:t>
            </w:r>
          </w:p>
          <w:p w14:paraId="52E4788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②区系类型</w:t>
            </w:r>
          </w:p>
          <w:p w14:paraId="04EC4C5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按区系类型划分，将评价区</w:t>
            </w:r>
            <w:r>
              <w:rPr>
                <w:rFonts w:hint="eastAsia" w:cs="Times New Roman"/>
                <w:b w:val="0"/>
                <w:bCs w:val="0"/>
                <w:color w:val="000000" w:themeColor="text1"/>
                <w:kern w:val="2"/>
                <w:sz w:val="24"/>
                <w:szCs w:val="24"/>
                <w:highlight w:val="none"/>
                <w:u w:val="none"/>
                <w:lang w:val="en-US" w:eastAsia="zh-CN" w:bidi="ar-SA"/>
                <w14:textFill>
                  <w14:solidFill>
                    <w14:schemeClr w14:val="tx1"/>
                  </w14:solidFill>
                </w14:textFill>
              </w:rPr>
              <w:t>8</w:t>
            </w:r>
            <w:r>
              <w:rPr>
                <w:rFonts w:hint="default"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种两栖类分为2种区系类型：东洋种</w:t>
            </w:r>
            <w:r>
              <w:rPr>
                <w:rFonts w:hint="eastAsia" w:cs="Times New Roman"/>
                <w:b w:val="0"/>
                <w:bCs w:val="0"/>
                <w:color w:val="000000" w:themeColor="text1"/>
                <w:kern w:val="2"/>
                <w:sz w:val="24"/>
                <w:szCs w:val="24"/>
                <w:highlight w:val="none"/>
                <w:u w:val="none"/>
                <w:lang w:val="en-US" w:eastAsia="zh-CN" w:bidi="ar-SA"/>
                <w14:textFill>
                  <w14:solidFill>
                    <w14:schemeClr w14:val="tx1"/>
                  </w14:solidFill>
                </w14:textFill>
              </w:rPr>
              <w:t>5</w:t>
            </w:r>
            <w:r>
              <w:rPr>
                <w:rFonts w:hint="default"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种，占6</w:t>
            </w:r>
            <w:r>
              <w:rPr>
                <w:rFonts w:hint="eastAsia" w:cs="Times New Roman"/>
                <w:b w:val="0"/>
                <w:bCs w:val="0"/>
                <w:color w:val="000000" w:themeColor="text1"/>
                <w:kern w:val="2"/>
                <w:sz w:val="24"/>
                <w:szCs w:val="24"/>
                <w:highlight w:val="none"/>
                <w:u w:val="none"/>
                <w:lang w:val="en-US" w:eastAsia="zh-CN" w:bidi="ar-SA"/>
                <w14:textFill>
                  <w14:solidFill>
                    <w14:schemeClr w14:val="tx1"/>
                  </w14:solidFill>
                </w14:textFill>
              </w:rPr>
              <w:t>2.5</w:t>
            </w:r>
            <w:r>
              <w:rPr>
                <w:rFonts w:hint="default"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%；广布种</w:t>
            </w:r>
            <w:r>
              <w:rPr>
                <w:rFonts w:hint="eastAsia" w:cs="Times New Roman"/>
                <w:b w:val="0"/>
                <w:bCs w:val="0"/>
                <w:color w:val="000000" w:themeColor="text1"/>
                <w:kern w:val="2"/>
                <w:sz w:val="24"/>
                <w:szCs w:val="24"/>
                <w:highlight w:val="none"/>
                <w:u w:val="none"/>
                <w:lang w:val="en-US" w:eastAsia="zh-CN" w:bidi="ar-SA"/>
                <w14:textFill>
                  <w14:solidFill>
                    <w14:schemeClr w14:val="tx1"/>
                  </w14:solidFill>
                </w14:textFill>
              </w:rPr>
              <w:t>3</w:t>
            </w:r>
            <w:r>
              <w:rPr>
                <w:rFonts w:hint="default"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种，占3</w:t>
            </w:r>
            <w:r>
              <w:rPr>
                <w:rFonts w:hint="eastAsia" w:cs="Times New Roman"/>
                <w:b w:val="0"/>
                <w:bCs w:val="0"/>
                <w:color w:val="000000" w:themeColor="text1"/>
                <w:kern w:val="2"/>
                <w:sz w:val="24"/>
                <w:szCs w:val="24"/>
                <w:highlight w:val="none"/>
                <w:u w:val="none"/>
                <w:lang w:val="en-US" w:eastAsia="zh-CN" w:bidi="ar-SA"/>
                <w14:textFill>
                  <w14:solidFill>
                    <w14:schemeClr w14:val="tx1"/>
                  </w14:solidFill>
                </w14:textFill>
              </w:rPr>
              <w:t>7.5</w:t>
            </w:r>
            <w:r>
              <w:rPr>
                <w:rFonts w:hint="default"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%；无古北种分布。</w:t>
            </w:r>
          </w:p>
          <w:p w14:paraId="66F54CB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③生态类型及分布</w:t>
            </w:r>
          </w:p>
          <w:p w14:paraId="77B03E0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根据生活习性的不同，评价区内的</w:t>
            </w:r>
            <w:r>
              <w:rPr>
                <w:rFonts w:hint="eastAsia" w:cs="Times New Roman"/>
                <w:b w:val="0"/>
                <w:bCs w:val="0"/>
                <w:color w:val="000000" w:themeColor="text1"/>
                <w:kern w:val="2"/>
                <w:sz w:val="24"/>
                <w:szCs w:val="24"/>
                <w:highlight w:val="none"/>
                <w:u w:val="none"/>
                <w:lang w:val="en-US" w:eastAsia="zh-CN" w:bidi="ar-SA"/>
                <w14:textFill>
                  <w14:solidFill>
                    <w14:schemeClr w14:val="tx1"/>
                  </w14:solidFill>
                </w14:textFill>
              </w:rPr>
              <w:t>8</w:t>
            </w:r>
            <w:r>
              <w:rPr>
                <w:rFonts w:hint="default"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种两栖类可分为以下4种生态类型：</w:t>
            </w:r>
          </w:p>
          <w:p w14:paraId="07BA309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highlight w:val="none"/>
                <w:u w:val="none"/>
                <w14:textFill>
                  <w14:solidFill>
                    <w14:schemeClr w14:val="tx1"/>
                  </w14:solidFill>
                </w14:textFill>
              </w:rPr>
            </w:pPr>
            <w:r>
              <w:rPr>
                <w:rFonts w:hint="eastAsia" w:cs="Times New Roman"/>
                <w:color w:val="000000" w:themeColor="text1"/>
                <w:kern w:val="0"/>
                <w:sz w:val="24"/>
                <w:szCs w:val="24"/>
                <w:highlight w:val="none"/>
                <w:u w:val="none"/>
                <w:lang w:val="en-US" w:eastAsia="zh-CN"/>
                <w14:textFill>
                  <w14:solidFill>
                    <w14:schemeClr w14:val="tx1"/>
                  </w14:solidFill>
                </w14:textFill>
              </w:rPr>
              <w:t>a</w:t>
            </w:r>
            <w:r>
              <w:rPr>
                <w:rFonts w:hint="default" w:ascii="Times New Roman" w:hAnsi="Times New Roman" w:eastAsia="宋体" w:cs="Times New Roman"/>
                <w:color w:val="000000" w:themeColor="text1"/>
                <w:kern w:val="0"/>
                <w:sz w:val="24"/>
                <w:szCs w:val="24"/>
                <w:highlight w:val="none"/>
                <w:u w:val="none"/>
                <w14:textFill>
                  <w14:solidFill>
                    <w14:schemeClr w14:val="tx1"/>
                  </w14:solidFill>
                </w14:textFill>
              </w:rPr>
              <w:t>静水型（在静水或缓流中觅食）：</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沼水蛙(H</w:t>
            </w:r>
            <w:r>
              <w:rPr>
                <w:rFonts w:hint="default" w:ascii="Times New Roman" w:hAnsi="Times New Roman" w:eastAsia="宋体" w:cs="Times New Roman"/>
                <w:b w:val="0"/>
                <w:bCs w:val="0"/>
                <w:i/>
                <w:iCs/>
                <w:color w:val="000000" w:themeColor="text1"/>
                <w:sz w:val="24"/>
                <w:szCs w:val="24"/>
                <w:highlight w:val="none"/>
                <w:u w:val="none"/>
                <w:lang w:val="en-US" w:eastAsia="zh-CN"/>
                <w14:textFill>
                  <w14:solidFill>
                    <w14:schemeClr w14:val="tx1"/>
                  </w14:solidFill>
                </w14:textFill>
              </w:rPr>
              <w:t>ylaranaguentheri</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u w:val="none"/>
                <w14:textFill>
                  <w14:solidFill>
                    <w14:schemeClr w14:val="tx1"/>
                  </w14:solidFill>
                </w14:textFill>
              </w:rPr>
              <w:t>，共</w:t>
            </w:r>
            <w:r>
              <w:rPr>
                <w:rFonts w:hint="eastAsia" w:cs="Times New Roman"/>
                <w:color w:val="000000" w:themeColor="text1"/>
                <w:kern w:val="0"/>
                <w:sz w:val="24"/>
                <w:szCs w:val="24"/>
                <w:highlight w:val="none"/>
                <w:u w:val="none"/>
                <w:lang w:val="en-US" w:eastAsia="zh-CN"/>
                <w14:textFill>
                  <w14:solidFill>
                    <w14:schemeClr w14:val="tx1"/>
                  </w14:solidFill>
                </w14:textFill>
              </w:rPr>
              <w:t>1</w:t>
            </w:r>
            <w:r>
              <w:rPr>
                <w:rFonts w:hint="default" w:ascii="Times New Roman" w:hAnsi="Times New Roman" w:eastAsia="宋体" w:cs="Times New Roman"/>
                <w:color w:val="000000" w:themeColor="text1"/>
                <w:kern w:val="0"/>
                <w:sz w:val="24"/>
                <w:szCs w:val="24"/>
                <w:highlight w:val="none"/>
                <w:u w:val="none"/>
                <w14:textFill>
                  <w14:solidFill>
                    <w14:schemeClr w14:val="tx1"/>
                  </w14:solidFill>
                </w14:textFill>
              </w:rPr>
              <w:t>种，主要在溪水附近生活，与人类活动关系较密切。</w:t>
            </w:r>
          </w:p>
          <w:p w14:paraId="78779F2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highlight w:val="none"/>
                <w:u w:val="none"/>
                <w14:textFill>
                  <w14:solidFill>
                    <w14:schemeClr w14:val="tx1"/>
                  </w14:solidFill>
                </w14:textFill>
              </w:rPr>
            </w:pPr>
            <w:r>
              <w:rPr>
                <w:rFonts w:hint="eastAsia" w:cs="Times New Roman"/>
                <w:color w:val="000000" w:themeColor="text1"/>
                <w:kern w:val="0"/>
                <w:sz w:val="24"/>
                <w:szCs w:val="24"/>
                <w:highlight w:val="none"/>
                <w:u w:val="none"/>
                <w:lang w:val="en-US" w:eastAsia="zh-CN"/>
                <w14:textFill>
                  <w14:solidFill>
                    <w14:schemeClr w14:val="tx1"/>
                  </w14:solidFill>
                </w14:textFill>
              </w:rPr>
              <w:t>b</w:t>
            </w:r>
            <w:r>
              <w:rPr>
                <w:rFonts w:hint="default" w:ascii="Times New Roman" w:hAnsi="Times New Roman" w:eastAsia="宋体" w:cs="Times New Roman"/>
                <w:color w:val="000000" w:themeColor="text1"/>
                <w:kern w:val="0"/>
                <w:sz w:val="24"/>
                <w:szCs w:val="24"/>
                <w:highlight w:val="none"/>
                <w:u w:val="none"/>
                <w14:textFill>
                  <w14:solidFill>
                    <w14:schemeClr w14:val="tx1"/>
                  </w14:solidFill>
                </w14:textFill>
              </w:rPr>
              <w:t>溪流型（在水系发达的流溪种觅食）：包括棘腹蛙（</w:t>
            </w:r>
            <w:r>
              <w:rPr>
                <w:rFonts w:hint="default" w:ascii="Times New Roman" w:hAnsi="Times New Roman" w:eastAsia="宋体" w:cs="Times New Roman"/>
                <w:i/>
                <w:iCs/>
                <w:color w:val="000000" w:themeColor="text1"/>
                <w:kern w:val="0"/>
                <w:sz w:val="24"/>
                <w:szCs w:val="24"/>
                <w:highlight w:val="none"/>
                <w:u w:val="none"/>
                <w14:textFill>
                  <w14:solidFill>
                    <w14:schemeClr w14:val="tx1"/>
                  </w14:solidFill>
                </w14:textFill>
              </w:rPr>
              <w:t>Quasipaa boulengeri</w:t>
            </w:r>
            <w:r>
              <w:rPr>
                <w:rFonts w:hint="default" w:ascii="Times New Roman" w:hAnsi="Times New Roman" w:eastAsia="宋体" w:cs="Times New Roman"/>
                <w:color w:val="000000" w:themeColor="text1"/>
                <w:kern w:val="0"/>
                <w:sz w:val="24"/>
                <w:szCs w:val="24"/>
                <w:highlight w:val="none"/>
                <w:u w:val="none"/>
                <w14:textFill>
                  <w14:solidFill>
                    <w14:schemeClr w14:val="tx1"/>
                  </w14:solidFill>
                </w14:textFill>
              </w:rPr>
              <w:t>）、棘胸蛙（</w:t>
            </w:r>
            <w:r>
              <w:rPr>
                <w:rFonts w:hint="default" w:ascii="Times New Roman" w:hAnsi="Times New Roman" w:eastAsia="宋体" w:cs="Times New Roman"/>
                <w:i/>
                <w:iCs/>
                <w:color w:val="000000" w:themeColor="text1"/>
                <w:kern w:val="0"/>
                <w:sz w:val="24"/>
                <w:szCs w:val="24"/>
                <w:highlight w:val="none"/>
                <w:u w:val="none"/>
                <w14:textFill>
                  <w14:solidFill>
                    <w14:schemeClr w14:val="tx1"/>
                  </w14:solidFill>
                </w14:textFill>
              </w:rPr>
              <w:t>Quasipaaspinosa</w:t>
            </w:r>
            <w:r>
              <w:rPr>
                <w:rFonts w:hint="default" w:ascii="Times New Roman" w:hAnsi="Times New Roman" w:eastAsia="宋体" w:cs="Times New Roman"/>
                <w:color w:val="000000" w:themeColor="text1"/>
                <w:kern w:val="0"/>
                <w:sz w:val="24"/>
                <w:szCs w:val="24"/>
                <w:highlight w:val="none"/>
                <w:u w:val="none"/>
                <w14:textFill>
                  <w14:solidFill>
                    <w14:schemeClr w14:val="tx1"/>
                  </w14:solidFill>
                </w14:textFill>
              </w:rPr>
              <w:t>），有2种，在评价区中数量相对较多，罕见于山涧和溪沟的源流处。</w:t>
            </w:r>
          </w:p>
          <w:p w14:paraId="376BD73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highlight w:val="none"/>
                <w:u w:val="none"/>
                <w14:textFill>
                  <w14:solidFill>
                    <w14:schemeClr w14:val="tx1"/>
                  </w14:solidFill>
                </w14:textFill>
              </w:rPr>
            </w:pPr>
            <w:r>
              <w:rPr>
                <w:rFonts w:hint="eastAsia" w:cs="Times New Roman"/>
                <w:color w:val="000000" w:themeColor="text1"/>
                <w:kern w:val="0"/>
                <w:sz w:val="24"/>
                <w:szCs w:val="24"/>
                <w:highlight w:val="none"/>
                <w:u w:val="none"/>
                <w:lang w:val="en-US" w:eastAsia="zh-CN"/>
                <w14:textFill>
                  <w14:solidFill>
                    <w14:schemeClr w14:val="tx1"/>
                  </w14:solidFill>
                </w14:textFill>
              </w:rPr>
              <w:t>c</w:t>
            </w:r>
            <w:r>
              <w:rPr>
                <w:rFonts w:hint="default" w:ascii="Times New Roman" w:hAnsi="Times New Roman" w:eastAsia="宋体" w:cs="Times New Roman"/>
                <w:color w:val="000000" w:themeColor="text1"/>
                <w:kern w:val="0"/>
                <w:sz w:val="24"/>
                <w:szCs w:val="24"/>
                <w:highlight w:val="none"/>
                <w:u w:val="none"/>
                <w14:textFill>
                  <w14:solidFill>
                    <w14:schemeClr w14:val="tx1"/>
                  </w14:solidFill>
                </w14:textFill>
              </w:rPr>
              <w:t>陆栖型（在陆地上活动觅食）：包括中华蟾蜍（</w:t>
            </w:r>
            <w:r>
              <w:rPr>
                <w:rFonts w:hint="default" w:ascii="Times New Roman" w:hAnsi="Times New Roman" w:eastAsia="宋体" w:cs="Times New Roman"/>
                <w:i/>
                <w:iCs/>
                <w:color w:val="000000" w:themeColor="text1"/>
                <w:kern w:val="0"/>
                <w:sz w:val="24"/>
                <w:szCs w:val="24"/>
                <w:highlight w:val="none"/>
                <w:u w:val="none"/>
                <w14:textFill>
                  <w14:solidFill>
                    <w14:schemeClr w14:val="tx1"/>
                  </w14:solidFill>
                </w14:textFill>
              </w:rPr>
              <w:t>Bufogargarizans</w:t>
            </w:r>
            <w:r>
              <w:rPr>
                <w:rFonts w:hint="default" w:ascii="Times New Roman" w:hAnsi="Times New Roman" w:eastAsia="宋体" w:cs="Times New Roman"/>
                <w:color w:val="000000" w:themeColor="text1"/>
                <w:kern w:val="0"/>
                <w:sz w:val="24"/>
                <w:szCs w:val="24"/>
                <w:highlight w:val="none"/>
                <w:u w:val="none"/>
                <w14:textFill>
                  <w14:solidFill>
                    <w14:schemeClr w14:val="tx1"/>
                  </w14:solidFill>
                </w14:textFill>
              </w:rPr>
              <w:t>）、中国林蛙（R</w:t>
            </w:r>
            <w:r>
              <w:rPr>
                <w:rFonts w:hint="default" w:ascii="Times New Roman" w:hAnsi="Times New Roman" w:eastAsia="宋体" w:cs="Times New Roman"/>
                <w:i/>
                <w:iCs/>
                <w:color w:val="000000" w:themeColor="text1"/>
                <w:kern w:val="0"/>
                <w:sz w:val="24"/>
                <w:szCs w:val="24"/>
                <w:highlight w:val="none"/>
                <w:u w:val="none"/>
                <w14:textFill>
                  <w14:solidFill>
                    <w14:schemeClr w14:val="tx1"/>
                  </w14:solidFill>
                </w14:textFill>
              </w:rPr>
              <w:t>anachensinensis</w:t>
            </w:r>
            <w:r>
              <w:rPr>
                <w:rFonts w:hint="default" w:ascii="Times New Roman" w:hAnsi="Times New Roman" w:eastAsia="宋体" w:cs="Times New Roman"/>
                <w:color w:val="000000" w:themeColor="text1"/>
                <w:kern w:val="0"/>
                <w:sz w:val="24"/>
                <w:szCs w:val="24"/>
                <w:highlight w:val="none"/>
                <w:u w:val="none"/>
                <w14:textFill>
                  <w14:solidFill>
                    <w14:schemeClr w14:val="tx1"/>
                  </w14:solidFill>
                </w14:textFill>
              </w:rPr>
              <w:t>）</w:t>
            </w:r>
            <w:r>
              <w:rPr>
                <w:rFonts w:hint="eastAsia" w:ascii="Times New Roman" w:hAnsi="Times New Roman" w:eastAsia="宋体" w:cs="Times New Roman"/>
                <w:color w:val="000000" w:themeColor="text1"/>
                <w:kern w:val="0"/>
                <w:sz w:val="24"/>
                <w:szCs w:val="24"/>
                <w:highlight w:val="none"/>
                <w:u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小弧斑姬蛙(</w:t>
            </w:r>
            <w:r>
              <w:rPr>
                <w:rFonts w:hint="default" w:ascii="Times New Roman" w:hAnsi="Times New Roman" w:eastAsia="宋体" w:cs="Times New Roman"/>
                <w:b w:val="0"/>
                <w:bCs w:val="0"/>
                <w:i/>
                <w:iCs/>
                <w:color w:val="000000" w:themeColor="text1"/>
                <w:sz w:val="24"/>
                <w:szCs w:val="24"/>
                <w:highlight w:val="none"/>
                <w:u w:val="none"/>
                <w:lang w:val="en-US" w:eastAsia="zh-CN"/>
                <w14:textFill>
                  <w14:solidFill>
                    <w14:schemeClr w14:val="tx1"/>
                  </w14:solidFill>
                </w14:textFill>
              </w:rPr>
              <w:t>Microhylaheymonsi</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u w:val="none"/>
                <w14:textFill>
                  <w14:solidFill>
                    <w14:schemeClr w14:val="tx1"/>
                  </w14:solidFill>
                </w14:textFill>
              </w:rPr>
              <w:t>，共</w:t>
            </w:r>
            <w:r>
              <w:rPr>
                <w:rFonts w:hint="eastAsia" w:cs="Times New Roman"/>
                <w:color w:val="000000" w:themeColor="text1"/>
                <w:kern w:val="0"/>
                <w:sz w:val="24"/>
                <w:szCs w:val="24"/>
                <w:highlight w:val="none"/>
                <w:u w:val="none"/>
                <w:lang w:val="en-US" w:eastAsia="zh-CN"/>
                <w14:textFill>
                  <w14:solidFill>
                    <w14:schemeClr w14:val="tx1"/>
                  </w14:solidFill>
                </w14:textFill>
              </w:rPr>
              <w:t>3</w:t>
            </w:r>
            <w:r>
              <w:rPr>
                <w:rFonts w:hint="default" w:ascii="Times New Roman" w:hAnsi="Times New Roman" w:eastAsia="宋体" w:cs="Times New Roman"/>
                <w:color w:val="000000" w:themeColor="text1"/>
                <w:kern w:val="0"/>
                <w:sz w:val="24"/>
                <w:szCs w:val="24"/>
                <w:highlight w:val="none"/>
                <w:u w:val="none"/>
                <w14:textFill>
                  <w14:solidFill>
                    <w14:schemeClr w14:val="tx1"/>
                  </w14:solidFill>
                </w14:textFill>
              </w:rPr>
              <w:t>种。主要在评价区内离水源不远或潮湿的陆地上活动，数量相对较多。</w:t>
            </w:r>
          </w:p>
          <w:p w14:paraId="79DA7BA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highlight w:val="none"/>
                <w:u w:val="none"/>
                <w14:textFill>
                  <w14:solidFill>
                    <w14:schemeClr w14:val="tx1"/>
                  </w14:solidFill>
                </w14:textFill>
              </w:rPr>
            </w:pPr>
            <w:r>
              <w:rPr>
                <w:rFonts w:hint="eastAsia" w:cs="Times New Roman"/>
                <w:color w:val="000000" w:themeColor="text1"/>
                <w:kern w:val="0"/>
                <w:sz w:val="24"/>
                <w:szCs w:val="24"/>
                <w:highlight w:val="none"/>
                <w:u w:val="none"/>
                <w:lang w:val="en-US" w:eastAsia="zh-CN"/>
                <w14:textFill>
                  <w14:solidFill>
                    <w14:schemeClr w14:val="tx1"/>
                  </w14:solidFill>
                </w14:textFill>
              </w:rPr>
              <w:t>d</w:t>
            </w:r>
            <w:r>
              <w:rPr>
                <w:rFonts w:hint="default" w:ascii="Times New Roman" w:hAnsi="Times New Roman" w:eastAsia="宋体" w:cs="Times New Roman"/>
                <w:color w:val="000000" w:themeColor="text1"/>
                <w:kern w:val="0"/>
                <w:sz w:val="24"/>
                <w:szCs w:val="24"/>
                <w:highlight w:val="none"/>
                <w:u w:val="none"/>
                <w14:textFill>
                  <w14:solidFill>
                    <w14:schemeClr w14:val="tx1"/>
                  </w14:solidFill>
                </w14:textFill>
              </w:rPr>
              <w:t>树栖型（在树上生活觅食，离水源较近的树林）：包括三港雨蛙（</w:t>
            </w:r>
            <w:r>
              <w:rPr>
                <w:rFonts w:hint="default" w:ascii="Times New Roman" w:hAnsi="Times New Roman" w:eastAsia="宋体" w:cs="Times New Roman"/>
                <w:i/>
                <w:iCs/>
                <w:color w:val="000000" w:themeColor="text1"/>
                <w:kern w:val="0"/>
                <w:sz w:val="24"/>
                <w:szCs w:val="24"/>
                <w:highlight w:val="none"/>
                <w:u w:val="none"/>
                <w14:textFill>
                  <w14:solidFill>
                    <w14:schemeClr w14:val="tx1"/>
                  </w14:solidFill>
                </w14:textFill>
              </w:rPr>
              <w:t>Hylasanchiangensis</w:t>
            </w:r>
            <w:r>
              <w:rPr>
                <w:rFonts w:hint="default" w:ascii="Times New Roman" w:hAnsi="Times New Roman" w:eastAsia="宋体" w:cs="Times New Roman"/>
                <w:color w:val="000000" w:themeColor="text1"/>
                <w:kern w:val="0"/>
                <w:sz w:val="24"/>
                <w:szCs w:val="24"/>
                <w:highlight w:val="none"/>
                <w:u w:val="none"/>
                <w14:textFill>
                  <w14:solidFill>
                    <w14:schemeClr w14:val="tx1"/>
                  </w14:solidFill>
                </w14:textFill>
              </w:rPr>
              <w:t>）、中国雨蛙（</w:t>
            </w:r>
            <w:r>
              <w:rPr>
                <w:rFonts w:hint="default" w:ascii="Times New Roman" w:hAnsi="Times New Roman" w:eastAsia="宋体" w:cs="Times New Roman"/>
                <w:i/>
                <w:iCs/>
                <w:color w:val="000000" w:themeColor="text1"/>
                <w:kern w:val="0"/>
                <w:sz w:val="24"/>
                <w:szCs w:val="24"/>
                <w:highlight w:val="none"/>
                <w:u w:val="none"/>
                <w14:textFill>
                  <w14:solidFill>
                    <w14:schemeClr w14:val="tx1"/>
                  </w14:solidFill>
                </w14:textFill>
              </w:rPr>
              <w:t>Hylachinensis</w:t>
            </w:r>
            <w:r>
              <w:rPr>
                <w:rFonts w:hint="default" w:ascii="Times New Roman" w:hAnsi="Times New Roman" w:eastAsia="宋体" w:cs="Times New Roman"/>
                <w:color w:val="000000" w:themeColor="text1"/>
                <w:kern w:val="0"/>
                <w:sz w:val="24"/>
                <w:szCs w:val="24"/>
                <w:highlight w:val="none"/>
                <w:u w:val="none"/>
                <w14:textFill>
                  <w14:solidFill>
                    <w14:schemeClr w14:val="tx1"/>
                  </w14:solidFill>
                </w14:textFill>
              </w:rPr>
              <w:t>）共</w:t>
            </w:r>
            <w:r>
              <w:rPr>
                <w:rFonts w:hint="eastAsia" w:cs="Times New Roman"/>
                <w:color w:val="000000" w:themeColor="text1"/>
                <w:kern w:val="0"/>
                <w:sz w:val="24"/>
                <w:szCs w:val="24"/>
                <w:highlight w:val="none"/>
                <w:u w:val="none"/>
                <w:lang w:val="en-US" w:eastAsia="zh-CN"/>
                <w14:textFill>
                  <w14:solidFill>
                    <w14:schemeClr w14:val="tx1"/>
                  </w14:solidFill>
                </w14:textFill>
              </w:rPr>
              <w:t>2</w:t>
            </w:r>
            <w:r>
              <w:rPr>
                <w:rFonts w:hint="default" w:ascii="Times New Roman" w:hAnsi="Times New Roman" w:eastAsia="宋体" w:cs="Times New Roman"/>
                <w:color w:val="000000" w:themeColor="text1"/>
                <w:kern w:val="0"/>
                <w:sz w:val="24"/>
                <w:szCs w:val="24"/>
                <w:highlight w:val="none"/>
                <w:u w:val="none"/>
                <w14:textFill>
                  <w14:solidFill>
                    <w14:schemeClr w14:val="tx1"/>
                  </w14:solidFill>
                </w14:textFill>
              </w:rPr>
              <w:t>种。主要在评价区内的稻田及其附近的杂草中，数量较少。</w:t>
            </w:r>
          </w:p>
          <w:p w14:paraId="3010BB5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u w:val="none"/>
                <w14:textFill>
                  <w14:solidFill>
                    <w14:schemeClr w14:val="tx1"/>
                  </w14:solidFill>
                </w14:textFill>
              </w:rPr>
              <w:t>④国家重点保护种</w:t>
            </w:r>
          </w:p>
          <w:p w14:paraId="55FE308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u w:val="none"/>
                <w14:textFill>
                  <w14:solidFill>
                    <w14:schemeClr w14:val="tx1"/>
                  </w14:solidFill>
                </w14:textFill>
              </w:rPr>
              <w:t>两栖动物中无国家重点保护野生种。</w:t>
            </w:r>
          </w:p>
          <w:p w14:paraId="25F921B6">
            <w:pPr>
              <w:widowControl/>
              <w:spacing w:line="240" w:lineRule="auto"/>
              <w:ind w:firstLine="1265" w:firstLineChars="600"/>
              <w:jc w:val="both"/>
              <w:rPr>
                <w:rFonts w:hint="eastAsia" w:ascii="Times New Roman" w:hAnsi="Times New Roman" w:eastAsia="宋体" w:cs="Times New Roman"/>
                <w:b/>
                <w:color w:val="000000" w:themeColor="text1"/>
                <w:sz w:val="21"/>
                <w:szCs w:val="21"/>
                <w:u w:val="none"/>
                <w14:textFill>
                  <w14:solidFill>
                    <w14:schemeClr w14:val="tx1"/>
                  </w14:solidFill>
                </w14:textFill>
              </w:rPr>
            </w:pPr>
          </w:p>
          <w:p w14:paraId="6044CE92">
            <w:pPr>
              <w:widowControl/>
              <w:spacing w:line="240" w:lineRule="auto"/>
              <w:ind w:firstLine="1265" w:firstLineChars="600"/>
              <w:jc w:val="both"/>
              <w:rPr>
                <w:rFonts w:hint="eastAsia" w:ascii="Times New Roman" w:hAnsi="Times New Roman" w:eastAsia="宋体" w:cs="Times New Roman"/>
                <w:b/>
                <w:color w:val="000000" w:themeColor="text1"/>
                <w:sz w:val="21"/>
                <w:szCs w:val="21"/>
                <w:u w:val="none"/>
                <w14:textFill>
                  <w14:solidFill>
                    <w14:schemeClr w14:val="tx1"/>
                  </w14:solidFill>
                </w14:textFill>
              </w:rPr>
            </w:pPr>
            <w:r>
              <w:rPr>
                <w:rFonts w:hint="eastAsia" w:ascii="Times New Roman" w:hAnsi="Times New Roman" w:eastAsia="宋体" w:cs="Times New Roman"/>
                <w:b/>
                <w:color w:val="000000" w:themeColor="text1"/>
                <w:sz w:val="21"/>
                <w:szCs w:val="21"/>
                <w:u w:val="none"/>
                <w14:textFill>
                  <w14:solidFill>
                    <w14:schemeClr w14:val="tx1"/>
                  </w14:solidFill>
                </w14:textFill>
              </w:rPr>
              <w:t>表3.</w:t>
            </w:r>
            <w:r>
              <w:rPr>
                <w:rFonts w:hint="eastAsia" w:ascii="Times New Roman" w:hAnsi="Times New Roman" w:eastAsia="宋体" w:cs="Times New Roman"/>
                <w:b/>
                <w:color w:val="000000" w:themeColor="text1"/>
                <w:sz w:val="21"/>
                <w:szCs w:val="21"/>
                <w:u w:val="none"/>
                <w:lang w:val="en-US" w:eastAsia="zh-CN"/>
                <w14:textFill>
                  <w14:solidFill>
                    <w14:schemeClr w14:val="tx1"/>
                  </w14:solidFill>
                </w14:textFill>
              </w:rPr>
              <w:t>5-</w:t>
            </w:r>
            <w:r>
              <w:rPr>
                <w:rFonts w:hint="eastAsia" w:cs="Times New Roman"/>
                <w:b/>
                <w:color w:val="000000" w:themeColor="text1"/>
                <w:sz w:val="21"/>
                <w:szCs w:val="21"/>
                <w:u w:val="none"/>
                <w:lang w:val="en-US" w:eastAsia="zh-CN"/>
                <w14:textFill>
                  <w14:solidFill>
                    <w14:schemeClr w14:val="tx1"/>
                  </w14:solidFill>
                </w14:textFill>
              </w:rPr>
              <w:t>4</w:t>
            </w:r>
            <w:r>
              <w:rPr>
                <w:rFonts w:hint="eastAsia" w:ascii="Times New Roman" w:hAnsi="Times New Roman" w:eastAsia="宋体" w:cs="Times New Roman"/>
                <w:b/>
                <w:color w:val="000000" w:themeColor="text1"/>
                <w:sz w:val="21"/>
                <w:szCs w:val="21"/>
                <w:u w:val="none"/>
                <w14:textFill>
                  <w14:solidFill>
                    <w14:schemeClr w14:val="tx1"/>
                  </w14:solidFill>
                </w14:textFill>
              </w:rPr>
              <w:t xml:space="preserve"> 评价区内实地调查到的国家重点保护野生动物情况一览表</w:t>
            </w:r>
          </w:p>
          <w:tbl>
            <w:tblPr>
              <w:tblStyle w:val="26"/>
              <w:tblW w:w="7569" w:type="dxa"/>
              <w:jc w:val="center"/>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autofit"/>
              <w:tblCellMar>
                <w:top w:w="0" w:type="dxa"/>
                <w:left w:w="108" w:type="dxa"/>
                <w:bottom w:w="0" w:type="dxa"/>
                <w:right w:w="108" w:type="dxa"/>
              </w:tblCellMar>
            </w:tblPr>
            <w:tblGrid>
              <w:gridCol w:w="581"/>
              <w:gridCol w:w="829"/>
              <w:gridCol w:w="727"/>
              <w:gridCol w:w="2985"/>
              <w:gridCol w:w="2447"/>
            </w:tblGrid>
            <w:tr w14:paraId="7A1029CA">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581" w:type="dxa"/>
                  <w:tcBorders>
                    <w:tl2br w:val="nil"/>
                    <w:tr2bl w:val="nil"/>
                  </w:tcBorders>
                  <w:noWrap w:val="0"/>
                  <w:vAlign w:val="center"/>
                </w:tcPr>
                <w:p w14:paraId="7CC57A61">
                  <w:pPr>
                    <w:widowControl/>
                    <w:spacing w:line="240" w:lineRule="atLeast"/>
                    <w:jc w:val="center"/>
                    <w:rPr>
                      <w:color w:val="000000" w:themeColor="text1"/>
                      <w:kern w:val="0"/>
                      <w:sz w:val="21"/>
                      <w:szCs w:val="21"/>
                      <w:u w:val="none"/>
                      <w14:textFill>
                        <w14:solidFill>
                          <w14:schemeClr w14:val="tx1"/>
                        </w14:solidFill>
                      </w14:textFill>
                    </w:rPr>
                  </w:pPr>
                  <w:r>
                    <w:rPr>
                      <w:rFonts w:hint="eastAsia"/>
                      <w:color w:val="000000" w:themeColor="text1"/>
                      <w:kern w:val="0"/>
                      <w:sz w:val="21"/>
                      <w:szCs w:val="21"/>
                      <w:u w:val="none"/>
                      <w14:textFill>
                        <w14:solidFill>
                          <w14:schemeClr w14:val="tx1"/>
                        </w14:solidFill>
                      </w14:textFill>
                    </w:rPr>
                    <w:t>序号</w:t>
                  </w:r>
                </w:p>
              </w:tc>
              <w:tc>
                <w:tcPr>
                  <w:tcW w:w="829" w:type="dxa"/>
                  <w:tcBorders>
                    <w:tl2br w:val="nil"/>
                    <w:tr2bl w:val="nil"/>
                  </w:tcBorders>
                  <w:noWrap w:val="0"/>
                  <w:vAlign w:val="center"/>
                </w:tcPr>
                <w:p w14:paraId="6D34480E">
                  <w:pPr>
                    <w:widowControl/>
                    <w:spacing w:line="240" w:lineRule="atLeast"/>
                    <w:jc w:val="center"/>
                    <w:rPr>
                      <w:color w:val="000000" w:themeColor="text1"/>
                      <w:kern w:val="0"/>
                      <w:sz w:val="21"/>
                      <w:szCs w:val="21"/>
                      <w:u w:val="none"/>
                      <w14:textFill>
                        <w14:solidFill>
                          <w14:schemeClr w14:val="tx1"/>
                        </w14:solidFill>
                      </w14:textFill>
                    </w:rPr>
                  </w:pPr>
                  <w:r>
                    <w:rPr>
                      <w:rFonts w:hint="eastAsia"/>
                      <w:color w:val="000000" w:themeColor="text1"/>
                      <w:kern w:val="0"/>
                      <w:sz w:val="21"/>
                      <w:szCs w:val="21"/>
                      <w:u w:val="none"/>
                      <w14:textFill>
                        <w14:solidFill>
                          <w14:schemeClr w14:val="tx1"/>
                        </w14:solidFill>
                      </w14:textFill>
                    </w:rPr>
                    <w:t>名称</w:t>
                  </w:r>
                </w:p>
              </w:tc>
              <w:tc>
                <w:tcPr>
                  <w:tcW w:w="727" w:type="dxa"/>
                  <w:tcBorders>
                    <w:tl2br w:val="nil"/>
                    <w:tr2bl w:val="nil"/>
                  </w:tcBorders>
                  <w:noWrap w:val="0"/>
                  <w:vAlign w:val="center"/>
                </w:tcPr>
                <w:p w14:paraId="5266E0ED">
                  <w:pPr>
                    <w:widowControl/>
                    <w:spacing w:line="240" w:lineRule="atLeast"/>
                    <w:jc w:val="center"/>
                    <w:rPr>
                      <w:color w:val="000000" w:themeColor="text1"/>
                      <w:kern w:val="0"/>
                      <w:sz w:val="21"/>
                      <w:szCs w:val="21"/>
                      <w:u w:val="none"/>
                      <w14:textFill>
                        <w14:solidFill>
                          <w14:schemeClr w14:val="tx1"/>
                        </w14:solidFill>
                      </w14:textFill>
                    </w:rPr>
                  </w:pPr>
                  <w:r>
                    <w:rPr>
                      <w:rFonts w:hint="eastAsia"/>
                      <w:color w:val="000000" w:themeColor="text1"/>
                      <w:kern w:val="0"/>
                      <w:sz w:val="21"/>
                      <w:szCs w:val="21"/>
                      <w:u w:val="none"/>
                      <w14:textFill>
                        <w14:solidFill>
                          <w14:schemeClr w14:val="tx1"/>
                        </w14:solidFill>
                      </w14:textFill>
                    </w:rPr>
                    <w:t>保护级别</w:t>
                  </w:r>
                </w:p>
              </w:tc>
              <w:tc>
                <w:tcPr>
                  <w:tcW w:w="2985" w:type="dxa"/>
                  <w:tcBorders>
                    <w:tl2br w:val="nil"/>
                    <w:tr2bl w:val="nil"/>
                  </w:tcBorders>
                  <w:noWrap w:val="0"/>
                  <w:vAlign w:val="center"/>
                </w:tcPr>
                <w:p w14:paraId="30DC0868">
                  <w:pPr>
                    <w:widowControl/>
                    <w:spacing w:line="240" w:lineRule="atLeast"/>
                    <w:jc w:val="center"/>
                    <w:rPr>
                      <w:color w:val="000000" w:themeColor="text1"/>
                      <w:kern w:val="0"/>
                      <w:sz w:val="21"/>
                      <w:szCs w:val="21"/>
                      <w:u w:val="none"/>
                      <w14:textFill>
                        <w14:solidFill>
                          <w14:schemeClr w14:val="tx1"/>
                        </w14:solidFill>
                      </w14:textFill>
                    </w:rPr>
                  </w:pPr>
                  <w:r>
                    <w:rPr>
                      <w:rFonts w:hint="eastAsia"/>
                      <w:color w:val="000000" w:themeColor="text1"/>
                      <w:kern w:val="0"/>
                      <w:sz w:val="21"/>
                      <w:szCs w:val="21"/>
                      <w:u w:val="none"/>
                      <w14:textFill>
                        <w14:solidFill>
                          <w14:schemeClr w14:val="tx1"/>
                        </w14:solidFill>
                      </w14:textFill>
                    </w:rPr>
                    <w:t>分布位置</w:t>
                  </w:r>
                </w:p>
              </w:tc>
              <w:tc>
                <w:tcPr>
                  <w:tcW w:w="2447" w:type="dxa"/>
                  <w:tcBorders>
                    <w:tl2br w:val="nil"/>
                    <w:tr2bl w:val="nil"/>
                  </w:tcBorders>
                  <w:noWrap w:val="0"/>
                  <w:vAlign w:val="center"/>
                </w:tcPr>
                <w:p w14:paraId="03F38E8B">
                  <w:pPr>
                    <w:widowControl/>
                    <w:spacing w:line="240" w:lineRule="atLeast"/>
                    <w:jc w:val="center"/>
                    <w:rPr>
                      <w:color w:val="000000" w:themeColor="text1"/>
                      <w:kern w:val="0"/>
                      <w:sz w:val="21"/>
                      <w:szCs w:val="21"/>
                      <w:u w:val="none"/>
                      <w14:textFill>
                        <w14:solidFill>
                          <w14:schemeClr w14:val="tx1"/>
                        </w14:solidFill>
                      </w14:textFill>
                    </w:rPr>
                  </w:pPr>
                  <w:r>
                    <w:rPr>
                      <w:rFonts w:hint="eastAsia"/>
                      <w:color w:val="000000" w:themeColor="text1"/>
                      <w:kern w:val="0"/>
                      <w:sz w:val="21"/>
                      <w:szCs w:val="21"/>
                      <w:u w:val="none"/>
                      <w14:textFill>
                        <w14:solidFill>
                          <w14:schemeClr w14:val="tx1"/>
                        </w14:solidFill>
                      </w14:textFill>
                    </w:rPr>
                    <w:t>与工程位置关系</w:t>
                  </w:r>
                </w:p>
              </w:tc>
            </w:tr>
            <w:tr w14:paraId="736FF24E">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581" w:type="dxa"/>
                  <w:tcBorders>
                    <w:tl2br w:val="nil"/>
                    <w:tr2bl w:val="nil"/>
                  </w:tcBorders>
                  <w:noWrap w:val="0"/>
                  <w:vAlign w:val="center"/>
                </w:tcPr>
                <w:p w14:paraId="3804AC34">
                  <w:pPr>
                    <w:widowControl/>
                    <w:spacing w:line="240" w:lineRule="atLeas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1</w:t>
                  </w:r>
                </w:p>
              </w:tc>
              <w:tc>
                <w:tcPr>
                  <w:tcW w:w="829" w:type="dxa"/>
                  <w:tcBorders>
                    <w:tl2br w:val="nil"/>
                    <w:tr2bl w:val="nil"/>
                  </w:tcBorders>
                  <w:noWrap w:val="0"/>
                  <w:vAlign w:val="center"/>
                </w:tcPr>
                <w:p w14:paraId="040FA6CC">
                  <w:pPr>
                    <w:spacing w:line="240" w:lineRule="auto"/>
                    <w:jc w:val="center"/>
                    <w:rPr>
                      <w:rFonts w:hint="eastAsia"/>
                      <w:color w:val="000000" w:themeColor="text1"/>
                      <w:sz w:val="21"/>
                      <w:szCs w:val="21"/>
                      <w:u w:val="none"/>
                      <w14:textFill>
                        <w14:solidFill>
                          <w14:schemeClr w14:val="tx1"/>
                        </w14:solidFill>
                      </w14:textFill>
                    </w:rPr>
                  </w:pPr>
                  <w:r>
                    <w:rPr>
                      <w:rFonts w:hint="eastAsia"/>
                      <w:color w:val="000000" w:themeColor="text1"/>
                      <w:sz w:val="21"/>
                      <w:szCs w:val="21"/>
                      <w:u w:val="none"/>
                      <w14:textFill>
                        <w14:solidFill>
                          <w14:schemeClr w14:val="tx1"/>
                        </w14:solidFill>
                      </w14:textFill>
                    </w:rPr>
                    <w:t>苍鹰</w:t>
                  </w:r>
                </w:p>
              </w:tc>
              <w:tc>
                <w:tcPr>
                  <w:tcW w:w="727" w:type="dxa"/>
                  <w:vMerge w:val="restart"/>
                  <w:tcBorders>
                    <w:tl2br w:val="nil"/>
                    <w:tr2bl w:val="nil"/>
                  </w:tcBorders>
                  <w:noWrap w:val="0"/>
                  <w:vAlign w:val="center"/>
                </w:tcPr>
                <w:p w14:paraId="3CD60349">
                  <w:pPr>
                    <w:widowControl/>
                    <w:spacing w:line="240" w:lineRule="atLeast"/>
                    <w:jc w:val="center"/>
                    <w:rPr>
                      <w:color w:val="000000" w:themeColor="text1"/>
                      <w:kern w:val="0"/>
                      <w:sz w:val="21"/>
                      <w:szCs w:val="21"/>
                      <w:u w:val="none"/>
                      <w14:textFill>
                        <w14:solidFill>
                          <w14:schemeClr w14:val="tx1"/>
                        </w14:solidFill>
                      </w14:textFill>
                    </w:rPr>
                  </w:pPr>
                  <w:r>
                    <w:rPr>
                      <w:rFonts w:hint="eastAsia"/>
                      <w:color w:val="000000" w:themeColor="text1"/>
                      <w:kern w:val="0"/>
                      <w:sz w:val="21"/>
                      <w:szCs w:val="21"/>
                      <w:u w:val="none"/>
                      <w14:textFill>
                        <w14:solidFill>
                          <w14:schemeClr w14:val="tx1"/>
                        </w14:solidFill>
                      </w14:textFill>
                    </w:rPr>
                    <w:t>Ⅱ级</w:t>
                  </w:r>
                </w:p>
              </w:tc>
              <w:tc>
                <w:tcPr>
                  <w:tcW w:w="2985" w:type="dxa"/>
                  <w:tcBorders>
                    <w:tl2br w:val="nil"/>
                    <w:tr2bl w:val="nil"/>
                  </w:tcBorders>
                  <w:noWrap w:val="0"/>
                  <w:vAlign w:val="center"/>
                </w:tcPr>
                <w:p w14:paraId="653D973F">
                  <w:pPr>
                    <w:widowControl/>
                    <w:spacing w:line="240" w:lineRule="atLeast"/>
                    <w:jc w:val="center"/>
                    <w:rPr>
                      <w:rFonts w:hint="default" w:ascii="Times New Roman" w:hAnsi="Times New Roman" w:cs="Times New Roman"/>
                      <w:color w:val="000000" w:themeColor="text1"/>
                      <w:kern w:val="0"/>
                      <w:sz w:val="21"/>
                      <w:szCs w:val="21"/>
                      <w:u w:val="none"/>
                      <w14:textFill>
                        <w14:solidFill>
                          <w14:schemeClr w14:val="tx1"/>
                        </w14:solidFill>
                      </w14:textFill>
                    </w:rPr>
                  </w:pPr>
                  <w:r>
                    <w:rPr>
                      <w:rFonts w:hint="default" w:ascii="Times New Roman" w:hAnsi="Times New Roman" w:cs="Times New Roman"/>
                      <w:color w:val="000000" w:themeColor="text1"/>
                      <w:kern w:val="0"/>
                      <w:sz w:val="21"/>
                      <w:szCs w:val="21"/>
                      <w:u w:val="none"/>
                      <w14:textFill>
                        <w14:solidFill>
                          <w14:schemeClr w14:val="tx1"/>
                        </w14:solidFill>
                      </w14:textFill>
                    </w:rPr>
                    <w:t>E109°66′</w:t>
                  </w:r>
                  <w:r>
                    <w:rPr>
                      <w:rFonts w:hint="eastAsia" w:cs="Times New Roman"/>
                      <w:color w:val="000000" w:themeColor="text1"/>
                      <w:kern w:val="0"/>
                      <w:sz w:val="21"/>
                      <w:szCs w:val="21"/>
                      <w:u w:val="none"/>
                      <w:lang w:val="en-US" w:eastAsia="zh-CN"/>
                      <w14:textFill>
                        <w14:solidFill>
                          <w14:schemeClr w14:val="tx1"/>
                        </w14:solidFill>
                      </w14:textFill>
                    </w:rPr>
                    <w:t>7</w:t>
                  </w:r>
                  <w:r>
                    <w:rPr>
                      <w:rFonts w:hint="default" w:ascii="Times New Roman" w:hAnsi="Times New Roman" w:cs="Times New Roman"/>
                      <w:color w:val="000000" w:themeColor="text1"/>
                      <w:kern w:val="0"/>
                      <w:sz w:val="21"/>
                      <w:szCs w:val="21"/>
                      <w:u w:val="none"/>
                      <w14:textFill>
                        <w14:solidFill>
                          <w14:schemeClr w14:val="tx1"/>
                        </w14:solidFill>
                      </w14:textFill>
                    </w:rPr>
                    <w:t>8.</w:t>
                  </w:r>
                  <w:r>
                    <w:rPr>
                      <w:rFonts w:hint="eastAsia" w:cs="Times New Roman"/>
                      <w:color w:val="000000" w:themeColor="text1"/>
                      <w:kern w:val="0"/>
                      <w:sz w:val="21"/>
                      <w:szCs w:val="21"/>
                      <w:u w:val="none"/>
                      <w:lang w:val="en-US" w:eastAsia="zh-CN"/>
                      <w14:textFill>
                        <w14:solidFill>
                          <w14:schemeClr w14:val="tx1"/>
                        </w14:solidFill>
                      </w14:textFill>
                    </w:rPr>
                    <w:t>725</w:t>
                  </w:r>
                  <w:r>
                    <w:rPr>
                      <w:rFonts w:hint="default" w:ascii="Times New Roman" w:hAnsi="Times New Roman" w:cs="Times New Roman"/>
                      <w:color w:val="000000" w:themeColor="text1"/>
                      <w:kern w:val="0"/>
                      <w:sz w:val="21"/>
                      <w:szCs w:val="21"/>
                      <w:u w:val="none"/>
                      <w14:textFill>
                        <w14:solidFill>
                          <w14:schemeClr w14:val="tx1"/>
                        </w14:solidFill>
                      </w14:textFill>
                    </w:rPr>
                    <w:t>″</w:t>
                  </w:r>
                </w:p>
                <w:p w14:paraId="3C642786">
                  <w:pPr>
                    <w:widowControl/>
                    <w:spacing w:line="240" w:lineRule="atLeast"/>
                    <w:jc w:val="center"/>
                    <w:rPr>
                      <w:rFonts w:hint="default" w:ascii="Times New Roman" w:hAnsi="Times New Roman" w:cs="Times New Roman"/>
                      <w:color w:val="FF0000"/>
                      <w:sz w:val="21"/>
                      <w:szCs w:val="21"/>
                      <w:u w:val="none"/>
                    </w:rPr>
                  </w:pPr>
                  <w:r>
                    <w:rPr>
                      <w:rFonts w:hint="default" w:ascii="Times New Roman" w:hAnsi="Times New Roman" w:cs="Times New Roman"/>
                      <w:color w:val="000000" w:themeColor="text1"/>
                      <w:kern w:val="0"/>
                      <w:sz w:val="21"/>
                      <w:szCs w:val="21"/>
                      <w:u w:val="none"/>
                      <w14:textFill>
                        <w14:solidFill>
                          <w14:schemeClr w14:val="tx1"/>
                        </w14:solidFill>
                      </w14:textFill>
                    </w:rPr>
                    <w:t>N 26°</w:t>
                  </w:r>
                  <w:r>
                    <w:rPr>
                      <w:rFonts w:hint="eastAsia" w:cs="Times New Roman"/>
                      <w:color w:val="000000" w:themeColor="text1"/>
                      <w:kern w:val="0"/>
                      <w:sz w:val="21"/>
                      <w:szCs w:val="21"/>
                      <w:u w:val="none"/>
                      <w:lang w:val="en-US" w:eastAsia="zh-CN"/>
                      <w14:textFill>
                        <w14:solidFill>
                          <w14:schemeClr w14:val="tx1"/>
                        </w14:solidFill>
                      </w14:textFill>
                    </w:rPr>
                    <w:t>10</w:t>
                  </w:r>
                  <w:r>
                    <w:rPr>
                      <w:rFonts w:hint="default" w:ascii="Times New Roman" w:hAnsi="Times New Roman" w:cs="Times New Roman"/>
                      <w:color w:val="000000" w:themeColor="text1"/>
                      <w:kern w:val="0"/>
                      <w:sz w:val="21"/>
                      <w:szCs w:val="21"/>
                      <w:u w:val="none"/>
                      <w14:textFill>
                        <w14:solidFill>
                          <w14:schemeClr w14:val="tx1"/>
                        </w14:solidFill>
                      </w14:textFill>
                    </w:rPr>
                    <w:t>′3</w:t>
                  </w:r>
                  <w:r>
                    <w:rPr>
                      <w:rFonts w:hint="eastAsia" w:cs="Times New Roman"/>
                      <w:color w:val="000000" w:themeColor="text1"/>
                      <w:kern w:val="0"/>
                      <w:sz w:val="21"/>
                      <w:szCs w:val="21"/>
                      <w:u w:val="none"/>
                      <w:lang w:val="en-US" w:eastAsia="zh-CN"/>
                      <w14:textFill>
                        <w14:solidFill>
                          <w14:schemeClr w14:val="tx1"/>
                        </w14:solidFill>
                      </w14:textFill>
                    </w:rPr>
                    <w:t>9</w:t>
                  </w:r>
                  <w:r>
                    <w:rPr>
                      <w:rFonts w:hint="default" w:ascii="Times New Roman" w:hAnsi="Times New Roman" w:cs="Times New Roman"/>
                      <w:color w:val="000000" w:themeColor="text1"/>
                      <w:kern w:val="0"/>
                      <w:sz w:val="21"/>
                      <w:szCs w:val="21"/>
                      <w:u w:val="none"/>
                      <w14:textFill>
                        <w14:solidFill>
                          <w14:schemeClr w14:val="tx1"/>
                        </w14:solidFill>
                      </w14:textFill>
                    </w:rPr>
                    <w:t>.</w:t>
                  </w:r>
                  <w:r>
                    <w:rPr>
                      <w:rFonts w:hint="eastAsia" w:cs="Times New Roman"/>
                      <w:color w:val="000000" w:themeColor="text1"/>
                      <w:kern w:val="0"/>
                      <w:sz w:val="21"/>
                      <w:szCs w:val="21"/>
                      <w:u w:val="none"/>
                      <w:lang w:val="en-US" w:eastAsia="zh-CN"/>
                      <w14:textFill>
                        <w14:solidFill>
                          <w14:schemeClr w14:val="tx1"/>
                        </w14:solidFill>
                      </w14:textFill>
                    </w:rPr>
                    <w:t>3.2</w:t>
                  </w:r>
                  <w:r>
                    <w:rPr>
                      <w:rFonts w:hint="default" w:ascii="Times New Roman" w:hAnsi="Times New Roman" w:cs="Times New Roman"/>
                      <w:color w:val="000000" w:themeColor="text1"/>
                      <w:kern w:val="0"/>
                      <w:sz w:val="21"/>
                      <w:szCs w:val="21"/>
                      <w:u w:val="none"/>
                      <w14:textFill>
                        <w14:solidFill>
                          <w14:schemeClr w14:val="tx1"/>
                        </w14:solidFill>
                      </w14:textFill>
                    </w:rPr>
                    <w:t>″；H：</w:t>
                  </w:r>
                  <w:r>
                    <w:rPr>
                      <w:rFonts w:hint="eastAsia" w:cs="Times New Roman"/>
                      <w:color w:val="000000" w:themeColor="text1"/>
                      <w:kern w:val="0"/>
                      <w:sz w:val="21"/>
                      <w:szCs w:val="21"/>
                      <w:u w:val="none"/>
                      <w:lang w:val="en-US" w:eastAsia="zh-CN"/>
                      <w14:textFill>
                        <w14:solidFill>
                          <w14:schemeClr w14:val="tx1"/>
                        </w14:solidFill>
                      </w14:textFill>
                    </w:rPr>
                    <w:t>710</w:t>
                  </w:r>
                  <w:r>
                    <w:rPr>
                      <w:rFonts w:hint="default" w:ascii="Times New Roman" w:hAnsi="Times New Roman" w:cs="Times New Roman"/>
                      <w:color w:val="000000" w:themeColor="text1"/>
                      <w:kern w:val="0"/>
                      <w:sz w:val="21"/>
                      <w:szCs w:val="21"/>
                      <w:u w:val="none"/>
                      <w14:textFill>
                        <w14:solidFill>
                          <w14:schemeClr w14:val="tx1"/>
                        </w14:solidFill>
                      </w14:textFill>
                    </w:rPr>
                    <w:t>m</w:t>
                  </w:r>
                </w:p>
              </w:tc>
              <w:tc>
                <w:tcPr>
                  <w:tcW w:w="2447" w:type="dxa"/>
                  <w:tcBorders>
                    <w:tl2br w:val="nil"/>
                    <w:tr2bl w:val="nil"/>
                  </w:tcBorders>
                  <w:noWrap w:val="0"/>
                  <w:vAlign w:val="center"/>
                </w:tcPr>
                <w:p w14:paraId="7AE01CF8">
                  <w:pPr>
                    <w:spacing w:line="240" w:lineRule="auto"/>
                    <w:jc w:val="left"/>
                    <w:rPr>
                      <w:rFonts w:hint="eastAsia"/>
                      <w:color w:val="FF0000"/>
                      <w:sz w:val="21"/>
                      <w:szCs w:val="21"/>
                      <w:u w:val="none"/>
                    </w:rPr>
                  </w:pPr>
                  <w:r>
                    <w:rPr>
                      <w:rFonts w:hint="eastAsia"/>
                      <w:color w:val="000000" w:themeColor="text1"/>
                      <w:sz w:val="21"/>
                      <w:szCs w:val="21"/>
                      <w:u w:val="none"/>
                      <w:lang w:val="en-US" w:eastAsia="zh-CN"/>
                      <w14:textFill>
                        <w14:solidFill>
                          <w14:schemeClr w14:val="tx1"/>
                        </w14:solidFill>
                      </w14:textFill>
                    </w:rPr>
                    <w:t>12号风机位南</w:t>
                  </w:r>
                  <w:r>
                    <w:rPr>
                      <w:rFonts w:hint="eastAsia"/>
                      <w:color w:val="000000" w:themeColor="text1"/>
                      <w:sz w:val="21"/>
                      <w:szCs w:val="21"/>
                      <w:u w:val="none"/>
                      <w14:textFill>
                        <w14:solidFill>
                          <w14:schemeClr w14:val="tx1"/>
                        </w14:solidFill>
                      </w14:textFill>
                    </w:rPr>
                    <w:t>侧，最近直线距离约</w:t>
                  </w:r>
                  <w:r>
                    <w:rPr>
                      <w:rFonts w:hint="eastAsia"/>
                      <w:color w:val="000000" w:themeColor="text1"/>
                      <w:sz w:val="21"/>
                      <w:szCs w:val="21"/>
                      <w:u w:val="none"/>
                      <w:lang w:val="en-US" w:eastAsia="zh-CN"/>
                      <w14:textFill>
                        <w14:solidFill>
                          <w14:schemeClr w14:val="tx1"/>
                        </w14:solidFill>
                      </w14:textFill>
                    </w:rPr>
                    <w:t>52</w:t>
                  </w:r>
                  <w:r>
                    <w:rPr>
                      <w:rFonts w:hint="eastAsia"/>
                      <w:color w:val="000000" w:themeColor="text1"/>
                      <w:sz w:val="21"/>
                      <w:szCs w:val="21"/>
                      <w:u w:val="none"/>
                      <w14:textFill>
                        <w14:solidFill>
                          <w14:schemeClr w14:val="tx1"/>
                        </w14:solidFill>
                      </w14:textFill>
                    </w:rPr>
                    <w:t>0m</w:t>
                  </w:r>
                </w:p>
              </w:tc>
            </w:tr>
            <w:tr w14:paraId="7FDD0B20">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581" w:type="dxa"/>
                  <w:tcBorders>
                    <w:tl2br w:val="nil"/>
                    <w:tr2bl w:val="nil"/>
                  </w:tcBorders>
                  <w:noWrap w:val="0"/>
                  <w:vAlign w:val="center"/>
                </w:tcPr>
                <w:p w14:paraId="6A3608F0">
                  <w:pPr>
                    <w:widowControl/>
                    <w:spacing w:line="240" w:lineRule="atLeast"/>
                    <w:jc w:val="center"/>
                    <w:rPr>
                      <w:color w:val="000000" w:themeColor="text1"/>
                      <w:kern w:val="0"/>
                      <w:sz w:val="21"/>
                      <w:szCs w:val="21"/>
                      <w:u w:val="none"/>
                      <w14:textFill>
                        <w14:solidFill>
                          <w14:schemeClr w14:val="tx1"/>
                        </w14:solidFill>
                      </w14:textFill>
                    </w:rPr>
                  </w:pPr>
                  <w:r>
                    <w:rPr>
                      <w:rFonts w:hint="eastAsia"/>
                      <w:color w:val="000000" w:themeColor="text1"/>
                      <w:kern w:val="0"/>
                      <w:sz w:val="21"/>
                      <w:szCs w:val="21"/>
                      <w:u w:val="none"/>
                      <w14:textFill>
                        <w14:solidFill>
                          <w14:schemeClr w14:val="tx1"/>
                        </w14:solidFill>
                      </w14:textFill>
                    </w:rPr>
                    <w:t>2</w:t>
                  </w:r>
                </w:p>
              </w:tc>
              <w:tc>
                <w:tcPr>
                  <w:tcW w:w="829" w:type="dxa"/>
                  <w:tcBorders>
                    <w:tl2br w:val="nil"/>
                    <w:tr2bl w:val="nil"/>
                  </w:tcBorders>
                  <w:noWrap w:val="0"/>
                  <w:vAlign w:val="center"/>
                </w:tcPr>
                <w:p w14:paraId="523D0FD0">
                  <w:pPr>
                    <w:spacing w:line="240" w:lineRule="auto"/>
                    <w:jc w:val="center"/>
                    <w:rPr>
                      <w:rFonts w:hint="eastAsia"/>
                      <w:color w:val="000000" w:themeColor="text1"/>
                      <w:sz w:val="21"/>
                      <w:szCs w:val="21"/>
                      <w:u w:val="none"/>
                      <w14:textFill>
                        <w14:solidFill>
                          <w14:schemeClr w14:val="tx1"/>
                        </w14:solidFill>
                      </w14:textFill>
                    </w:rPr>
                  </w:pPr>
                  <w:r>
                    <w:rPr>
                      <w:rFonts w:hint="eastAsia"/>
                      <w:color w:val="000000" w:themeColor="text1"/>
                      <w:sz w:val="21"/>
                      <w:szCs w:val="21"/>
                      <w:u w:val="none"/>
                      <w14:textFill>
                        <w14:solidFill>
                          <w14:schemeClr w14:val="tx1"/>
                        </w14:solidFill>
                      </w14:textFill>
                    </w:rPr>
                    <w:t>雀鹰</w:t>
                  </w:r>
                </w:p>
              </w:tc>
              <w:tc>
                <w:tcPr>
                  <w:tcW w:w="727" w:type="dxa"/>
                  <w:vMerge w:val="continue"/>
                  <w:tcBorders>
                    <w:tl2br w:val="nil"/>
                    <w:tr2bl w:val="nil"/>
                  </w:tcBorders>
                  <w:noWrap w:val="0"/>
                  <w:vAlign w:val="center"/>
                </w:tcPr>
                <w:p w14:paraId="0C2686F2">
                  <w:pPr>
                    <w:widowControl/>
                    <w:spacing w:line="240" w:lineRule="atLeast"/>
                    <w:jc w:val="center"/>
                    <w:rPr>
                      <w:rFonts w:hint="eastAsia"/>
                      <w:color w:val="000000" w:themeColor="text1"/>
                      <w:kern w:val="0"/>
                      <w:sz w:val="21"/>
                      <w:szCs w:val="21"/>
                      <w:u w:val="none"/>
                      <w14:textFill>
                        <w14:solidFill>
                          <w14:schemeClr w14:val="tx1"/>
                        </w14:solidFill>
                      </w14:textFill>
                    </w:rPr>
                  </w:pPr>
                </w:p>
              </w:tc>
              <w:tc>
                <w:tcPr>
                  <w:tcW w:w="2985" w:type="dxa"/>
                  <w:tcBorders>
                    <w:tl2br w:val="nil"/>
                    <w:tr2bl w:val="nil"/>
                  </w:tcBorders>
                  <w:noWrap w:val="0"/>
                  <w:vAlign w:val="center"/>
                </w:tcPr>
                <w:p w14:paraId="230DC92A">
                  <w:pPr>
                    <w:widowControl/>
                    <w:spacing w:line="240" w:lineRule="atLeast"/>
                    <w:jc w:val="center"/>
                    <w:rPr>
                      <w:rFonts w:hint="default" w:ascii="Times New Roman" w:hAnsi="Times New Roman" w:cs="Times New Roman"/>
                      <w:color w:val="000000" w:themeColor="text1"/>
                      <w:kern w:val="0"/>
                      <w:sz w:val="21"/>
                      <w:szCs w:val="21"/>
                      <w:u w:val="none"/>
                      <w14:textFill>
                        <w14:solidFill>
                          <w14:schemeClr w14:val="tx1"/>
                        </w14:solidFill>
                      </w14:textFill>
                    </w:rPr>
                  </w:pPr>
                  <w:r>
                    <w:rPr>
                      <w:rFonts w:hint="default" w:ascii="Times New Roman" w:hAnsi="Times New Roman" w:cs="Times New Roman"/>
                      <w:color w:val="000000" w:themeColor="text1"/>
                      <w:kern w:val="0"/>
                      <w:sz w:val="21"/>
                      <w:szCs w:val="21"/>
                      <w:u w:val="none"/>
                      <w14:textFill>
                        <w14:solidFill>
                          <w14:schemeClr w14:val="tx1"/>
                        </w14:solidFill>
                      </w14:textFill>
                    </w:rPr>
                    <w:t>E109°</w:t>
                  </w:r>
                  <w:r>
                    <w:rPr>
                      <w:rFonts w:hint="eastAsia" w:cs="Times New Roman"/>
                      <w:color w:val="000000" w:themeColor="text1"/>
                      <w:kern w:val="0"/>
                      <w:sz w:val="21"/>
                      <w:szCs w:val="21"/>
                      <w:u w:val="none"/>
                      <w:lang w:val="en-US" w:eastAsia="zh-CN"/>
                      <w14:textFill>
                        <w14:solidFill>
                          <w14:schemeClr w14:val="tx1"/>
                        </w14:solidFill>
                      </w14:textFill>
                    </w:rPr>
                    <w:t>68</w:t>
                  </w:r>
                  <w:r>
                    <w:rPr>
                      <w:rFonts w:hint="default" w:ascii="Times New Roman" w:hAnsi="Times New Roman" w:cs="Times New Roman"/>
                      <w:color w:val="000000" w:themeColor="text1"/>
                      <w:kern w:val="0"/>
                      <w:sz w:val="21"/>
                      <w:szCs w:val="21"/>
                      <w:u w:val="none"/>
                      <w14:textFill>
                        <w14:solidFill>
                          <w14:schemeClr w14:val="tx1"/>
                        </w14:solidFill>
                      </w14:textFill>
                    </w:rPr>
                    <w:t>′</w:t>
                  </w:r>
                  <w:r>
                    <w:rPr>
                      <w:rFonts w:hint="eastAsia" w:cs="Times New Roman"/>
                      <w:color w:val="000000" w:themeColor="text1"/>
                      <w:kern w:val="0"/>
                      <w:sz w:val="21"/>
                      <w:szCs w:val="21"/>
                      <w:u w:val="none"/>
                      <w:lang w:val="en-US" w:eastAsia="zh-CN"/>
                      <w14:textFill>
                        <w14:solidFill>
                          <w14:schemeClr w14:val="tx1"/>
                        </w14:solidFill>
                      </w14:textFill>
                    </w:rPr>
                    <w:t>60.504</w:t>
                  </w:r>
                  <w:r>
                    <w:rPr>
                      <w:rFonts w:hint="default" w:ascii="Times New Roman" w:hAnsi="Times New Roman" w:cs="Times New Roman"/>
                      <w:color w:val="000000" w:themeColor="text1"/>
                      <w:kern w:val="0"/>
                      <w:sz w:val="21"/>
                      <w:szCs w:val="21"/>
                      <w:u w:val="none"/>
                      <w14:textFill>
                        <w14:solidFill>
                          <w14:schemeClr w14:val="tx1"/>
                        </w14:solidFill>
                      </w14:textFill>
                    </w:rPr>
                    <w:t xml:space="preserve">″, </w:t>
                  </w:r>
                </w:p>
                <w:p w14:paraId="217551BD">
                  <w:pPr>
                    <w:widowControl/>
                    <w:spacing w:line="240" w:lineRule="atLeast"/>
                    <w:jc w:val="center"/>
                    <w:rPr>
                      <w:rFonts w:hint="default" w:ascii="Times New Roman" w:hAnsi="Times New Roman" w:cs="Times New Roman"/>
                      <w:color w:val="FF0000"/>
                      <w:kern w:val="0"/>
                      <w:sz w:val="21"/>
                      <w:szCs w:val="21"/>
                      <w:u w:val="none"/>
                    </w:rPr>
                  </w:pPr>
                  <w:r>
                    <w:rPr>
                      <w:rFonts w:hint="default" w:ascii="Times New Roman" w:hAnsi="Times New Roman" w:cs="Times New Roman"/>
                      <w:color w:val="000000" w:themeColor="text1"/>
                      <w:kern w:val="0"/>
                      <w:sz w:val="21"/>
                      <w:szCs w:val="21"/>
                      <w:u w:val="none"/>
                      <w14:textFill>
                        <w14:solidFill>
                          <w14:schemeClr w14:val="tx1"/>
                        </w14:solidFill>
                      </w14:textFill>
                    </w:rPr>
                    <w:t>N26°</w:t>
                  </w:r>
                  <w:r>
                    <w:rPr>
                      <w:rFonts w:hint="eastAsia" w:cs="Times New Roman"/>
                      <w:color w:val="000000" w:themeColor="text1"/>
                      <w:kern w:val="0"/>
                      <w:sz w:val="21"/>
                      <w:szCs w:val="21"/>
                      <w:u w:val="none"/>
                      <w:lang w:val="en-US" w:eastAsia="zh-CN"/>
                      <w14:textFill>
                        <w14:solidFill>
                          <w14:schemeClr w14:val="tx1"/>
                        </w14:solidFill>
                      </w14:textFill>
                    </w:rPr>
                    <w:t>14</w:t>
                  </w:r>
                  <w:r>
                    <w:rPr>
                      <w:rFonts w:hint="default" w:ascii="Times New Roman" w:hAnsi="Times New Roman" w:cs="Times New Roman"/>
                      <w:color w:val="000000" w:themeColor="text1"/>
                      <w:kern w:val="0"/>
                      <w:sz w:val="21"/>
                      <w:szCs w:val="21"/>
                      <w:u w:val="none"/>
                      <w14:textFill>
                        <w14:solidFill>
                          <w14:schemeClr w14:val="tx1"/>
                        </w14:solidFill>
                      </w14:textFill>
                    </w:rPr>
                    <w:t>′</w:t>
                  </w:r>
                  <w:r>
                    <w:rPr>
                      <w:rFonts w:hint="eastAsia" w:cs="Times New Roman"/>
                      <w:color w:val="000000" w:themeColor="text1"/>
                      <w:kern w:val="0"/>
                      <w:sz w:val="21"/>
                      <w:szCs w:val="21"/>
                      <w:u w:val="none"/>
                      <w:lang w:val="en-US" w:eastAsia="zh-CN"/>
                      <w14:textFill>
                        <w14:solidFill>
                          <w14:schemeClr w14:val="tx1"/>
                        </w14:solidFill>
                      </w14:textFill>
                    </w:rPr>
                    <w:t>08.618</w:t>
                  </w:r>
                  <w:r>
                    <w:rPr>
                      <w:rFonts w:hint="default" w:ascii="Times New Roman" w:hAnsi="Times New Roman" w:cs="Times New Roman"/>
                      <w:color w:val="000000" w:themeColor="text1"/>
                      <w:kern w:val="0"/>
                      <w:sz w:val="21"/>
                      <w:szCs w:val="21"/>
                      <w:u w:val="none"/>
                      <w14:textFill>
                        <w14:solidFill>
                          <w14:schemeClr w14:val="tx1"/>
                        </w14:solidFill>
                      </w14:textFill>
                    </w:rPr>
                    <w:t>″；H：</w:t>
                  </w:r>
                  <w:r>
                    <w:rPr>
                      <w:rFonts w:hint="eastAsia" w:cs="Times New Roman"/>
                      <w:color w:val="000000" w:themeColor="text1"/>
                      <w:kern w:val="0"/>
                      <w:sz w:val="21"/>
                      <w:szCs w:val="21"/>
                      <w:u w:val="none"/>
                      <w:lang w:val="en-US" w:eastAsia="zh-CN"/>
                      <w14:textFill>
                        <w14:solidFill>
                          <w14:schemeClr w14:val="tx1"/>
                        </w14:solidFill>
                      </w14:textFill>
                    </w:rPr>
                    <w:t>940</w:t>
                  </w:r>
                  <w:r>
                    <w:rPr>
                      <w:rFonts w:hint="default" w:ascii="Times New Roman" w:hAnsi="Times New Roman" w:cs="Times New Roman"/>
                      <w:color w:val="000000" w:themeColor="text1"/>
                      <w:kern w:val="0"/>
                      <w:sz w:val="21"/>
                      <w:szCs w:val="21"/>
                      <w:u w:val="none"/>
                      <w14:textFill>
                        <w14:solidFill>
                          <w14:schemeClr w14:val="tx1"/>
                        </w14:solidFill>
                      </w14:textFill>
                    </w:rPr>
                    <w:t>m</w:t>
                  </w:r>
                </w:p>
              </w:tc>
              <w:tc>
                <w:tcPr>
                  <w:tcW w:w="2447" w:type="dxa"/>
                  <w:tcBorders>
                    <w:tl2br w:val="nil"/>
                    <w:tr2bl w:val="nil"/>
                  </w:tcBorders>
                  <w:noWrap w:val="0"/>
                  <w:vAlign w:val="center"/>
                </w:tcPr>
                <w:p w14:paraId="48A8AC5B">
                  <w:pPr>
                    <w:spacing w:line="240" w:lineRule="auto"/>
                    <w:jc w:val="left"/>
                    <w:rPr>
                      <w:rFonts w:hint="eastAsia"/>
                      <w:color w:val="FF0000"/>
                      <w:sz w:val="21"/>
                      <w:szCs w:val="21"/>
                      <w:u w:val="none"/>
                    </w:rPr>
                  </w:pPr>
                  <w:r>
                    <w:rPr>
                      <w:rFonts w:hint="eastAsia"/>
                      <w:color w:val="000000" w:themeColor="text1"/>
                      <w:sz w:val="21"/>
                      <w:szCs w:val="21"/>
                      <w:u w:val="none"/>
                      <w:lang w:val="en-US" w:eastAsia="zh-CN"/>
                      <w14:textFill>
                        <w14:solidFill>
                          <w14:schemeClr w14:val="tx1"/>
                        </w14:solidFill>
                      </w14:textFill>
                    </w:rPr>
                    <w:t>8号风机位北</w:t>
                  </w:r>
                  <w:r>
                    <w:rPr>
                      <w:rFonts w:hint="eastAsia"/>
                      <w:color w:val="000000" w:themeColor="text1"/>
                      <w:sz w:val="21"/>
                      <w:szCs w:val="21"/>
                      <w:u w:val="none"/>
                      <w14:textFill>
                        <w14:solidFill>
                          <w14:schemeClr w14:val="tx1"/>
                        </w14:solidFill>
                      </w14:textFill>
                    </w:rPr>
                    <w:t>侧，最近直线距离约</w:t>
                  </w:r>
                  <w:r>
                    <w:rPr>
                      <w:rFonts w:hint="eastAsia"/>
                      <w:color w:val="000000" w:themeColor="text1"/>
                      <w:sz w:val="21"/>
                      <w:szCs w:val="21"/>
                      <w:u w:val="none"/>
                      <w:lang w:val="en-US" w:eastAsia="zh-CN"/>
                      <w14:textFill>
                        <w14:solidFill>
                          <w14:schemeClr w14:val="tx1"/>
                        </w14:solidFill>
                      </w14:textFill>
                    </w:rPr>
                    <w:t>740</w:t>
                  </w:r>
                  <w:r>
                    <w:rPr>
                      <w:rFonts w:hint="eastAsia"/>
                      <w:color w:val="000000" w:themeColor="text1"/>
                      <w:sz w:val="21"/>
                      <w:szCs w:val="21"/>
                      <w:u w:val="none"/>
                      <w14:textFill>
                        <w14:solidFill>
                          <w14:schemeClr w14:val="tx1"/>
                        </w14:solidFill>
                      </w14:textFill>
                    </w:rPr>
                    <w:t>m</w:t>
                  </w:r>
                </w:p>
              </w:tc>
            </w:tr>
          </w:tbl>
          <w:p w14:paraId="0298E46F">
            <w:pPr>
              <w:pStyle w:val="4"/>
              <w:numPr>
                <w:ilvl w:val="0"/>
                <w:numId w:val="0"/>
              </w:numPr>
              <w:ind w:firstLine="482" w:firstLineChars="200"/>
              <w:rPr>
                <w:color w:val="000000" w:themeColor="text1"/>
                <w:highlight w:val="none"/>
                <w:u w:val="none"/>
                <w14:textFill>
                  <w14:solidFill>
                    <w14:schemeClr w14:val="tx1"/>
                  </w14:solidFill>
                </w14:textFill>
              </w:rPr>
            </w:pPr>
            <w:r>
              <w:rPr>
                <w:rFonts w:hint="eastAsia"/>
                <w:color w:val="000000" w:themeColor="text1"/>
                <w:highlight w:val="none"/>
                <w:u w:val="none"/>
                <w14:textFill>
                  <w14:solidFill>
                    <w14:schemeClr w14:val="tx1"/>
                  </w14:solidFill>
                </w14:textFill>
              </w:rPr>
              <w:t>3.5.</w:t>
            </w:r>
            <w:r>
              <w:rPr>
                <w:rFonts w:hint="eastAsia"/>
                <w:color w:val="000000" w:themeColor="text1"/>
                <w:highlight w:val="none"/>
                <w:u w:val="none"/>
                <w:lang w:val="en-US" w:eastAsia="zh-CN"/>
                <w14:textFill>
                  <w14:solidFill>
                    <w14:schemeClr w14:val="tx1"/>
                  </w14:solidFill>
                </w14:textFill>
              </w:rPr>
              <w:t>4</w:t>
            </w:r>
            <w:r>
              <w:rPr>
                <w:rFonts w:hint="eastAsia"/>
                <w:color w:val="000000" w:themeColor="text1"/>
                <w:highlight w:val="none"/>
                <w:u w:val="none"/>
                <w14:textFill>
                  <w14:solidFill>
                    <w14:schemeClr w14:val="tx1"/>
                  </w14:solidFill>
                </w14:textFill>
              </w:rPr>
              <w:t xml:space="preserve"> </w:t>
            </w:r>
            <w:r>
              <w:rPr>
                <w:color w:val="000000" w:themeColor="text1"/>
                <w:highlight w:val="none"/>
                <w:u w:val="none"/>
                <w14:textFill>
                  <w14:solidFill>
                    <w14:schemeClr w14:val="tx1"/>
                  </w14:solidFill>
                </w14:textFill>
              </w:rPr>
              <w:t>鸟类</w:t>
            </w:r>
          </w:p>
          <w:p w14:paraId="2A02A422">
            <w:pPr>
              <w:spacing w:line="360" w:lineRule="auto"/>
              <w:ind w:firstLine="420"/>
              <w:rPr>
                <w:rFonts w:hint="eastAsia"/>
                <w:color w:val="000000" w:themeColor="text1"/>
                <w:highlight w:val="none"/>
                <w:u w:val="none"/>
                <w14:textFill>
                  <w14:solidFill>
                    <w14:schemeClr w14:val="tx1"/>
                  </w14:solidFill>
                </w14:textFill>
              </w:rPr>
            </w:pPr>
            <w:r>
              <w:rPr>
                <w:rFonts w:hint="eastAsia"/>
                <w:color w:val="000000" w:themeColor="text1"/>
                <w:highlight w:val="none"/>
                <w:u w:val="none"/>
                <w14:textFill>
                  <w14:solidFill>
                    <w14:schemeClr w14:val="tx1"/>
                  </w14:solidFill>
                </w14:textFill>
              </w:rPr>
              <w:t>（1）物种组成</w:t>
            </w:r>
          </w:p>
          <w:p w14:paraId="5A936F72">
            <w:pPr>
              <w:spacing w:line="360" w:lineRule="auto"/>
              <w:ind w:firstLine="420"/>
              <w:rPr>
                <w:color w:val="000000" w:themeColor="text1"/>
                <w:sz w:val="24"/>
                <w:szCs w:val="24"/>
                <w:u w:val="none"/>
                <w14:textFill>
                  <w14:solidFill>
                    <w14:schemeClr w14:val="tx1"/>
                  </w14:solidFill>
                </w14:textFill>
              </w:rPr>
            </w:pPr>
            <w:r>
              <w:rPr>
                <w:rFonts w:hint="eastAsia"/>
                <w:color w:val="000000" w:themeColor="text1"/>
                <w:highlight w:val="none"/>
                <w:u w:val="none"/>
                <w14:textFill>
                  <w14:solidFill>
                    <w14:schemeClr w14:val="tx1"/>
                  </w14:solidFill>
                </w14:textFill>
              </w:rPr>
              <w:t>本报告鸟类的分类系统依据《中国鸟类分类与分布名录（第三版）》（郑光美，2017年）</w:t>
            </w:r>
            <w:r>
              <w:rPr>
                <w:rFonts w:hint="eastAsia"/>
                <w:color w:val="000000" w:themeColor="text1"/>
                <w:highlight w:val="none"/>
                <w:u w:val="none"/>
                <w:lang w:eastAsia="zh-CN"/>
                <w14:textFill>
                  <w14:solidFill>
                    <w14:schemeClr w14:val="tx1"/>
                  </w14:solidFill>
                </w14:textFill>
              </w:rPr>
              <w:t>。</w:t>
            </w:r>
            <w:r>
              <w:rPr>
                <w:rFonts w:hint="eastAsia"/>
                <w:color w:val="000000" w:themeColor="text1"/>
                <w:sz w:val="24"/>
                <w:szCs w:val="24"/>
                <w:u w:val="none"/>
                <w14:textFill>
                  <w14:solidFill>
                    <w14:schemeClr w14:val="tx1"/>
                  </w14:solidFill>
                </w14:textFill>
              </w:rPr>
              <w:t>评价区内鸟类共有</w:t>
            </w:r>
            <w:r>
              <w:rPr>
                <w:rFonts w:hint="eastAsia"/>
                <w:color w:val="000000" w:themeColor="text1"/>
                <w:sz w:val="24"/>
                <w:szCs w:val="24"/>
                <w:u w:val="none"/>
                <w:lang w:val="en-US" w:eastAsia="zh-CN"/>
                <w14:textFill>
                  <w14:solidFill>
                    <w14:schemeClr w14:val="tx1"/>
                  </w14:solidFill>
                </w14:textFill>
              </w:rPr>
              <w:t>8</w:t>
            </w:r>
            <w:r>
              <w:rPr>
                <w:rFonts w:hint="eastAsia"/>
                <w:color w:val="000000" w:themeColor="text1"/>
                <w:sz w:val="24"/>
                <w:szCs w:val="24"/>
                <w:u w:val="none"/>
                <w14:textFill>
                  <w14:solidFill>
                    <w14:schemeClr w14:val="tx1"/>
                  </w14:solidFill>
                </w14:textFill>
              </w:rPr>
              <w:t>目</w:t>
            </w:r>
            <w:r>
              <w:rPr>
                <w:rFonts w:hint="eastAsia"/>
                <w:color w:val="000000" w:themeColor="text1"/>
                <w:sz w:val="24"/>
                <w:szCs w:val="24"/>
                <w:u w:val="none"/>
                <w:lang w:val="en-US" w:eastAsia="zh-CN"/>
                <w14:textFill>
                  <w14:solidFill>
                    <w14:schemeClr w14:val="tx1"/>
                  </w14:solidFill>
                </w14:textFill>
              </w:rPr>
              <w:t>15</w:t>
            </w:r>
            <w:r>
              <w:rPr>
                <w:rFonts w:hint="eastAsia"/>
                <w:color w:val="000000" w:themeColor="text1"/>
                <w:sz w:val="24"/>
                <w:szCs w:val="24"/>
                <w:u w:val="none"/>
                <w14:textFill>
                  <w14:solidFill>
                    <w14:schemeClr w14:val="tx1"/>
                  </w14:solidFill>
                </w14:textFill>
              </w:rPr>
              <w:t>科</w:t>
            </w:r>
            <w:r>
              <w:rPr>
                <w:rFonts w:hint="eastAsia"/>
                <w:color w:val="000000" w:themeColor="text1"/>
                <w:sz w:val="24"/>
                <w:szCs w:val="24"/>
                <w:u w:val="none"/>
                <w:lang w:val="en-US" w:eastAsia="zh-CN"/>
                <w14:textFill>
                  <w14:solidFill>
                    <w14:schemeClr w14:val="tx1"/>
                  </w14:solidFill>
                </w14:textFill>
              </w:rPr>
              <w:t>30</w:t>
            </w:r>
            <w:r>
              <w:rPr>
                <w:rFonts w:hint="eastAsia"/>
                <w:color w:val="000000" w:themeColor="text1"/>
                <w:sz w:val="24"/>
                <w:szCs w:val="24"/>
                <w:u w:val="none"/>
                <w14:textFill>
                  <w14:solidFill>
                    <w14:schemeClr w14:val="tx1"/>
                  </w14:solidFill>
                </w14:textFill>
              </w:rPr>
              <w:t>种，以目统计，雀形目的种类最多，占绝大多数。</w:t>
            </w:r>
          </w:p>
          <w:p w14:paraId="368EF557">
            <w:pPr>
              <w:widowControl/>
              <w:ind w:firstLine="480" w:firstLineChars="200"/>
              <w:jc w:val="left"/>
              <w:rPr>
                <w:b w:val="0"/>
                <w:bCs/>
                <w:color w:val="000000" w:themeColor="text1"/>
                <w:sz w:val="24"/>
                <w:szCs w:val="24"/>
                <w:u w:val="none"/>
                <w14:textFill>
                  <w14:solidFill>
                    <w14:schemeClr w14:val="tx1"/>
                  </w14:solidFill>
                </w14:textFill>
              </w:rPr>
            </w:pPr>
            <w:r>
              <w:rPr>
                <w:rFonts w:hint="eastAsia"/>
                <w:b w:val="0"/>
                <w:bCs/>
                <w:color w:val="000000" w:themeColor="text1"/>
                <w:sz w:val="24"/>
                <w:szCs w:val="24"/>
                <w:u w:val="none"/>
                <w:lang w:eastAsia="zh-CN"/>
                <w14:textFill>
                  <w14:solidFill>
                    <w14:schemeClr w14:val="tx1"/>
                  </w14:solidFill>
                </w14:textFill>
              </w:rPr>
              <w:t>（</w:t>
            </w:r>
            <w:r>
              <w:rPr>
                <w:rFonts w:hint="eastAsia"/>
                <w:b w:val="0"/>
                <w:bCs/>
                <w:color w:val="000000" w:themeColor="text1"/>
                <w:sz w:val="24"/>
                <w:szCs w:val="24"/>
                <w:u w:val="none"/>
                <w:lang w:val="en-US" w:eastAsia="zh-CN"/>
                <w14:textFill>
                  <w14:solidFill>
                    <w14:schemeClr w14:val="tx1"/>
                  </w14:solidFill>
                </w14:textFill>
              </w:rPr>
              <w:t>2）</w:t>
            </w:r>
            <w:r>
              <w:rPr>
                <w:rFonts w:hint="eastAsia"/>
                <w:b w:val="0"/>
                <w:bCs/>
                <w:color w:val="000000" w:themeColor="text1"/>
                <w:sz w:val="24"/>
                <w:szCs w:val="24"/>
                <w:u w:val="none"/>
                <w14:textFill>
                  <w14:solidFill>
                    <w14:schemeClr w14:val="tx1"/>
                  </w14:solidFill>
                </w14:textFill>
              </w:rPr>
              <w:t>居留型</w:t>
            </w:r>
          </w:p>
          <w:p w14:paraId="4A83ED2C">
            <w:pPr>
              <w:widowControl/>
              <w:ind w:firstLine="480"/>
              <w:jc w:val="left"/>
              <w:rPr>
                <w:color w:val="000000" w:themeColor="text1"/>
                <w:sz w:val="24"/>
                <w:szCs w:val="24"/>
                <w:u w:val="none"/>
                <w14:textFill>
                  <w14:solidFill>
                    <w14:schemeClr w14:val="tx1"/>
                  </w14:solidFill>
                </w14:textFill>
              </w:rPr>
            </w:pPr>
            <w:r>
              <w:rPr>
                <w:rFonts w:hint="eastAsia"/>
                <w:color w:val="000000" w:themeColor="text1"/>
                <w:sz w:val="24"/>
                <w:szCs w:val="24"/>
                <w:u w:val="none"/>
                <w14:textFill>
                  <w14:solidFill>
                    <w14:schemeClr w14:val="tx1"/>
                  </w14:solidFill>
                </w14:textFill>
              </w:rPr>
              <w:t>按居留型划分，评价区有留鸟</w:t>
            </w:r>
            <w:r>
              <w:rPr>
                <w:rFonts w:hint="eastAsia"/>
                <w:color w:val="000000" w:themeColor="text1"/>
                <w:sz w:val="24"/>
                <w:szCs w:val="24"/>
                <w:u w:val="none"/>
                <w:lang w:val="en-US" w:eastAsia="zh-CN"/>
                <w14:textFill>
                  <w14:solidFill>
                    <w14:schemeClr w14:val="tx1"/>
                  </w14:solidFill>
                </w14:textFill>
              </w:rPr>
              <w:t>21</w:t>
            </w:r>
            <w:r>
              <w:rPr>
                <w:rFonts w:hint="eastAsia"/>
                <w:color w:val="000000" w:themeColor="text1"/>
                <w:sz w:val="24"/>
                <w:szCs w:val="24"/>
                <w:u w:val="none"/>
                <w14:textFill>
                  <w14:solidFill>
                    <w14:schemeClr w14:val="tx1"/>
                  </w14:solidFill>
                </w14:textFill>
              </w:rPr>
              <w:t>种，夏候鸟</w:t>
            </w:r>
            <w:r>
              <w:rPr>
                <w:rFonts w:hint="eastAsia"/>
                <w:color w:val="000000" w:themeColor="text1"/>
                <w:sz w:val="24"/>
                <w:szCs w:val="24"/>
                <w:u w:val="none"/>
                <w:lang w:val="en-US" w:eastAsia="zh-CN"/>
                <w14:textFill>
                  <w14:solidFill>
                    <w14:schemeClr w14:val="tx1"/>
                  </w14:solidFill>
                </w14:textFill>
              </w:rPr>
              <w:t>6</w:t>
            </w:r>
            <w:r>
              <w:rPr>
                <w:rFonts w:hint="eastAsia"/>
                <w:color w:val="000000" w:themeColor="text1"/>
                <w:sz w:val="24"/>
                <w:szCs w:val="24"/>
                <w:u w:val="none"/>
                <w14:textFill>
                  <w14:solidFill>
                    <w14:schemeClr w14:val="tx1"/>
                  </w14:solidFill>
                </w14:textFill>
              </w:rPr>
              <w:t>种，冬候</w:t>
            </w:r>
            <w:r>
              <w:rPr>
                <w:rFonts w:hint="eastAsia"/>
                <w:color w:val="000000" w:themeColor="text1"/>
                <w:sz w:val="24"/>
                <w:szCs w:val="24"/>
                <w:u w:val="none"/>
                <w:lang w:val="en-US" w:eastAsia="zh-CN"/>
                <w14:textFill>
                  <w14:solidFill>
                    <w14:schemeClr w14:val="tx1"/>
                  </w14:solidFill>
                </w14:textFill>
              </w:rPr>
              <w:t>3</w:t>
            </w:r>
            <w:r>
              <w:rPr>
                <w:rFonts w:hint="eastAsia"/>
                <w:color w:val="000000" w:themeColor="text1"/>
                <w:sz w:val="24"/>
                <w:szCs w:val="24"/>
                <w:u w:val="none"/>
                <w14:textFill>
                  <w14:solidFill>
                    <w14:schemeClr w14:val="tx1"/>
                  </w14:solidFill>
                </w14:textFill>
              </w:rPr>
              <w:t>种，以留鸟占优势。</w:t>
            </w:r>
          </w:p>
          <w:p w14:paraId="76C27965">
            <w:pPr>
              <w:widowControl/>
              <w:ind w:firstLine="480" w:firstLineChars="200"/>
              <w:jc w:val="left"/>
              <w:rPr>
                <w:b w:val="0"/>
                <w:bCs/>
                <w:color w:val="000000" w:themeColor="text1"/>
                <w:sz w:val="24"/>
                <w:szCs w:val="24"/>
                <w:u w:val="none"/>
                <w14:textFill>
                  <w14:solidFill>
                    <w14:schemeClr w14:val="tx1"/>
                  </w14:solidFill>
                </w14:textFill>
              </w:rPr>
            </w:pPr>
            <w:r>
              <w:rPr>
                <w:rFonts w:hint="eastAsia"/>
                <w:b w:val="0"/>
                <w:bCs/>
                <w:color w:val="000000" w:themeColor="text1"/>
                <w:sz w:val="24"/>
                <w:szCs w:val="24"/>
                <w:u w:val="none"/>
                <w:lang w:eastAsia="zh-CN"/>
                <w14:textFill>
                  <w14:solidFill>
                    <w14:schemeClr w14:val="tx1"/>
                  </w14:solidFill>
                </w14:textFill>
              </w:rPr>
              <w:t>（</w:t>
            </w:r>
            <w:r>
              <w:rPr>
                <w:rFonts w:hint="eastAsia"/>
                <w:b w:val="0"/>
                <w:bCs/>
                <w:color w:val="000000" w:themeColor="text1"/>
                <w:sz w:val="24"/>
                <w:szCs w:val="24"/>
                <w:u w:val="none"/>
                <w:lang w:val="en-US" w:eastAsia="zh-CN"/>
                <w14:textFill>
                  <w14:solidFill>
                    <w14:schemeClr w14:val="tx1"/>
                  </w14:solidFill>
                </w14:textFill>
              </w:rPr>
              <w:t>3）</w:t>
            </w:r>
            <w:r>
              <w:rPr>
                <w:rFonts w:hint="eastAsia"/>
                <w:b w:val="0"/>
                <w:bCs/>
                <w:color w:val="000000" w:themeColor="text1"/>
                <w:sz w:val="24"/>
                <w:szCs w:val="24"/>
                <w:u w:val="none"/>
                <w14:textFill>
                  <w14:solidFill>
                    <w14:schemeClr w14:val="tx1"/>
                  </w14:solidFill>
                </w14:textFill>
              </w:rPr>
              <w:t>区系类型</w:t>
            </w:r>
          </w:p>
          <w:p w14:paraId="55563D84">
            <w:pPr>
              <w:widowControl/>
              <w:ind w:firstLine="480" w:firstLineChars="200"/>
              <w:jc w:val="left"/>
              <w:rPr>
                <w:bCs/>
                <w:color w:val="000000" w:themeColor="text1"/>
                <w:sz w:val="24"/>
                <w:szCs w:val="24"/>
                <w:u w:val="none"/>
                <w14:textFill>
                  <w14:solidFill>
                    <w14:schemeClr w14:val="tx1"/>
                  </w14:solidFill>
                </w14:textFill>
              </w:rPr>
            </w:pPr>
            <w:r>
              <w:rPr>
                <w:rFonts w:hint="eastAsia"/>
                <w:bCs/>
                <w:color w:val="000000" w:themeColor="text1"/>
                <w:sz w:val="24"/>
                <w:szCs w:val="24"/>
                <w:u w:val="none"/>
                <w14:textFill>
                  <w14:solidFill>
                    <w14:schemeClr w14:val="tx1"/>
                  </w14:solidFill>
                </w14:textFill>
              </w:rPr>
              <w:t>按区系类型划分，将评价区</w:t>
            </w:r>
            <w:r>
              <w:rPr>
                <w:rFonts w:hint="eastAsia"/>
                <w:bCs/>
                <w:color w:val="000000" w:themeColor="text1"/>
                <w:sz w:val="24"/>
                <w:szCs w:val="24"/>
                <w:u w:val="none"/>
                <w:lang w:val="en-US" w:eastAsia="zh-CN"/>
                <w14:textFill>
                  <w14:solidFill>
                    <w14:schemeClr w14:val="tx1"/>
                  </w14:solidFill>
                </w14:textFill>
              </w:rPr>
              <w:t>27</w:t>
            </w:r>
            <w:r>
              <w:rPr>
                <w:rFonts w:hint="eastAsia"/>
                <w:bCs/>
                <w:color w:val="000000" w:themeColor="text1"/>
                <w:sz w:val="24"/>
                <w:szCs w:val="24"/>
                <w:u w:val="none"/>
                <w14:textFill>
                  <w14:solidFill>
                    <w14:schemeClr w14:val="tx1"/>
                  </w14:solidFill>
                </w14:textFill>
              </w:rPr>
              <w:t>种繁殖鸟（留鸟和夏候鸟）分为</w:t>
            </w:r>
            <w:r>
              <w:rPr>
                <w:bCs/>
                <w:color w:val="000000" w:themeColor="text1"/>
                <w:sz w:val="24"/>
                <w:szCs w:val="24"/>
                <w:u w:val="none"/>
                <w14:textFill>
                  <w14:solidFill>
                    <w14:schemeClr w14:val="tx1"/>
                  </w14:solidFill>
                </w14:textFill>
              </w:rPr>
              <w:t>3</w:t>
            </w:r>
            <w:r>
              <w:rPr>
                <w:rFonts w:hint="eastAsia"/>
                <w:bCs/>
                <w:color w:val="000000" w:themeColor="text1"/>
                <w:sz w:val="24"/>
                <w:szCs w:val="24"/>
                <w:u w:val="none"/>
                <w14:textFill>
                  <w14:solidFill>
                    <w14:schemeClr w14:val="tx1"/>
                  </w14:solidFill>
                </w14:textFill>
              </w:rPr>
              <w:t>种区系类型：东洋种1</w:t>
            </w:r>
            <w:r>
              <w:rPr>
                <w:rFonts w:hint="eastAsia"/>
                <w:bCs/>
                <w:color w:val="000000" w:themeColor="text1"/>
                <w:sz w:val="24"/>
                <w:szCs w:val="24"/>
                <w:u w:val="none"/>
                <w:lang w:val="en-US" w:eastAsia="zh-CN"/>
                <w14:textFill>
                  <w14:solidFill>
                    <w14:schemeClr w14:val="tx1"/>
                  </w14:solidFill>
                </w14:textFill>
              </w:rPr>
              <w:t>2</w:t>
            </w:r>
            <w:r>
              <w:rPr>
                <w:rFonts w:hint="eastAsia"/>
                <w:bCs/>
                <w:color w:val="000000" w:themeColor="text1"/>
                <w:sz w:val="24"/>
                <w:szCs w:val="24"/>
                <w:u w:val="none"/>
                <w14:textFill>
                  <w14:solidFill>
                    <w14:schemeClr w14:val="tx1"/>
                  </w14:solidFill>
                </w14:textFill>
              </w:rPr>
              <w:t>种，占</w:t>
            </w:r>
            <w:r>
              <w:rPr>
                <w:rFonts w:hint="eastAsia"/>
                <w:bCs/>
                <w:color w:val="000000" w:themeColor="text1"/>
                <w:sz w:val="24"/>
                <w:szCs w:val="24"/>
                <w:u w:val="none"/>
                <w:lang w:val="en-US" w:eastAsia="zh-CN"/>
                <w14:textFill>
                  <w14:solidFill>
                    <w14:schemeClr w14:val="tx1"/>
                  </w14:solidFill>
                </w14:textFill>
              </w:rPr>
              <w:t>44</w:t>
            </w:r>
            <w:r>
              <w:rPr>
                <w:bCs/>
                <w:color w:val="000000" w:themeColor="text1"/>
                <w:sz w:val="24"/>
                <w:szCs w:val="24"/>
                <w:u w:val="none"/>
                <w14:textFill>
                  <w14:solidFill>
                    <w14:schemeClr w14:val="tx1"/>
                  </w14:solidFill>
                </w14:textFill>
              </w:rPr>
              <w:t>%</w:t>
            </w:r>
            <w:r>
              <w:rPr>
                <w:rFonts w:hint="eastAsia"/>
                <w:bCs/>
                <w:color w:val="000000" w:themeColor="text1"/>
                <w:sz w:val="24"/>
                <w:szCs w:val="24"/>
                <w:u w:val="none"/>
                <w14:textFill>
                  <w14:solidFill>
                    <w14:schemeClr w14:val="tx1"/>
                  </w14:solidFill>
                </w14:textFill>
              </w:rPr>
              <w:t>；广布种</w:t>
            </w:r>
            <w:r>
              <w:rPr>
                <w:rFonts w:hint="eastAsia"/>
                <w:bCs/>
                <w:color w:val="000000" w:themeColor="text1"/>
                <w:sz w:val="24"/>
                <w:szCs w:val="24"/>
                <w:u w:val="none"/>
                <w:lang w:val="en-US" w:eastAsia="zh-CN"/>
                <w14:textFill>
                  <w14:solidFill>
                    <w14:schemeClr w14:val="tx1"/>
                  </w14:solidFill>
                </w14:textFill>
              </w:rPr>
              <w:t>10</w:t>
            </w:r>
            <w:r>
              <w:rPr>
                <w:rFonts w:hint="eastAsia"/>
                <w:bCs/>
                <w:color w:val="000000" w:themeColor="text1"/>
                <w:sz w:val="24"/>
                <w:szCs w:val="24"/>
                <w:u w:val="none"/>
                <w14:textFill>
                  <w14:solidFill>
                    <w14:schemeClr w14:val="tx1"/>
                  </w14:solidFill>
                </w14:textFill>
              </w:rPr>
              <w:t>种，占</w:t>
            </w:r>
            <w:r>
              <w:rPr>
                <w:rFonts w:hint="eastAsia"/>
                <w:bCs/>
                <w:color w:val="000000" w:themeColor="text1"/>
                <w:sz w:val="24"/>
                <w:szCs w:val="24"/>
                <w:u w:val="none"/>
                <w:lang w:val="en-US" w:eastAsia="zh-CN"/>
                <w14:textFill>
                  <w14:solidFill>
                    <w14:schemeClr w14:val="tx1"/>
                  </w14:solidFill>
                </w14:textFill>
              </w:rPr>
              <w:t>27</w:t>
            </w:r>
            <w:r>
              <w:rPr>
                <w:bCs/>
                <w:color w:val="000000" w:themeColor="text1"/>
                <w:sz w:val="24"/>
                <w:szCs w:val="24"/>
                <w:u w:val="none"/>
                <w14:textFill>
                  <w14:solidFill>
                    <w14:schemeClr w14:val="tx1"/>
                  </w14:solidFill>
                </w14:textFill>
              </w:rPr>
              <w:t>%</w:t>
            </w:r>
            <w:r>
              <w:rPr>
                <w:rFonts w:hint="eastAsia"/>
                <w:bCs/>
                <w:color w:val="000000" w:themeColor="text1"/>
                <w:sz w:val="24"/>
                <w:szCs w:val="24"/>
                <w:u w:val="none"/>
                <w14:textFill>
                  <w14:solidFill>
                    <w14:schemeClr w14:val="tx1"/>
                  </w14:solidFill>
                </w14:textFill>
              </w:rPr>
              <w:t>；古北种</w:t>
            </w:r>
            <w:r>
              <w:rPr>
                <w:rFonts w:hint="eastAsia"/>
                <w:bCs/>
                <w:color w:val="000000" w:themeColor="text1"/>
                <w:sz w:val="24"/>
                <w:szCs w:val="24"/>
                <w:u w:val="none"/>
                <w:lang w:val="en-US" w:eastAsia="zh-CN"/>
                <w14:textFill>
                  <w14:solidFill>
                    <w14:schemeClr w14:val="tx1"/>
                  </w14:solidFill>
                </w14:textFill>
              </w:rPr>
              <w:t>5</w:t>
            </w:r>
            <w:r>
              <w:rPr>
                <w:rFonts w:hint="eastAsia"/>
                <w:bCs/>
                <w:color w:val="000000" w:themeColor="text1"/>
                <w:sz w:val="24"/>
                <w:szCs w:val="24"/>
                <w:u w:val="none"/>
                <w14:textFill>
                  <w14:solidFill>
                    <w14:schemeClr w14:val="tx1"/>
                  </w14:solidFill>
                </w14:textFill>
              </w:rPr>
              <w:t>种，占</w:t>
            </w:r>
            <w:r>
              <w:rPr>
                <w:rFonts w:hint="eastAsia"/>
                <w:bCs/>
                <w:color w:val="000000" w:themeColor="text1"/>
                <w:sz w:val="24"/>
                <w:szCs w:val="24"/>
                <w:u w:val="none"/>
                <w:lang w:val="en-US" w:eastAsia="zh-CN"/>
                <w14:textFill>
                  <w14:solidFill>
                    <w14:schemeClr w14:val="tx1"/>
                  </w14:solidFill>
                </w14:textFill>
              </w:rPr>
              <w:t>19</w:t>
            </w:r>
            <w:r>
              <w:rPr>
                <w:bCs/>
                <w:color w:val="000000" w:themeColor="text1"/>
                <w:sz w:val="24"/>
                <w:szCs w:val="24"/>
                <w:u w:val="none"/>
                <w14:textFill>
                  <w14:solidFill>
                    <w14:schemeClr w14:val="tx1"/>
                  </w14:solidFill>
                </w14:textFill>
              </w:rPr>
              <w:t>%</w:t>
            </w:r>
            <w:r>
              <w:rPr>
                <w:rFonts w:hint="eastAsia"/>
                <w:bCs/>
                <w:color w:val="000000" w:themeColor="text1"/>
                <w:sz w:val="24"/>
                <w:szCs w:val="24"/>
                <w:u w:val="none"/>
                <w14:textFill>
                  <w14:solidFill>
                    <w14:schemeClr w14:val="tx1"/>
                  </w14:solidFill>
                </w14:textFill>
              </w:rPr>
              <w:t>。以东洋种占优势。</w:t>
            </w:r>
          </w:p>
          <w:p w14:paraId="6C4A6ADE">
            <w:pPr>
              <w:widowControl/>
              <w:ind w:firstLine="482"/>
              <w:jc w:val="left"/>
              <w:rPr>
                <w:b w:val="0"/>
                <w:bCs/>
                <w:color w:val="000000" w:themeColor="text1"/>
                <w:sz w:val="24"/>
                <w:szCs w:val="24"/>
                <w:u w:val="none"/>
                <w14:textFill>
                  <w14:solidFill>
                    <w14:schemeClr w14:val="tx1"/>
                  </w14:solidFill>
                </w14:textFill>
              </w:rPr>
            </w:pPr>
            <w:r>
              <w:rPr>
                <w:rFonts w:hint="eastAsia"/>
                <w:b w:val="0"/>
                <w:bCs/>
                <w:color w:val="000000" w:themeColor="text1"/>
                <w:sz w:val="24"/>
                <w:szCs w:val="24"/>
                <w:u w:val="none"/>
                <w:lang w:eastAsia="zh-CN"/>
                <w14:textFill>
                  <w14:solidFill>
                    <w14:schemeClr w14:val="tx1"/>
                  </w14:solidFill>
                </w14:textFill>
              </w:rPr>
              <w:t>（</w:t>
            </w:r>
            <w:r>
              <w:rPr>
                <w:rFonts w:hint="eastAsia"/>
                <w:b w:val="0"/>
                <w:bCs/>
                <w:color w:val="000000" w:themeColor="text1"/>
                <w:sz w:val="24"/>
                <w:szCs w:val="24"/>
                <w:u w:val="none"/>
                <w:lang w:val="en-US" w:eastAsia="zh-CN"/>
                <w14:textFill>
                  <w14:solidFill>
                    <w14:schemeClr w14:val="tx1"/>
                  </w14:solidFill>
                </w14:textFill>
              </w:rPr>
              <w:t>4）</w:t>
            </w:r>
            <w:r>
              <w:rPr>
                <w:rFonts w:hint="eastAsia"/>
                <w:b w:val="0"/>
                <w:bCs/>
                <w:color w:val="000000" w:themeColor="text1"/>
                <w:sz w:val="24"/>
                <w:szCs w:val="24"/>
                <w:u w:val="none"/>
                <w14:textFill>
                  <w14:solidFill>
                    <w14:schemeClr w14:val="tx1"/>
                  </w14:solidFill>
                </w14:textFill>
              </w:rPr>
              <w:t>生态类型及分布</w:t>
            </w:r>
          </w:p>
          <w:p w14:paraId="417A9EF2">
            <w:pPr>
              <w:widowControl/>
              <w:ind w:firstLine="480" w:firstLineChars="200"/>
              <w:jc w:val="left"/>
              <w:rPr>
                <w:color w:val="000000" w:themeColor="text1"/>
                <w:sz w:val="24"/>
                <w:szCs w:val="24"/>
                <w:u w:val="none"/>
                <w14:textFill>
                  <w14:solidFill>
                    <w14:schemeClr w14:val="tx1"/>
                  </w14:solidFill>
                </w14:textFill>
              </w:rPr>
            </w:pPr>
            <w:r>
              <w:rPr>
                <w:rFonts w:hint="eastAsia"/>
                <w:color w:val="000000" w:themeColor="text1"/>
                <w:sz w:val="24"/>
                <w:szCs w:val="24"/>
                <w:u w:val="none"/>
                <w14:textFill>
                  <w14:solidFill>
                    <w14:schemeClr w14:val="tx1"/>
                  </w14:solidFill>
                </w14:textFill>
              </w:rPr>
              <w:t>按生活习性的不同，可将评价区内的</w:t>
            </w:r>
            <w:r>
              <w:rPr>
                <w:rFonts w:hint="eastAsia"/>
                <w:color w:val="000000" w:themeColor="text1"/>
                <w:sz w:val="24"/>
                <w:szCs w:val="24"/>
                <w:u w:val="none"/>
                <w:lang w:val="en-US" w:eastAsia="zh-CN"/>
                <w14:textFill>
                  <w14:solidFill>
                    <w14:schemeClr w14:val="tx1"/>
                  </w14:solidFill>
                </w14:textFill>
              </w:rPr>
              <w:t>30</w:t>
            </w:r>
            <w:r>
              <w:rPr>
                <w:rFonts w:hint="eastAsia"/>
                <w:color w:val="000000" w:themeColor="text1"/>
                <w:sz w:val="24"/>
                <w:szCs w:val="24"/>
                <w:u w:val="none"/>
                <w14:textFill>
                  <w14:solidFill>
                    <w14:schemeClr w14:val="tx1"/>
                  </w14:solidFill>
                </w14:textFill>
              </w:rPr>
              <w:t>种鸟类分为以下4种生态类型：</w:t>
            </w:r>
          </w:p>
          <w:p w14:paraId="09545F49">
            <w:pPr>
              <w:widowControl/>
              <w:ind w:firstLine="480" w:firstLineChars="200"/>
              <w:rPr>
                <w:rFonts w:hint="eastAsia"/>
                <w:bCs/>
                <w:color w:val="000000" w:themeColor="text1"/>
                <w:sz w:val="24"/>
                <w:szCs w:val="24"/>
                <w:u w:val="none"/>
                <w14:textFill>
                  <w14:solidFill>
                    <w14:schemeClr w14:val="tx1"/>
                  </w14:solidFill>
                </w14:textFill>
              </w:rPr>
            </w:pPr>
            <w:r>
              <w:rPr>
                <w:bCs/>
                <w:color w:val="000000" w:themeColor="text1"/>
                <w:sz w:val="24"/>
                <w:szCs w:val="24"/>
                <w:u w:val="none"/>
                <w14:textFill>
                  <w14:solidFill>
                    <w14:schemeClr w14:val="tx1"/>
                  </w14:solidFill>
                </w14:textFill>
              </w:rPr>
              <w:t>a</w:t>
            </w:r>
            <w:r>
              <w:rPr>
                <w:rFonts w:hint="eastAsia"/>
                <w:bCs/>
                <w:color w:val="000000" w:themeColor="text1"/>
                <w:sz w:val="24"/>
                <w:szCs w:val="24"/>
                <w:u w:val="none"/>
                <w14:textFill>
                  <w14:solidFill>
                    <w14:schemeClr w14:val="tx1"/>
                  </w14:solidFill>
                </w14:textFill>
              </w:rPr>
              <w:t>涉禽</w:t>
            </w:r>
            <w:r>
              <w:rPr>
                <w:rFonts w:hint="eastAsia"/>
                <w:color w:val="000000" w:themeColor="text1"/>
                <w:sz w:val="24"/>
                <w:szCs w:val="24"/>
                <w:u w:val="none"/>
                <w14:textFill>
                  <w14:solidFill>
                    <w14:schemeClr w14:val="tx1"/>
                  </w14:solidFill>
                </w14:textFill>
              </w:rPr>
              <w:t>（嘴、颈和脚都比较长，脚趾也很长，适于涉水行进，不会游泳，常用长嘴插入水底或地面取食）：</w:t>
            </w:r>
            <w:r>
              <w:rPr>
                <w:rFonts w:hint="eastAsia"/>
                <w:color w:val="000000" w:themeColor="text1"/>
                <w:sz w:val="24"/>
                <w:szCs w:val="24"/>
                <w:u w:val="none"/>
                <w:lang w:val="en-US" w:eastAsia="zh-CN"/>
                <w14:textFill>
                  <w14:solidFill>
                    <w14:schemeClr w14:val="tx1"/>
                  </w14:solidFill>
                </w14:textFill>
              </w:rPr>
              <w:t>仅</w:t>
            </w:r>
            <w:r>
              <w:rPr>
                <w:rFonts w:hint="eastAsia"/>
                <w:color w:val="000000" w:themeColor="text1"/>
                <w:sz w:val="24"/>
                <w:u w:val="none"/>
                <w14:textFill>
                  <w14:solidFill>
                    <w14:schemeClr w14:val="tx1"/>
                  </w14:solidFill>
                </w14:textFill>
              </w:rPr>
              <w:t>包括鹤形目</w:t>
            </w:r>
            <w:r>
              <w:rPr>
                <w:rFonts w:hint="eastAsia"/>
                <w:color w:val="000000" w:themeColor="text1"/>
                <w:sz w:val="24"/>
                <w:u w:val="none"/>
                <w:lang w:val="en-US" w:eastAsia="zh-CN"/>
                <w14:textFill>
                  <w14:solidFill>
                    <w14:schemeClr w14:val="tx1"/>
                  </w14:solidFill>
                </w14:textFill>
              </w:rPr>
              <w:t>3</w:t>
            </w:r>
            <w:r>
              <w:rPr>
                <w:rFonts w:hint="eastAsia"/>
                <w:color w:val="000000" w:themeColor="text1"/>
                <w:sz w:val="24"/>
                <w:u w:val="none"/>
                <w14:textFill>
                  <w14:solidFill>
                    <w14:schemeClr w14:val="tx1"/>
                  </w14:solidFill>
                </w14:textFill>
              </w:rPr>
              <w:t>种。</w:t>
            </w:r>
          </w:p>
          <w:p w14:paraId="69631CB9">
            <w:pPr>
              <w:widowControl/>
              <w:ind w:firstLine="480" w:firstLineChars="200"/>
              <w:rPr>
                <w:color w:val="000000" w:themeColor="text1"/>
                <w:sz w:val="24"/>
                <w:szCs w:val="24"/>
                <w:u w:val="none"/>
                <w14:textFill>
                  <w14:solidFill>
                    <w14:schemeClr w14:val="tx1"/>
                  </w14:solidFill>
                </w14:textFill>
              </w:rPr>
            </w:pPr>
            <w:r>
              <w:rPr>
                <w:bCs/>
                <w:color w:val="000000" w:themeColor="text1"/>
                <w:sz w:val="24"/>
                <w:szCs w:val="24"/>
                <w:u w:val="none"/>
                <w14:textFill>
                  <w14:solidFill>
                    <w14:schemeClr w14:val="tx1"/>
                  </w14:solidFill>
                </w14:textFill>
              </w:rPr>
              <w:t>b</w:t>
            </w:r>
            <w:r>
              <w:rPr>
                <w:rFonts w:hint="eastAsia"/>
                <w:bCs/>
                <w:color w:val="000000" w:themeColor="text1"/>
                <w:sz w:val="24"/>
                <w:szCs w:val="24"/>
                <w:u w:val="none"/>
                <w14:textFill>
                  <w14:solidFill>
                    <w14:schemeClr w14:val="tx1"/>
                  </w14:solidFill>
                </w14:textFill>
              </w:rPr>
              <w:t>陆禽</w:t>
            </w:r>
            <w:r>
              <w:rPr>
                <w:rFonts w:hint="eastAsia"/>
                <w:color w:val="000000" w:themeColor="text1"/>
                <w:sz w:val="24"/>
                <w:szCs w:val="24"/>
                <w:u w:val="none"/>
                <w14:textFill>
                  <w14:solidFill>
                    <w14:schemeClr w14:val="tx1"/>
                  </w14:solidFill>
                </w14:textFill>
              </w:rPr>
              <w:t>（体格结实，嘴坚硬，脚强而有力，适于挖土，多在地面活动觅食）：仅包括</w:t>
            </w:r>
            <w:r>
              <w:rPr>
                <w:rFonts w:hint="eastAsia"/>
                <w:color w:val="000000" w:themeColor="text1"/>
                <w:sz w:val="24"/>
                <w:u w:val="none"/>
                <w14:textFill>
                  <w14:solidFill>
                    <w14:schemeClr w14:val="tx1"/>
                  </w14:solidFill>
                </w14:textFill>
              </w:rPr>
              <w:t>鸡形目2种和鸽形目</w:t>
            </w:r>
            <w:r>
              <w:rPr>
                <w:color w:val="000000" w:themeColor="text1"/>
                <w:sz w:val="24"/>
                <w:u w:val="none"/>
                <w14:textFill>
                  <w14:solidFill>
                    <w14:schemeClr w14:val="tx1"/>
                  </w14:solidFill>
                </w14:textFill>
              </w:rPr>
              <w:t>2</w:t>
            </w:r>
            <w:r>
              <w:rPr>
                <w:rFonts w:hint="eastAsia"/>
                <w:color w:val="000000" w:themeColor="text1"/>
                <w:sz w:val="24"/>
                <w:u w:val="none"/>
                <w14:textFill>
                  <w14:solidFill>
                    <w14:schemeClr w14:val="tx1"/>
                  </w14:solidFill>
                </w14:textFill>
              </w:rPr>
              <w:t>种，共4种。</w:t>
            </w:r>
          </w:p>
          <w:p w14:paraId="4B045DDC">
            <w:pPr>
              <w:widowControl/>
              <w:ind w:firstLine="480" w:firstLineChars="200"/>
              <w:rPr>
                <w:color w:val="000000" w:themeColor="text1"/>
                <w:sz w:val="24"/>
                <w:szCs w:val="24"/>
                <w:u w:val="none"/>
                <w14:textFill>
                  <w14:solidFill>
                    <w14:schemeClr w14:val="tx1"/>
                  </w14:solidFill>
                </w14:textFill>
              </w:rPr>
            </w:pPr>
            <w:r>
              <w:rPr>
                <w:rFonts w:hint="eastAsia"/>
                <w:bCs/>
                <w:color w:val="000000" w:themeColor="text1"/>
                <w:sz w:val="24"/>
                <w:szCs w:val="24"/>
                <w:u w:val="none"/>
                <w14:textFill>
                  <w14:solidFill>
                    <w14:schemeClr w14:val="tx1"/>
                  </w14:solidFill>
                </w14:textFill>
              </w:rPr>
              <w:t>c猛禽</w:t>
            </w:r>
            <w:r>
              <w:rPr>
                <w:rFonts w:hint="eastAsia"/>
                <w:color w:val="000000" w:themeColor="text1"/>
                <w:sz w:val="24"/>
                <w:szCs w:val="24"/>
                <w:u w:val="none"/>
                <w14:textFill>
                  <w14:solidFill>
                    <w14:schemeClr w14:val="tx1"/>
                  </w14:solidFill>
                </w14:textFill>
              </w:rPr>
              <w:t>（具有弯曲如钩的锐利嘴和爪，翅膀强大有力，能在天空翱翔或滑翔，捕食空中或地下活的猎物）：包括鹰形目</w:t>
            </w:r>
            <w:r>
              <w:rPr>
                <w:color w:val="000000" w:themeColor="text1"/>
                <w:sz w:val="24"/>
                <w:szCs w:val="24"/>
                <w:u w:val="none"/>
                <w14:textFill>
                  <w14:solidFill>
                    <w14:schemeClr w14:val="tx1"/>
                  </w14:solidFill>
                </w14:textFill>
              </w:rPr>
              <w:t>2</w:t>
            </w:r>
            <w:r>
              <w:rPr>
                <w:rFonts w:hint="eastAsia"/>
                <w:color w:val="000000" w:themeColor="text1"/>
                <w:sz w:val="24"/>
                <w:szCs w:val="24"/>
                <w:u w:val="none"/>
                <w14:textFill>
                  <w14:solidFill>
                    <w14:schemeClr w14:val="tx1"/>
                  </w14:solidFill>
                </w14:textFill>
              </w:rPr>
              <w:t>种</w:t>
            </w:r>
            <w:r>
              <w:rPr>
                <w:rFonts w:hint="eastAsia"/>
                <w:color w:val="000000" w:themeColor="text1"/>
                <w:sz w:val="24"/>
                <w:u w:val="none"/>
                <w14:textFill>
                  <w14:solidFill>
                    <w14:schemeClr w14:val="tx1"/>
                  </w14:solidFill>
                </w14:textFill>
              </w:rPr>
              <w:t>。</w:t>
            </w:r>
          </w:p>
          <w:p w14:paraId="14F05C7A">
            <w:pPr>
              <w:widowControl/>
              <w:ind w:firstLine="480" w:firstLineChars="200"/>
              <w:rPr>
                <w:color w:val="000000" w:themeColor="text1"/>
                <w:sz w:val="24"/>
                <w:szCs w:val="24"/>
                <w:u w:val="none"/>
                <w14:textFill>
                  <w14:solidFill>
                    <w14:schemeClr w14:val="tx1"/>
                  </w14:solidFill>
                </w14:textFill>
              </w:rPr>
            </w:pPr>
            <w:r>
              <w:rPr>
                <w:rFonts w:hint="eastAsia"/>
                <w:bCs/>
                <w:color w:val="000000" w:themeColor="text1"/>
                <w:sz w:val="24"/>
                <w:szCs w:val="24"/>
                <w:u w:val="none"/>
                <w14:textFill>
                  <w14:solidFill>
                    <w14:schemeClr w14:val="tx1"/>
                  </w14:solidFill>
                </w14:textFill>
              </w:rPr>
              <w:t>d攀禽</w:t>
            </w:r>
            <w:r>
              <w:rPr>
                <w:rFonts w:hint="eastAsia"/>
                <w:color w:val="000000" w:themeColor="text1"/>
                <w:sz w:val="24"/>
                <w:szCs w:val="24"/>
                <w:u w:val="none"/>
                <w14:textFill>
                  <w14:solidFill>
                    <w14:schemeClr w14:val="tx1"/>
                  </w14:solidFill>
                </w14:textFill>
              </w:rPr>
              <w:t>（嘴、脚和尾的构造都很特殊，善于在树上攀缘）：鹃形目</w:t>
            </w:r>
            <w:r>
              <w:rPr>
                <w:rFonts w:hint="eastAsia"/>
                <w:color w:val="000000" w:themeColor="text1"/>
                <w:sz w:val="24"/>
                <w:szCs w:val="24"/>
                <w:u w:val="none"/>
                <w:lang w:val="en-US" w:eastAsia="zh-CN"/>
                <w14:textFill>
                  <w14:solidFill>
                    <w14:schemeClr w14:val="tx1"/>
                  </w14:solidFill>
                </w14:textFill>
              </w:rPr>
              <w:t>3</w:t>
            </w:r>
            <w:r>
              <w:rPr>
                <w:rFonts w:hint="eastAsia"/>
                <w:color w:val="000000" w:themeColor="text1"/>
                <w:sz w:val="24"/>
                <w:szCs w:val="24"/>
                <w:u w:val="none"/>
                <w14:textFill>
                  <w14:solidFill>
                    <w14:schemeClr w14:val="tx1"/>
                  </w14:solidFill>
                </w14:textFill>
              </w:rPr>
              <w:t>种、夜鹰目</w:t>
            </w:r>
            <w:r>
              <w:rPr>
                <w:color w:val="000000" w:themeColor="text1"/>
                <w:sz w:val="24"/>
                <w:szCs w:val="24"/>
                <w:u w:val="none"/>
                <w14:textFill>
                  <w14:solidFill>
                    <w14:schemeClr w14:val="tx1"/>
                  </w14:solidFill>
                </w14:textFill>
              </w:rPr>
              <w:t>1</w:t>
            </w:r>
            <w:r>
              <w:rPr>
                <w:rFonts w:hint="eastAsia"/>
                <w:color w:val="000000" w:themeColor="text1"/>
                <w:sz w:val="24"/>
                <w:szCs w:val="24"/>
                <w:u w:val="none"/>
                <w14:textFill>
                  <w14:solidFill>
                    <w14:schemeClr w14:val="tx1"/>
                  </w14:solidFill>
                </w14:textFill>
              </w:rPr>
              <w:t>种和啄木鸟目</w:t>
            </w:r>
            <w:r>
              <w:rPr>
                <w:rFonts w:hint="eastAsia"/>
                <w:color w:val="000000" w:themeColor="text1"/>
                <w:sz w:val="24"/>
                <w:szCs w:val="24"/>
                <w:u w:val="none"/>
                <w:lang w:val="en-US" w:eastAsia="zh-CN"/>
                <w14:textFill>
                  <w14:solidFill>
                    <w14:schemeClr w14:val="tx1"/>
                  </w14:solidFill>
                </w14:textFill>
              </w:rPr>
              <w:t>2</w:t>
            </w:r>
            <w:r>
              <w:rPr>
                <w:rFonts w:hint="eastAsia"/>
                <w:color w:val="000000" w:themeColor="text1"/>
                <w:sz w:val="24"/>
                <w:szCs w:val="24"/>
                <w:u w:val="none"/>
                <w14:textFill>
                  <w14:solidFill>
                    <w14:schemeClr w14:val="tx1"/>
                  </w14:solidFill>
                </w14:textFill>
              </w:rPr>
              <w:t>种，共</w:t>
            </w:r>
            <w:r>
              <w:rPr>
                <w:rFonts w:hint="eastAsia"/>
                <w:color w:val="000000" w:themeColor="text1"/>
                <w:sz w:val="24"/>
                <w:szCs w:val="24"/>
                <w:u w:val="none"/>
                <w:lang w:val="en-US" w:eastAsia="zh-CN"/>
                <w14:textFill>
                  <w14:solidFill>
                    <w14:schemeClr w14:val="tx1"/>
                  </w14:solidFill>
                </w14:textFill>
              </w:rPr>
              <w:t>6</w:t>
            </w:r>
            <w:r>
              <w:rPr>
                <w:rFonts w:hint="eastAsia"/>
                <w:color w:val="000000" w:themeColor="text1"/>
                <w:sz w:val="24"/>
                <w:szCs w:val="24"/>
                <w:u w:val="none"/>
                <w14:textFill>
                  <w14:solidFill>
                    <w14:schemeClr w14:val="tx1"/>
                  </w14:solidFill>
                </w14:textFill>
              </w:rPr>
              <w:t>种。这些种类中为典型的森林鸟类，分布于评价区林地及灌丛草地中。</w:t>
            </w:r>
          </w:p>
          <w:p w14:paraId="141BABCE">
            <w:pPr>
              <w:widowControl/>
              <w:ind w:firstLine="480" w:firstLineChars="200"/>
              <w:rPr>
                <w:color w:val="000000" w:themeColor="text1"/>
                <w:sz w:val="24"/>
                <w:szCs w:val="24"/>
                <w:u w:val="none"/>
                <w14:textFill>
                  <w14:solidFill>
                    <w14:schemeClr w14:val="tx1"/>
                  </w14:solidFill>
                </w14:textFill>
              </w:rPr>
            </w:pPr>
            <w:r>
              <w:rPr>
                <w:rFonts w:hint="eastAsia"/>
                <w:bCs/>
                <w:color w:val="000000" w:themeColor="text1"/>
                <w:sz w:val="24"/>
                <w:szCs w:val="24"/>
                <w:u w:val="none"/>
                <w14:textFill>
                  <w14:solidFill>
                    <w14:schemeClr w14:val="tx1"/>
                  </w14:solidFill>
                </w14:textFill>
              </w:rPr>
              <w:t>e鸣禽</w:t>
            </w:r>
            <w:r>
              <w:rPr>
                <w:rFonts w:hint="eastAsia"/>
                <w:color w:val="000000" w:themeColor="text1"/>
                <w:sz w:val="24"/>
                <w:szCs w:val="24"/>
                <w:u w:val="none"/>
                <w14:textFill>
                  <w14:solidFill>
                    <w14:schemeClr w14:val="tx1"/>
                  </w14:solidFill>
                </w14:textFill>
              </w:rPr>
              <w:t>（鸣管和鸣肌特别发达。一般体形较小，体态轻捷，活泼灵巧，善于鸣叫和歌唱，且巧于筑巢）：</w:t>
            </w:r>
            <w:r>
              <w:rPr>
                <w:rFonts w:hint="eastAsia"/>
                <w:color w:val="000000" w:themeColor="text1"/>
                <w:sz w:val="24"/>
                <w:u w:val="none"/>
                <w14:textFill>
                  <w14:solidFill>
                    <w14:schemeClr w14:val="tx1"/>
                  </w14:solidFill>
                </w14:textFill>
              </w:rPr>
              <w:t>包括雀形目的所有鸟类，共</w:t>
            </w:r>
            <w:r>
              <w:rPr>
                <w:rFonts w:hint="eastAsia"/>
                <w:color w:val="000000" w:themeColor="text1"/>
                <w:sz w:val="24"/>
                <w:u w:val="none"/>
                <w:lang w:val="en-US" w:eastAsia="zh-CN"/>
                <w14:textFill>
                  <w14:solidFill>
                    <w14:schemeClr w14:val="tx1"/>
                  </w14:solidFill>
                </w14:textFill>
              </w:rPr>
              <w:t>15</w:t>
            </w:r>
            <w:r>
              <w:rPr>
                <w:rFonts w:hint="eastAsia"/>
                <w:color w:val="000000" w:themeColor="text1"/>
                <w:sz w:val="24"/>
                <w:u w:val="none"/>
                <w14:textFill>
                  <w14:solidFill>
                    <w14:schemeClr w14:val="tx1"/>
                  </w14:solidFill>
                </w14:textFill>
              </w:rPr>
              <w:t>种，在影响评价区内分布广泛。野外实地调查过程中目击次数比较多的有</w:t>
            </w:r>
            <w:r>
              <w:rPr>
                <w:rFonts w:hint="eastAsia"/>
                <w:color w:val="000000" w:themeColor="text1"/>
                <w:sz w:val="24"/>
                <w:u w:val="none"/>
                <w:lang w:val="en-US" w:eastAsia="zh-CN"/>
                <w14:textFill>
                  <w14:solidFill>
                    <w14:schemeClr w14:val="tx1"/>
                  </w14:solidFill>
                </w14:textFill>
              </w:rPr>
              <w:t>麻</w:t>
            </w:r>
            <w:r>
              <w:rPr>
                <w:rFonts w:hint="eastAsia"/>
                <w:color w:val="000000" w:themeColor="text1"/>
                <w:sz w:val="24"/>
                <w:u w:val="none"/>
                <w14:textFill>
                  <w14:solidFill>
                    <w14:schemeClr w14:val="tx1"/>
                  </w14:solidFill>
                </w14:textFill>
              </w:rPr>
              <w:t>鹊和灰喜鹊等。</w:t>
            </w:r>
          </w:p>
          <w:p w14:paraId="7DFCFFE6">
            <w:pPr>
              <w:widowControl/>
              <w:ind w:firstLine="480" w:firstLineChars="200"/>
              <w:jc w:val="left"/>
              <w:rPr>
                <w:rFonts w:hint="eastAsia"/>
                <w:b w:val="0"/>
                <w:bCs/>
                <w:color w:val="000000" w:themeColor="text1"/>
                <w:sz w:val="24"/>
                <w:u w:val="none"/>
                <w14:textFill>
                  <w14:solidFill>
                    <w14:schemeClr w14:val="tx1"/>
                  </w14:solidFill>
                </w14:textFill>
              </w:rPr>
            </w:pPr>
            <w:r>
              <w:rPr>
                <w:rFonts w:hint="eastAsia"/>
                <w:b w:val="0"/>
                <w:bCs/>
                <w:color w:val="000000" w:themeColor="text1"/>
                <w:sz w:val="24"/>
                <w:u w:val="none"/>
                <w:lang w:eastAsia="zh-CN"/>
                <w14:textFill>
                  <w14:solidFill>
                    <w14:schemeClr w14:val="tx1"/>
                  </w14:solidFill>
                </w14:textFill>
              </w:rPr>
              <w:t>（</w:t>
            </w:r>
            <w:r>
              <w:rPr>
                <w:rFonts w:hint="eastAsia"/>
                <w:b w:val="0"/>
                <w:bCs/>
                <w:color w:val="000000" w:themeColor="text1"/>
                <w:sz w:val="24"/>
                <w:u w:val="none"/>
                <w:lang w:val="en-US" w:eastAsia="zh-CN"/>
                <w14:textFill>
                  <w14:solidFill>
                    <w14:schemeClr w14:val="tx1"/>
                  </w14:solidFill>
                </w14:textFill>
              </w:rPr>
              <w:t>5）</w:t>
            </w:r>
            <w:r>
              <w:rPr>
                <w:rFonts w:hint="eastAsia"/>
                <w:b w:val="0"/>
                <w:bCs/>
                <w:color w:val="000000" w:themeColor="text1"/>
                <w:sz w:val="24"/>
                <w:u w:val="none"/>
                <w14:textFill>
                  <w14:solidFill>
                    <w14:schemeClr w14:val="tx1"/>
                  </w14:solidFill>
                </w14:textFill>
              </w:rPr>
              <w:t>国家重点保护种</w:t>
            </w:r>
          </w:p>
          <w:p w14:paraId="72C7D129">
            <w:pPr>
              <w:tabs>
                <w:tab w:val="left" w:pos="540"/>
              </w:tabs>
              <w:adjustRightInd w:val="0"/>
              <w:snapToGrid w:val="0"/>
              <w:spacing w:line="360" w:lineRule="auto"/>
              <w:ind w:firstLine="480" w:firstLineChars="200"/>
              <w:rPr>
                <w:rFonts w:hint="eastAsia"/>
                <w:color w:val="000000" w:themeColor="text1"/>
                <w:sz w:val="24"/>
                <w:szCs w:val="24"/>
                <w:u w:val="none"/>
                <w:lang w:val="en-US" w:eastAsia="zh-CN"/>
                <w14:textFill>
                  <w14:solidFill>
                    <w14:schemeClr w14:val="tx1"/>
                  </w14:solidFill>
                </w14:textFill>
              </w:rPr>
            </w:pPr>
            <w:r>
              <w:rPr>
                <w:rFonts w:hint="eastAsia"/>
                <w:color w:val="000000" w:themeColor="text1"/>
                <w:kern w:val="10"/>
                <w:sz w:val="24"/>
                <w:szCs w:val="24"/>
                <w:u w:val="none"/>
                <w14:textFill>
                  <w14:solidFill>
                    <w14:schemeClr w14:val="tx1"/>
                  </w14:solidFill>
                </w14:textFill>
              </w:rPr>
              <w:t>鸟类中无国家Ⅰ级保护野生种，国家Ⅱ级保护种</w:t>
            </w:r>
            <w:r>
              <w:rPr>
                <w:rFonts w:hint="eastAsia"/>
                <w:color w:val="000000" w:themeColor="text1"/>
                <w:sz w:val="24"/>
                <w:u w:val="none"/>
                <w14:textFill>
                  <w14:solidFill>
                    <w14:schemeClr w14:val="tx1"/>
                  </w14:solidFill>
                </w14:textFill>
              </w:rPr>
              <w:t>有</w:t>
            </w:r>
            <w:r>
              <w:rPr>
                <w:rFonts w:hint="eastAsia"/>
                <w:color w:val="000000" w:themeColor="text1"/>
                <w:sz w:val="24"/>
                <w:u w:val="none"/>
                <w:lang w:val="en-US" w:eastAsia="zh-CN"/>
                <w14:textFill>
                  <w14:solidFill>
                    <w14:schemeClr w14:val="tx1"/>
                  </w14:solidFill>
                </w14:textFill>
              </w:rPr>
              <w:t>2</w:t>
            </w:r>
            <w:r>
              <w:rPr>
                <w:rFonts w:hint="eastAsia"/>
                <w:color w:val="000000" w:themeColor="text1"/>
                <w:sz w:val="24"/>
                <w:u w:val="none"/>
                <w14:textFill>
                  <w14:solidFill>
                    <w14:schemeClr w14:val="tx1"/>
                  </w14:solidFill>
                </w14:textFill>
              </w:rPr>
              <w:t>种，即</w:t>
            </w:r>
            <w:r>
              <w:rPr>
                <w:rFonts w:hint="eastAsia"/>
                <w:color w:val="000000" w:themeColor="text1"/>
                <w:sz w:val="24"/>
                <w:szCs w:val="24"/>
                <w:u w:val="none"/>
                <w14:textFill>
                  <w14:solidFill>
                    <w14:schemeClr w14:val="tx1"/>
                  </w14:solidFill>
                </w14:textFill>
              </w:rPr>
              <w:t>苍鹰（</w:t>
            </w:r>
            <w:r>
              <w:rPr>
                <w:i/>
                <w:color w:val="000000" w:themeColor="text1"/>
                <w:sz w:val="24"/>
                <w:szCs w:val="24"/>
                <w:u w:val="none"/>
                <w14:textFill>
                  <w14:solidFill>
                    <w14:schemeClr w14:val="tx1"/>
                  </w14:solidFill>
                </w14:textFill>
              </w:rPr>
              <w:t>Accipiter gentilis</w:t>
            </w:r>
            <w:r>
              <w:rPr>
                <w:rFonts w:hint="eastAsia"/>
                <w:color w:val="000000" w:themeColor="text1"/>
                <w:sz w:val="24"/>
                <w:szCs w:val="24"/>
                <w:u w:val="none"/>
                <w14:textFill>
                  <w14:solidFill>
                    <w14:schemeClr w14:val="tx1"/>
                  </w14:solidFill>
                </w14:textFill>
              </w:rPr>
              <w:t>）、雀鹰（</w:t>
            </w:r>
            <w:r>
              <w:rPr>
                <w:i/>
                <w:color w:val="000000" w:themeColor="text1"/>
                <w:sz w:val="24"/>
                <w:szCs w:val="24"/>
                <w:u w:val="none"/>
                <w14:textFill>
                  <w14:solidFill>
                    <w14:schemeClr w14:val="tx1"/>
                  </w14:solidFill>
                </w14:textFill>
              </w:rPr>
              <w:t>Accipiter nisus</w:t>
            </w:r>
            <w:r>
              <w:rPr>
                <w:rFonts w:hint="eastAsia"/>
                <w:color w:val="000000" w:themeColor="text1"/>
                <w:sz w:val="24"/>
                <w:szCs w:val="24"/>
                <w:u w:val="none"/>
                <w14:textFill>
                  <w14:solidFill>
                    <w14:schemeClr w14:val="tx1"/>
                  </w14:solidFill>
                </w14:textFill>
              </w:rPr>
              <w:t>）。</w:t>
            </w:r>
            <w:r>
              <w:rPr>
                <w:rFonts w:hint="eastAsia"/>
                <w:color w:val="000000" w:themeColor="text1"/>
                <w:sz w:val="24"/>
                <w:szCs w:val="24"/>
                <w:u w:val="none"/>
                <w:lang w:val="en-US" w:eastAsia="zh-CN"/>
                <w14:textFill>
                  <w14:solidFill>
                    <w14:schemeClr w14:val="tx1"/>
                  </w14:solidFill>
                </w14:textFill>
              </w:rPr>
              <w:t xml:space="preserve">  </w:t>
            </w:r>
          </w:p>
          <w:p w14:paraId="6FE6D514">
            <w:pPr>
              <w:tabs>
                <w:tab w:val="left" w:pos="540"/>
              </w:tabs>
              <w:adjustRightInd w:val="0"/>
              <w:snapToGrid w:val="0"/>
              <w:spacing w:line="360" w:lineRule="auto"/>
              <w:ind w:firstLine="480" w:firstLineChars="200"/>
              <w:rPr>
                <w:rFonts w:ascii="Times New Roman" w:hAnsi="Times New Roman" w:cs="Times New Roman"/>
                <w:b w:val="0"/>
                <w:bCs w:val="0"/>
                <w:color w:val="000000" w:themeColor="text1"/>
                <w:sz w:val="24"/>
                <w:highlight w:val="none"/>
                <w:u w:val="none"/>
                <w14:textFill>
                  <w14:solidFill>
                    <w14:schemeClr w14:val="tx1"/>
                  </w14:solidFill>
                </w14:textFill>
              </w:rPr>
            </w:pPr>
            <w:r>
              <w:rPr>
                <w:rFonts w:ascii="Times New Roman" w:hAnsi="Times New Roman" w:cs="Times New Roman"/>
                <w:b w:val="0"/>
                <w:bCs w:val="0"/>
                <w:color w:val="000000" w:themeColor="text1"/>
                <w:sz w:val="24"/>
                <w:highlight w:val="none"/>
                <w:u w:val="none"/>
                <w14:textFill>
                  <w14:solidFill>
                    <w14:schemeClr w14:val="tx1"/>
                  </w14:solidFill>
                </w14:textFill>
              </w:rPr>
              <w:t>（</w:t>
            </w:r>
            <w:r>
              <w:rPr>
                <w:rFonts w:hint="eastAsia" w:cs="Times New Roman"/>
                <w:b w:val="0"/>
                <w:bCs w:val="0"/>
                <w:color w:val="000000" w:themeColor="text1"/>
                <w:sz w:val="24"/>
                <w:highlight w:val="none"/>
                <w:u w:val="none"/>
                <w:lang w:val="en-US" w:eastAsia="zh-CN"/>
                <w14:textFill>
                  <w14:solidFill>
                    <w14:schemeClr w14:val="tx1"/>
                  </w14:solidFill>
                </w14:textFill>
              </w:rPr>
              <w:t>6</w:t>
            </w:r>
            <w:r>
              <w:rPr>
                <w:rFonts w:ascii="Times New Roman" w:hAnsi="Times New Roman" w:cs="Times New Roman"/>
                <w:b w:val="0"/>
                <w:bCs w:val="0"/>
                <w:color w:val="000000" w:themeColor="text1"/>
                <w:sz w:val="24"/>
                <w:highlight w:val="none"/>
                <w:u w:val="none"/>
                <w14:textFill>
                  <w14:solidFill>
                    <w14:schemeClr w14:val="tx1"/>
                  </w14:solidFill>
                </w14:textFill>
              </w:rPr>
              <w:t>）工程区域鸟类迁徙现状</w:t>
            </w:r>
          </w:p>
          <w:p w14:paraId="6015DFC7">
            <w:pPr>
              <w:adjustRightInd w:val="0"/>
              <w:snapToGrid w:val="0"/>
              <w:spacing w:line="360" w:lineRule="auto"/>
              <w:ind w:firstLine="480" w:firstLineChars="200"/>
              <w:rPr>
                <w:rFonts w:ascii="Times New Roman" w:hAnsi="Times New Roman" w:cs="Times New Roman"/>
                <w:bCs/>
                <w:color w:val="000000" w:themeColor="text1"/>
                <w:sz w:val="24"/>
                <w:highlight w:val="none"/>
                <w:u w:val="none"/>
                <w14:textFill>
                  <w14:solidFill>
                    <w14:schemeClr w14:val="tx1"/>
                  </w14:solidFill>
                </w14:textFill>
              </w:rPr>
            </w:pPr>
            <w:r>
              <w:rPr>
                <w:rFonts w:ascii="Times New Roman" w:hAnsi="Times New Roman" w:cs="Times New Roman"/>
                <w:bCs/>
                <w:color w:val="000000" w:themeColor="text1"/>
                <w:sz w:val="24"/>
                <w:highlight w:val="none"/>
                <w:u w:val="none"/>
                <w14:textFill>
                  <w14:solidFill>
                    <w14:schemeClr w14:val="tx1"/>
                  </w14:solidFill>
                </w14:textFill>
              </w:rPr>
              <w:t>鸟类迁徙通道泛指鸟类中的某些种类，每年春季和秋季，有规律的、沿相对固定的路线、定时地在繁殖地区和越冬地区之间进行的长距离的往返移居的行为现象。</w:t>
            </w:r>
          </w:p>
          <w:p w14:paraId="619F1D5A">
            <w:pPr>
              <w:adjustRightInd w:val="0"/>
              <w:snapToGrid w:val="0"/>
              <w:spacing w:line="360" w:lineRule="auto"/>
              <w:ind w:firstLine="480" w:firstLineChars="200"/>
              <w:rPr>
                <w:rFonts w:ascii="Times New Roman" w:hAnsi="Times New Roman" w:cs="Times New Roman"/>
                <w:bCs/>
                <w:color w:val="000000" w:themeColor="text1"/>
                <w:sz w:val="24"/>
                <w:highlight w:val="none"/>
                <w:u w:val="none"/>
                <w14:textFill>
                  <w14:solidFill>
                    <w14:schemeClr w14:val="tx1"/>
                  </w14:solidFill>
                </w14:textFill>
              </w:rPr>
            </w:pPr>
            <w:r>
              <w:rPr>
                <w:rFonts w:ascii="Times New Roman" w:hAnsi="Times New Roman" w:cs="Times New Roman"/>
                <w:bCs/>
                <w:color w:val="000000" w:themeColor="text1"/>
                <w:sz w:val="24"/>
                <w:highlight w:val="none"/>
                <w:u w:val="none"/>
                <w14:textFill>
                  <w14:solidFill>
                    <w14:schemeClr w14:val="tx1"/>
                  </w14:solidFill>
                </w14:textFill>
              </w:rPr>
              <w:t>湖南省地处华夏大地中部，位于西伯利亚-澳大利亚鸟类迁徙通道上。由于环境和地势的复杂性，在不同地域鸟类迁徙的路线和方式各有不同。依据历史记载和邓学建教授等专家多年的研究成果，湖南主要有3条鸟类迁徙通道，其中东部的罗霄山脉和西部的雪峰山脉迁徙通道属于窄幅通道，而中部的属于宽幅迁徙通道，即遍于整个湘中地区，只是在个别区域，像南北方向的山脉沟谷地带，形成局部的窄幅迁徙通道。</w:t>
            </w:r>
          </w:p>
          <w:p w14:paraId="28388BCC">
            <w:pPr>
              <w:adjustRightInd w:val="0"/>
              <w:snapToGrid w:val="0"/>
              <w:spacing w:line="360" w:lineRule="auto"/>
              <w:ind w:firstLine="480" w:firstLineChars="200"/>
              <w:rPr>
                <w:rFonts w:ascii="Times New Roman" w:hAnsi="Times New Roman" w:cs="Times New Roman"/>
                <w:bCs/>
                <w:color w:val="000000" w:themeColor="text1"/>
                <w:sz w:val="24"/>
                <w:highlight w:val="none"/>
                <w:u w:val="none"/>
                <w14:textFill>
                  <w14:solidFill>
                    <w14:schemeClr w14:val="tx1"/>
                  </w14:solidFill>
                </w14:textFill>
              </w:rPr>
            </w:pPr>
            <w:r>
              <w:rPr>
                <w:rFonts w:ascii="Times New Roman" w:hAnsi="Times New Roman" w:cs="Times New Roman"/>
                <w:bCs/>
                <w:color w:val="000000" w:themeColor="text1"/>
                <w:sz w:val="24"/>
                <w:highlight w:val="none"/>
                <w:u w:val="none"/>
                <w14:textFill>
                  <w14:solidFill>
                    <w14:schemeClr w14:val="tx1"/>
                  </w14:solidFill>
                </w14:textFill>
              </w:rPr>
              <w:t>此外，依据《湖南省候鸟迁徙通道重点保护区域（第一批名单）》，湖南省划定炎陵、桂东、蓝山、新宁、城步、隆回、新化7县共12处候鸟迁徙通道重要保护区域，具体包括炎陵牛头坳、桂东白沙坳、桂东南风坳、桂东寒口坳、新化与隆回交界的槎溪—罗洪、隆回屏风界、新化与新邵交界的茶园—羊古坳、蓝山南风坳</w:t>
            </w:r>
            <w:r>
              <w:rPr>
                <w:rFonts w:ascii="Times New Roman" w:hAnsi="Times New Roman" w:eastAsia="宋体" w:cs="Times New Roman"/>
                <w:bCs/>
                <w:color w:val="000000" w:themeColor="text1"/>
                <w:sz w:val="24"/>
                <w:highlight w:val="none"/>
                <w:u w:val="none"/>
                <w14:textFill>
                  <w14:solidFill>
                    <w14:schemeClr w14:val="tx1"/>
                  </w14:solidFill>
                </w14:textFill>
              </w:rPr>
              <w:t>、蓝山四海坪、蓝山军田、</w:t>
            </w:r>
            <w:r>
              <w:rPr>
                <w:rFonts w:ascii="Times New Roman" w:hAnsi="Times New Roman" w:cs="Times New Roman"/>
                <w:bCs/>
                <w:color w:val="000000" w:themeColor="text1"/>
                <w:sz w:val="24"/>
                <w:highlight w:val="none"/>
                <w:u w:val="none"/>
                <w14:textFill>
                  <w14:solidFill>
                    <w14:schemeClr w14:val="tx1"/>
                  </w14:solidFill>
                </w14:textFill>
              </w:rPr>
              <w:t>城步大竹山、新宁黄沙塘，总面积超过106 km</w:t>
            </w:r>
            <w:r>
              <w:rPr>
                <w:rFonts w:ascii="Times New Roman" w:hAnsi="Times New Roman" w:cs="Times New Roman"/>
                <w:bCs/>
                <w:color w:val="000000" w:themeColor="text1"/>
                <w:sz w:val="24"/>
                <w:highlight w:val="none"/>
                <w:u w:val="none"/>
                <w:vertAlign w:val="superscript"/>
                <w14:textFill>
                  <w14:solidFill>
                    <w14:schemeClr w14:val="tx1"/>
                  </w14:solidFill>
                </w14:textFill>
              </w:rPr>
              <w:t>2</w:t>
            </w:r>
            <w:r>
              <w:rPr>
                <w:rFonts w:ascii="Times New Roman" w:hAnsi="Times New Roman" w:cs="Times New Roman"/>
                <w:bCs/>
                <w:color w:val="000000" w:themeColor="text1"/>
                <w:sz w:val="24"/>
                <w:highlight w:val="none"/>
                <w:u w:val="none"/>
                <w14:textFill>
                  <w14:solidFill>
                    <w14:schemeClr w14:val="tx1"/>
                  </w14:solidFill>
                </w14:textFill>
              </w:rPr>
              <w:t>。</w:t>
            </w:r>
          </w:p>
          <w:p w14:paraId="2B1B6E6B">
            <w:pPr>
              <w:adjustRightInd w:val="0"/>
              <w:snapToGrid w:val="0"/>
              <w:spacing w:line="360" w:lineRule="auto"/>
              <w:ind w:firstLine="480" w:firstLineChars="200"/>
              <w:rPr>
                <w:rFonts w:ascii="Times New Roman" w:hAnsi="Times New Roman" w:eastAsia="宋体" w:cs="Times New Roman"/>
                <w:bCs/>
                <w:color w:val="FF0000"/>
                <w:sz w:val="24"/>
                <w:u w:val="none"/>
              </w:rPr>
            </w:pPr>
            <w:r>
              <w:rPr>
                <w:rFonts w:ascii="Times New Roman" w:hAnsi="Times New Roman" w:eastAsia="宋体" w:cs="Times New Roman"/>
                <w:b w:val="0"/>
                <w:bCs/>
                <w:color w:val="000000" w:themeColor="text1"/>
                <w:sz w:val="24"/>
                <w:u w:val="none"/>
                <w14:textFill>
                  <w14:solidFill>
                    <w14:schemeClr w14:val="tx1"/>
                  </w14:solidFill>
                </w14:textFill>
              </w:rPr>
              <w:t>本工程位于湖南省</w:t>
            </w:r>
            <w:r>
              <w:rPr>
                <w:rFonts w:hint="eastAsia" w:cs="Times New Roman"/>
                <w:b w:val="0"/>
                <w:bCs/>
                <w:color w:val="000000" w:themeColor="text1"/>
                <w:sz w:val="24"/>
                <w:u w:val="none"/>
                <w:lang w:eastAsia="zh-CN"/>
                <w14:textFill>
                  <w14:solidFill>
                    <w14:schemeClr w14:val="tx1"/>
                  </w14:solidFill>
                </w14:textFill>
              </w:rPr>
              <w:t>怀化市通道县牙屯堡镇、坦坪</w:t>
            </w:r>
            <w:r>
              <w:rPr>
                <w:rFonts w:hint="eastAsia"/>
                <w:color w:val="000000" w:themeColor="text1"/>
                <w:szCs w:val="28"/>
                <w:u w:val="none"/>
                <w:lang w:val="en-US" w:eastAsia="zh-CN"/>
                <w14:textFill>
                  <w14:solidFill>
                    <w14:schemeClr w14:val="tx1"/>
                  </w14:solidFill>
                </w14:textFill>
              </w:rPr>
              <w:t>乡、双江镇，</w:t>
            </w:r>
            <w:r>
              <w:rPr>
                <w:rFonts w:ascii="Times New Roman" w:hAnsi="Times New Roman" w:eastAsia="宋体" w:cs="Times New Roman"/>
                <w:bCs/>
                <w:color w:val="000000" w:themeColor="text1"/>
                <w:sz w:val="24"/>
                <w:u w:val="none"/>
                <w14:textFill>
                  <w14:solidFill>
                    <w14:schemeClr w14:val="tx1"/>
                  </w14:solidFill>
                </w14:textFill>
              </w:rPr>
              <w:t>根据</w:t>
            </w:r>
            <w:r>
              <w:rPr>
                <w:rFonts w:hint="eastAsia" w:cs="Times New Roman"/>
                <w:bCs/>
                <w:color w:val="000000" w:themeColor="text1"/>
                <w:sz w:val="24"/>
                <w:u w:val="none"/>
                <w:lang w:eastAsia="zh-CN"/>
                <w14:textFill>
                  <w14:solidFill>
                    <w14:schemeClr w14:val="tx1"/>
                  </w14:solidFill>
                </w14:textFill>
              </w:rPr>
              <w:t>通道县</w:t>
            </w:r>
            <w:r>
              <w:rPr>
                <w:rFonts w:ascii="Times New Roman" w:hAnsi="Times New Roman" w:eastAsia="宋体" w:cs="Times New Roman"/>
                <w:bCs/>
                <w:color w:val="000000" w:themeColor="text1"/>
                <w:sz w:val="24"/>
                <w:u w:val="none"/>
                <w14:textFill>
                  <w14:solidFill>
                    <w14:schemeClr w14:val="tx1"/>
                  </w14:solidFill>
                </w14:textFill>
              </w:rPr>
              <w:t>林业局《关于</w:t>
            </w:r>
            <w:r>
              <w:rPr>
                <w:rFonts w:hint="eastAsia" w:cs="Times New Roman"/>
                <w:bCs/>
                <w:color w:val="000000" w:themeColor="text1"/>
                <w:sz w:val="24"/>
                <w:u w:val="none"/>
                <w:lang w:eastAsia="zh-CN"/>
                <w14:textFill>
                  <w14:solidFill>
                    <w14:schemeClr w14:val="tx1"/>
                  </w14:solidFill>
                </w14:textFill>
              </w:rPr>
              <w:t>通道太平山风电场</w:t>
            </w:r>
            <w:r>
              <w:rPr>
                <w:rFonts w:ascii="Times New Roman" w:hAnsi="Times New Roman" w:eastAsia="宋体" w:cs="Times New Roman"/>
                <w:bCs/>
                <w:color w:val="000000" w:themeColor="text1"/>
                <w:sz w:val="24"/>
                <w:u w:val="none"/>
                <w14:textFill>
                  <w14:solidFill>
                    <w14:schemeClr w14:val="tx1"/>
                  </w14:solidFill>
                </w14:textFill>
              </w:rPr>
              <w:t>规划选址的意见》，项目选址区域不涉及鸟类迁徙主要通道。</w:t>
            </w:r>
          </w:p>
          <w:p w14:paraId="5DF0E4ED">
            <w:pPr>
              <w:spacing w:line="360" w:lineRule="auto"/>
              <w:ind w:firstLine="480"/>
              <w:rPr>
                <w:rFonts w:ascii="Times New Roman" w:hAnsi="Times New Roman" w:eastAsia="宋体" w:cs="Times New Roman"/>
                <w:bCs/>
                <w:color w:val="FF0000"/>
                <w:sz w:val="24"/>
                <w:u w:val="none"/>
              </w:rPr>
            </w:pPr>
            <w:r>
              <w:rPr>
                <w:rFonts w:hint="eastAsia"/>
                <w:color w:val="000000" w:themeColor="text1"/>
                <w:szCs w:val="28"/>
                <w:u w:val="none"/>
                <w:lang w:val="en-US" w:eastAsia="zh-CN"/>
                <w14:textFill>
                  <w14:solidFill>
                    <w14:schemeClr w14:val="tx1"/>
                  </w14:solidFill>
                </w14:textFill>
              </w:rPr>
              <w:t>本风电场距离湖南省最近的鸟类迁徙通道保护区域即城步大竹山鸟类迁徙通道保护区域（E：110°10′35.7″；N；26°11′3.6″；海拔278m）的直线距离为64km</w:t>
            </w:r>
            <w:r>
              <w:rPr>
                <w:rFonts w:hint="eastAsia"/>
                <w:color w:val="000000" w:themeColor="text1"/>
                <w:szCs w:val="28"/>
                <w:u w:val="none"/>
                <w14:textFill>
                  <w14:solidFill>
                    <w14:schemeClr w14:val="tx1"/>
                  </w14:solidFill>
                </w14:textFill>
              </w:rPr>
              <w:t>。拟建的</w:t>
            </w:r>
            <w:r>
              <w:rPr>
                <w:rFonts w:hint="eastAsia"/>
                <w:color w:val="000000" w:themeColor="text1"/>
                <w:szCs w:val="28"/>
                <w:u w:val="none"/>
                <w:lang w:val="en-US" w:eastAsia="zh-CN"/>
                <w14:textFill>
                  <w14:solidFill>
                    <w14:schemeClr w14:val="tx1"/>
                  </w14:solidFill>
                </w14:textFill>
              </w:rPr>
              <w:t>太平山</w:t>
            </w:r>
            <w:r>
              <w:rPr>
                <w:rFonts w:hint="eastAsia"/>
                <w:color w:val="000000" w:themeColor="text1"/>
                <w:szCs w:val="28"/>
                <w:u w:val="none"/>
                <w14:textFill>
                  <w14:solidFill>
                    <w14:schemeClr w14:val="tx1"/>
                  </w14:solidFill>
                </w14:textFill>
              </w:rPr>
              <w:t>风电场无论水平位置还是海拔高度，不与当地鸟类迁徙通道以及湖南鸟类迁徙通道保护区域重叠。</w:t>
            </w:r>
            <w:r>
              <w:rPr>
                <w:rFonts w:hint="eastAsia" w:cs="Times New Roman"/>
                <w:bCs/>
                <w:color w:val="000000" w:themeColor="text1"/>
                <w:sz w:val="24"/>
                <w:u w:val="none"/>
                <w:lang w:val="en-US" w:eastAsia="zh-CN"/>
                <w14:textFill>
                  <w14:solidFill>
                    <w14:schemeClr w14:val="tx1"/>
                  </w14:solidFill>
                </w14:textFill>
              </w:rPr>
              <w:t>太平山</w:t>
            </w:r>
            <w:r>
              <w:rPr>
                <w:rFonts w:ascii="Times New Roman" w:hAnsi="Times New Roman" w:eastAsia="宋体" w:cs="Times New Roman"/>
                <w:bCs/>
                <w:color w:val="000000" w:themeColor="text1"/>
                <w:sz w:val="24"/>
                <w:u w:val="none"/>
                <w14:textFill>
                  <w14:solidFill>
                    <w14:schemeClr w14:val="tx1"/>
                  </w14:solidFill>
                </w14:textFill>
              </w:rPr>
              <w:t>风电场设计的风机位无论水平位置还是海拔高度，不与</w:t>
            </w:r>
            <w:r>
              <w:rPr>
                <w:rFonts w:hint="eastAsia" w:cs="Times New Roman"/>
                <w:bCs/>
                <w:color w:val="000000" w:themeColor="text1"/>
                <w:sz w:val="24"/>
                <w:u w:val="none"/>
                <w:lang w:eastAsia="zh-CN"/>
                <w14:textFill>
                  <w14:solidFill>
                    <w14:schemeClr w14:val="tx1"/>
                  </w14:solidFill>
                </w14:textFill>
              </w:rPr>
              <w:t>通道县</w:t>
            </w:r>
            <w:r>
              <w:rPr>
                <w:rFonts w:ascii="Times New Roman" w:hAnsi="Times New Roman" w:eastAsia="宋体" w:cs="Times New Roman"/>
                <w:bCs/>
                <w:color w:val="000000" w:themeColor="text1"/>
                <w:sz w:val="24"/>
                <w:u w:val="none"/>
                <w14:textFill>
                  <w14:solidFill>
                    <w14:schemeClr w14:val="tx1"/>
                  </w14:solidFill>
                </w14:textFill>
              </w:rPr>
              <w:t>的鸟类迁徙通道重叠。</w:t>
            </w:r>
          </w:p>
          <w:p w14:paraId="67408E67">
            <w:pPr>
              <w:pStyle w:val="4"/>
              <w:rPr>
                <w:rFonts w:hint="eastAsia" w:ascii="Times New Roman" w:hAnsi="Times New Roman" w:eastAsia="宋体" w:cs="Times New Roman"/>
                <w:color w:val="000000" w:themeColor="text1"/>
                <w:highlight w:val="none"/>
                <w:u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u w:val="none"/>
                <w:lang w:val="en-US" w:eastAsia="zh-CN"/>
                <w14:textFill>
                  <w14:solidFill>
                    <w14:schemeClr w14:val="tx1"/>
                  </w14:solidFill>
                </w14:textFill>
              </w:rPr>
              <w:t>3.5.5 植被</w:t>
            </w:r>
          </w:p>
          <w:p w14:paraId="3840A80E">
            <w:pPr>
              <w:widowControl/>
              <w:ind w:firstLine="480" w:firstLineChars="200"/>
              <w:rPr>
                <w:color w:val="000000" w:themeColor="text1"/>
                <w:sz w:val="24"/>
                <w:u w:val="none"/>
                <w14:textFill>
                  <w14:solidFill>
                    <w14:schemeClr w14:val="tx1"/>
                  </w14:solidFill>
                </w14:textFill>
              </w:rPr>
            </w:pPr>
            <w:r>
              <w:rPr>
                <w:rFonts w:hint="default"/>
                <w:color w:val="000000" w:themeColor="text1"/>
                <w:u w:val="none"/>
                <w:lang w:val="en-US" w:eastAsia="zh-CN"/>
                <w14:textFill>
                  <w14:solidFill>
                    <w14:schemeClr w14:val="tx1"/>
                  </w14:solidFill>
                </w14:textFill>
              </w:rPr>
              <w:t>根据《中国植被》确定的植物群落学——生态学分类原则，我们采用植被型组、植被型、群系等基本单位，将评价区常见自然植被划为</w:t>
            </w:r>
            <w:r>
              <w:rPr>
                <w:rFonts w:hint="eastAsia"/>
                <w:color w:val="000000" w:themeColor="text1"/>
                <w:u w:val="none"/>
                <w:lang w:val="en-US" w:eastAsia="zh-CN"/>
                <w14:textFill>
                  <w14:solidFill>
                    <w14:schemeClr w14:val="tx1"/>
                  </w14:solidFill>
                </w14:textFill>
              </w:rPr>
              <w:t>4</w:t>
            </w:r>
            <w:r>
              <w:rPr>
                <w:rFonts w:hint="default"/>
                <w:color w:val="000000" w:themeColor="text1"/>
                <w:u w:val="none"/>
                <w:lang w:val="en-US" w:eastAsia="zh-CN"/>
                <w14:textFill>
                  <w14:solidFill>
                    <w14:schemeClr w14:val="tx1"/>
                  </w14:solidFill>
                </w14:textFill>
              </w:rPr>
              <w:t>个植被型组、</w:t>
            </w:r>
            <w:r>
              <w:rPr>
                <w:rFonts w:hint="eastAsia"/>
                <w:color w:val="000000" w:themeColor="text1"/>
                <w:u w:val="none"/>
                <w:lang w:val="en-US" w:eastAsia="zh-CN"/>
                <w14:textFill>
                  <w14:solidFill>
                    <w14:schemeClr w14:val="tx1"/>
                  </w14:solidFill>
                </w14:textFill>
              </w:rPr>
              <w:t>6</w:t>
            </w:r>
            <w:r>
              <w:rPr>
                <w:rFonts w:hint="default"/>
                <w:color w:val="000000" w:themeColor="text1"/>
                <w:u w:val="none"/>
                <w:lang w:val="en-US" w:eastAsia="zh-CN"/>
                <w14:textFill>
                  <w14:solidFill>
                    <w14:schemeClr w14:val="tx1"/>
                  </w14:solidFill>
                </w14:textFill>
              </w:rPr>
              <w:t>个植被型、</w:t>
            </w:r>
            <w:r>
              <w:rPr>
                <w:rFonts w:hint="eastAsia"/>
                <w:color w:val="000000" w:themeColor="text1"/>
                <w:u w:val="none"/>
                <w:lang w:val="en-US" w:eastAsia="zh-CN"/>
                <w14:textFill>
                  <w14:solidFill>
                    <w14:schemeClr w14:val="tx1"/>
                  </w14:solidFill>
                </w14:textFill>
              </w:rPr>
              <w:t>12</w:t>
            </w:r>
            <w:r>
              <w:rPr>
                <w:rFonts w:hint="default"/>
                <w:color w:val="000000" w:themeColor="text1"/>
                <w:u w:val="none"/>
                <w:lang w:val="en-US" w:eastAsia="zh-CN"/>
                <w14:textFill>
                  <w14:solidFill>
                    <w14:schemeClr w14:val="tx1"/>
                  </w14:solidFill>
                </w14:textFill>
              </w:rPr>
              <w:t>个群系。评价区现状植被以针阔混交林和阔叶林为主，针叶林较多。</w:t>
            </w:r>
            <w:r>
              <w:rPr>
                <w:rFonts w:hint="eastAsia"/>
                <w:color w:val="000000" w:themeColor="text1"/>
                <w:sz w:val="24"/>
                <w:u w:val="none"/>
                <w14:textFill>
                  <w14:solidFill>
                    <w14:schemeClr w14:val="tx1"/>
                  </w14:solidFill>
                </w14:textFill>
              </w:rPr>
              <w:t>评价区的植被分类系统如下：</w:t>
            </w:r>
          </w:p>
          <w:p w14:paraId="78E0BBDD">
            <w:pPr>
              <w:widowControl/>
              <w:jc w:val="left"/>
              <w:rPr>
                <w:rFonts w:eastAsia="黑体"/>
                <w:color w:val="000000" w:themeColor="text1"/>
                <w:sz w:val="24"/>
                <w:szCs w:val="24"/>
                <w:u w:val="none"/>
                <w14:textFill>
                  <w14:solidFill>
                    <w14:schemeClr w14:val="tx1"/>
                  </w14:solidFill>
                </w14:textFill>
              </w:rPr>
            </w:pPr>
            <w:r>
              <w:rPr>
                <w:rFonts w:hint="eastAsia" w:eastAsia="黑体"/>
                <w:color w:val="000000" w:themeColor="text1"/>
                <w:sz w:val="24"/>
                <w:szCs w:val="24"/>
                <w:u w:val="none"/>
                <w14:textFill>
                  <w14:solidFill>
                    <w14:schemeClr w14:val="tx1"/>
                  </w14:solidFill>
                </w14:textFill>
              </w:rPr>
              <w:t>针叶林</w:t>
            </w:r>
          </w:p>
          <w:p w14:paraId="790A93E5">
            <w:pPr>
              <w:widowControl/>
              <w:ind w:firstLine="482" w:firstLineChars="200"/>
              <w:jc w:val="left"/>
              <w:rPr>
                <w:b/>
                <w:color w:val="000000" w:themeColor="text1"/>
                <w:sz w:val="24"/>
                <w:szCs w:val="24"/>
                <w:u w:val="none"/>
                <w14:textFill>
                  <w14:solidFill>
                    <w14:schemeClr w14:val="tx1"/>
                  </w14:solidFill>
                </w14:textFill>
              </w:rPr>
            </w:pPr>
            <w:r>
              <w:rPr>
                <w:rFonts w:hint="eastAsia"/>
                <w:b/>
                <w:color w:val="000000" w:themeColor="text1"/>
                <w:sz w:val="24"/>
                <w:szCs w:val="24"/>
                <w:u w:val="none"/>
                <w14:textFill>
                  <w14:solidFill>
                    <w14:schemeClr w14:val="tx1"/>
                  </w14:solidFill>
                </w14:textFill>
              </w:rPr>
              <w:t>Ⅰ.暖性针叶林</w:t>
            </w:r>
          </w:p>
          <w:p w14:paraId="74FF11D6">
            <w:pPr>
              <w:widowControl/>
              <w:numPr>
                <w:ilvl w:val="0"/>
                <w:numId w:val="0"/>
              </w:numPr>
              <w:ind w:firstLine="480" w:firstLineChars="200"/>
              <w:jc w:val="left"/>
              <w:rPr>
                <w:color w:val="000000" w:themeColor="text1"/>
                <w:sz w:val="24"/>
                <w:szCs w:val="24"/>
                <w:u w:val="none"/>
                <w14:textFill>
                  <w14:solidFill>
                    <w14:schemeClr w14:val="tx1"/>
                  </w14:solidFill>
                </w14:textFill>
              </w:rPr>
            </w:pPr>
            <w:r>
              <w:rPr>
                <w:rFonts w:hint="eastAsia"/>
                <w:color w:val="000000" w:themeColor="text1"/>
                <w:sz w:val="24"/>
                <w:szCs w:val="24"/>
                <w:u w:val="none"/>
                <w:lang w:eastAsia="zh-CN"/>
                <w14:textFill>
                  <w14:solidFill>
                    <w14:schemeClr w14:val="tx1"/>
                  </w14:solidFill>
                </w14:textFill>
              </w:rPr>
              <w:t>（</w:t>
            </w:r>
            <w:r>
              <w:rPr>
                <w:rFonts w:hint="eastAsia"/>
                <w:color w:val="000000" w:themeColor="text1"/>
                <w:sz w:val="24"/>
                <w:szCs w:val="24"/>
                <w:u w:val="none"/>
                <w:lang w:val="en-US" w:eastAsia="zh-CN"/>
                <w14:textFill>
                  <w14:solidFill>
                    <w14:schemeClr w14:val="tx1"/>
                  </w14:solidFill>
                </w14:textFill>
              </w:rPr>
              <w:t>1）</w:t>
            </w:r>
            <w:r>
              <w:rPr>
                <w:rFonts w:hint="eastAsia"/>
                <w:color w:val="000000" w:themeColor="text1"/>
                <w:sz w:val="24"/>
                <w:szCs w:val="24"/>
                <w:u w:val="none"/>
                <w14:textFill>
                  <w14:solidFill>
                    <w14:schemeClr w14:val="tx1"/>
                  </w14:solidFill>
                </w14:textFill>
              </w:rPr>
              <w:t>杉木林（</w:t>
            </w:r>
            <w:r>
              <w:rPr>
                <w:color w:val="000000" w:themeColor="text1"/>
                <w:sz w:val="24"/>
                <w:szCs w:val="24"/>
                <w:u w:val="none"/>
                <w14:textFill>
                  <w14:solidFill>
                    <w14:schemeClr w14:val="tx1"/>
                  </w14:solidFill>
                </w14:textFill>
              </w:rPr>
              <w:t xml:space="preserve">Form. </w:t>
            </w:r>
            <w:r>
              <w:rPr>
                <w:i/>
                <w:color w:val="000000" w:themeColor="text1"/>
                <w:sz w:val="24"/>
                <w:szCs w:val="24"/>
                <w:u w:val="none"/>
                <w14:textFill>
                  <w14:solidFill>
                    <w14:schemeClr w14:val="tx1"/>
                  </w14:solidFill>
                </w14:textFill>
              </w:rPr>
              <w:t>Cunninghamia lanceolata</w:t>
            </w:r>
            <w:r>
              <w:rPr>
                <w:rFonts w:hint="eastAsia"/>
                <w:color w:val="000000" w:themeColor="text1"/>
                <w:sz w:val="24"/>
                <w:szCs w:val="24"/>
                <w:u w:val="none"/>
                <w14:textFill>
                  <w14:solidFill>
                    <w14:schemeClr w14:val="tx1"/>
                  </w14:solidFill>
                </w14:textFill>
              </w:rPr>
              <w:t>）</w:t>
            </w:r>
          </w:p>
          <w:p w14:paraId="7B2763C6">
            <w:pPr>
              <w:widowControl/>
              <w:numPr>
                <w:ilvl w:val="0"/>
                <w:numId w:val="0"/>
              </w:numPr>
              <w:ind w:firstLine="480" w:firstLineChars="200"/>
              <w:jc w:val="left"/>
              <w:rPr>
                <w:color w:val="000000" w:themeColor="text1"/>
                <w:sz w:val="24"/>
                <w:szCs w:val="24"/>
                <w:u w:val="none"/>
                <w14:textFill>
                  <w14:solidFill>
                    <w14:schemeClr w14:val="tx1"/>
                  </w14:solidFill>
                </w14:textFill>
              </w:rPr>
            </w:pPr>
            <w:r>
              <w:rPr>
                <w:rFonts w:hint="eastAsia"/>
                <w:color w:val="000000" w:themeColor="text1"/>
                <w:sz w:val="24"/>
                <w:szCs w:val="24"/>
                <w:u w:val="none"/>
                <w:lang w:eastAsia="zh-CN"/>
                <w14:textFill>
                  <w14:solidFill>
                    <w14:schemeClr w14:val="tx1"/>
                  </w14:solidFill>
                </w14:textFill>
              </w:rPr>
              <w:t>（</w:t>
            </w:r>
            <w:r>
              <w:rPr>
                <w:rFonts w:hint="eastAsia"/>
                <w:color w:val="000000" w:themeColor="text1"/>
                <w:sz w:val="24"/>
                <w:szCs w:val="24"/>
                <w:u w:val="none"/>
                <w:lang w:val="en-US" w:eastAsia="zh-CN"/>
                <w14:textFill>
                  <w14:solidFill>
                    <w14:schemeClr w14:val="tx1"/>
                  </w14:solidFill>
                </w14:textFill>
              </w:rPr>
              <w:t>2）</w:t>
            </w:r>
            <w:r>
              <w:rPr>
                <w:rFonts w:hint="eastAsia"/>
                <w:color w:val="000000" w:themeColor="text1"/>
                <w:sz w:val="24"/>
                <w:szCs w:val="24"/>
                <w:u w:val="none"/>
                <w14:textFill>
                  <w14:solidFill>
                    <w14:schemeClr w14:val="tx1"/>
                  </w14:solidFill>
                </w14:textFill>
              </w:rPr>
              <w:t>马尾松林（</w:t>
            </w:r>
            <w:r>
              <w:rPr>
                <w:color w:val="000000" w:themeColor="text1"/>
                <w:sz w:val="24"/>
                <w:szCs w:val="24"/>
                <w:u w:val="none"/>
                <w14:textFill>
                  <w14:solidFill>
                    <w14:schemeClr w14:val="tx1"/>
                  </w14:solidFill>
                </w14:textFill>
              </w:rPr>
              <w:t xml:space="preserve">Form. </w:t>
            </w:r>
            <w:r>
              <w:rPr>
                <w:i/>
                <w:iCs/>
                <w:color w:val="000000" w:themeColor="text1"/>
                <w:sz w:val="24"/>
                <w:szCs w:val="24"/>
                <w:u w:val="none"/>
                <w14:textFill>
                  <w14:solidFill>
                    <w14:schemeClr w14:val="tx1"/>
                  </w14:solidFill>
                </w14:textFill>
              </w:rPr>
              <w:t>Pinus massoniana</w:t>
            </w:r>
            <w:r>
              <w:rPr>
                <w:rFonts w:hint="eastAsia"/>
                <w:color w:val="000000" w:themeColor="text1"/>
                <w:sz w:val="24"/>
                <w:szCs w:val="24"/>
                <w:u w:val="none"/>
                <w14:textFill>
                  <w14:solidFill>
                    <w14:schemeClr w14:val="tx1"/>
                  </w14:solidFill>
                </w14:textFill>
              </w:rPr>
              <w:t>）</w:t>
            </w:r>
          </w:p>
          <w:p w14:paraId="59B5FD68">
            <w:pPr>
              <w:widowControl/>
              <w:jc w:val="left"/>
              <w:rPr>
                <w:rFonts w:eastAsia="黑体"/>
                <w:color w:val="000000" w:themeColor="text1"/>
                <w:sz w:val="24"/>
                <w:szCs w:val="24"/>
                <w:u w:val="none"/>
                <w14:textFill>
                  <w14:solidFill>
                    <w14:schemeClr w14:val="tx1"/>
                  </w14:solidFill>
                </w14:textFill>
              </w:rPr>
            </w:pPr>
            <w:r>
              <w:rPr>
                <w:rFonts w:hint="eastAsia" w:eastAsia="黑体"/>
                <w:color w:val="000000" w:themeColor="text1"/>
                <w:sz w:val="24"/>
                <w:szCs w:val="24"/>
                <w:u w:val="none"/>
                <w14:textFill>
                  <w14:solidFill>
                    <w14:schemeClr w14:val="tx1"/>
                  </w14:solidFill>
                </w14:textFill>
              </w:rPr>
              <w:t>阔叶林</w:t>
            </w:r>
          </w:p>
          <w:p w14:paraId="18017A8B">
            <w:pPr>
              <w:pStyle w:val="87"/>
              <w:numPr>
                <w:ilvl w:val="0"/>
                <w:numId w:val="4"/>
              </w:numPr>
              <w:spacing w:line="360" w:lineRule="auto"/>
              <w:ind w:firstLineChars="0"/>
              <w:rPr>
                <w:rFonts w:hint="eastAsia" w:ascii="Times New Roman" w:hAnsi="Times New Roman" w:eastAsia="宋体" w:cs="Times New Roman"/>
                <w:b/>
                <w:color w:val="000000" w:themeColor="text1"/>
                <w:kern w:val="2"/>
                <w:sz w:val="24"/>
                <w:szCs w:val="24"/>
                <w:u w:val="none"/>
                <w:lang w:val="en-US" w:eastAsia="zh-CN" w:bidi="ar-SA"/>
                <w14:textFill>
                  <w14:solidFill>
                    <w14:schemeClr w14:val="tx1"/>
                  </w14:solidFill>
                </w14:textFill>
              </w:rPr>
            </w:pPr>
            <w:r>
              <w:rPr>
                <w:rFonts w:hint="eastAsia" w:ascii="Times New Roman" w:hAnsi="Times New Roman" w:eastAsia="宋体" w:cs="Times New Roman"/>
                <w:b/>
                <w:color w:val="000000" w:themeColor="text1"/>
                <w:kern w:val="2"/>
                <w:sz w:val="24"/>
                <w:szCs w:val="24"/>
                <w:u w:val="none"/>
                <w:lang w:val="en-US" w:eastAsia="zh-CN" w:bidi="ar-SA"/>
                <w14:textFill>
                  <w14:solidFill>
                    <w14:schemeClr w14:val="tx1"/>
                  </w14:solidFill>
                </w14:textFill>
              </w:rPr>
              <w:t>常绿落叶阔叶混交林</w:t>
            </w:r>
          </w:p>
          <w:p w14:paraId="65D1933B">
            <w:pPr>
              <w:widowControl/>
              <w:numPr>
                <w:ilvl w:val="0"/>
                <w:numId w:val="5"/>
              </w:numPr>
              <w:ind w:firstLine="480" w:firstLineChars="200"/>
              <w:jc w:val="left"/>
              <w:rPr>
                <w:rFonts w:hint="eastAsia"/>
                <w:color w:val="000000" w:themeColor="text1"/>
                <w:sz w:val="24"/>
                <w:szCs w:val="24"/>
                <w:u w:val="none"/>
                <w14:textFill>
                  <w14:solidFill>
                    <w14:schemeClr w14:val="tx1"/>
                  </w14:solidFill>
                </w14:textFill>
              </w:rPr>
            </w:pPr>
            <w:r>
              <w:rPr>
                <w:rFonts w:hint="eastAsia"/>
                <w:color w:val="000000" w:themeColor="text1"/>
                <w:sz w:val="24"/>
                <w:szCs w:val="24"/>
                <w:u w:val="none"/>
                <w:lang w:val="en-US" w:eastAsia="zh-CN"/>
                <w14:textFill>
                  <w14:solidFill>
                    <w14:schemeClr w14:val="tx1"/>
                  </w14:solidFill>
                </w14:textFill>
              </w:rPr>
              <w:t>毛</w:t>
            </w:r>
            <w:r>
              <w:rPr>
                <w:rFonts w:hint="eastAsia"/>
                <w:color w:val="000000" w:themeColor="text1"/>
                <w:sz w:val="24"/>
                <w:szCs w:val="24"/>
                <w:u w:val="none"/>
                <w14:textFill>
                  <w14:solidFill>
                    <w14:schemeClr w14:val="tx1"/>
                  </w14:solidFill>
                </w14:textFill>
              </w:rPr>
              <w:t>竹林（</w:t>
            </w:r>
            <w:r>
              <w:rPr>
                <w:color w:val="000000" w:themeColor="text1"/>
                <w:sz w:val="24"/>
                <w:szCs w:val="24"/>
                <w:u w:val="none"/>
                <w14:textFill>
                  <w14:solidFill>
                    <w14:schemeClr w14:val="tx1"/>
                  </w14:solidFill>
                </w14:textFill>
              </w:rPr>
              <w:t xml:space="preserve">Form. </w:t>
            </w:r>
            <w:r>
              <w:rPr>
                <w:i/>
                <w:iCs/>
                <w:color w:val="000000" w:themeColor="text1"/>
                <w:sz w:val="24"/>
                <w:szCs w:val="24"/>
                <w:u w:val="none"/>
                <w14:textFill>
                  <w14:solidFill>
                    <w14:schemeClr w14:val="tx1"/>
                  </w14:solidFill>
                </w14:textFill>
              </w:rPr>
              <w:t>Phyllostachys sulphurea</w:t>
            </w:r>
            <w:r>
              <w:rPr>
                <w:color w:val="000000" w:themeColor="text1"/>
                <w:sz w:val="24"/>
                <w:szCs w:val="24"/>
                <w:u w:val="none"/>
                <w14:textFill>
                  <w14:solidFill>
                    <w14:schemeClr w14:val="tx1"/>
                  </w14:solidFill>
                </w14:textFill>
              </w:rPr>
              <w:t xml:space="preserve"> var. </w:t>
            </w:r>
            <w:r>
              <w:rPr>
                <w:i/>
                <w:iCs/>
                <w:color w:val="000000" w:themeColor="text1"/>
                <w:sz w:val="24"/>
                <w:szCs w:val="24"/>
                <w:u w:val="none"/>
                <w14:textFill>
                  <w14:solidFill>
                    <w14:schemeClr w14:val="tx1"/>
                  </w14:solidFill>
                </w14:textFill>
              </w:rPr>
              <w:t>viridis</w:t>
            </w:r>
            <w:r>
              <w:rPr>
                <w:rFonts w:hint="eastAsia"/>
                <w:color w:val="000000" w:themeColor="text1"/>
                <w:sz w:val="24"/>
                <w:szCs w:val="24"/>
                <w:u w:val="none"/>
                <w14:textFill>
                  <w14:solidFill>
                    <w14:schemeClr w14:val="tx1"/>
                  </w14:solidFill>
                </w14:textFill>
              </w:rPr>
              <w:t>）</w:t>
            </w:r>
          </w:p>
          <w:p w14:paraId="5CC5804B">
            <w:pPr>
              <w:pStyle w:val="22"/>
              <w:numPr>
                <w:ilvl w:val="0"/>
                <w:numId w:val="5"/>
              </w:numPr>
              <w:rPr>
                <w:rFonts w:ascii="Times New Roman" w:hAnsi="Times New Roman" w:eastAsia="宋体" w:cs="Times New Roman"/>
                <w:i/>
                <w:iCs/>
                <w:snapToGrid/>
                <w:color w:val="000000" w:themeColor="text1"/>
                <w:kern w:val="2"/>
                <w:sz w:val="24"/>
                <w:szCs w:val="24"/>
                <w:u w:val="none"/>
                <w:lang w:val="en-US" w:eastAsia="zh-CN" w:bidi="ar-SA"/>
                <w14:textFill>
                  <w14:solidFill>
                    <w14:schemeClr w14:val="tx1"/>
                  </w14:solidFill>
                </w14:textFill>
              </w:rPr>
            </w:pPr>
            <w:r>
              <w:rPr>
                <w:rFonts w:hint="eastAsia"/>
              </w:rPr>
              <w:t>椴树林</w:t>
            </w:r>
            <w:r>
              <w:rPr>
                <w:rFonts w:hint="eastAsia"/>
                <w:lang w:eastAsia="zh-CN"/>
              </w:rPr>
              <w:t>（</w:t>
            </w:r>
            <w:r>
              <w:rPr>
                <w:rFonts w:hint="eastAsia" w:cs="Times New Roman"/>
                <w:i/>
                <w:iCs/>
                <w:snapToGrid/>
                <w:color w:val="000000" w:themeColor="text1"/>
                <w:kern w:val="2"/>
                <w:sz w:val="24"/>
                <w:szCs w:val="24"/>
                <w:u w:val="none"/>
                <w:lang w:val="en-US" w:eastAsia="zh-CN" w:bidi="ar-SA"/>
                <w14:textFill>
                  <w14:solidFill>
                    <w14:schemeClr w14:val="tx1"/>
                  </w14:solidFill>
                </w14:textFill>
              </w:rPr>
              <w:t>I</w:t>
            </w:r>
            <w:r>
              <w:rPr>
                <w:rFonts w:hint="eastAsia" w:ascii="Times New Roman" w:hAnsi="Times New Roman" w:eastAsia="宋体" w:cs="Times New Roman"/>
                <w:i/>
                <w:iCs/>
                <w:snapToGrid/>
                <w:color w:val="000000" w:themeColor="text1"/>
                <w:kern w:val="2"/>
                <w:sz w:val="24"/>
                <w:szCs w:val="24"/>
                <w:u w:val="none"/>
                <w:lang w:val="en-US" w:eastAsia="zh-CN" w:bidi="ar-SA"/>
                <w14:textFill>
                  <w14:solidFill>
                    <w14:schemeClr w14:val="tx1"/>
                  </w14:solidFill>
                </w14:textFill>
              </w:rPr>
              <w:t>lia miqueliana Maxim）</w:t>
            </w:r>
          </w:p>
          <w:p w14:paraId="20FE7213">
            <w:pPr>
              <w:widowControl/>
              <w:jc w:val="left"/>
              <w:rPr>
                <w:rFonts w:hint="default" w:eastAsia="黑体"/>
                <w:color w:val="000000" w:themeColor="text1"/>
                <w:sz w:val="24"/>
                <w:szCs w:val="24"/>
                <w:u w:val="none"/>
                <w14:textFill>
                  <w14:solidFill>
                    <w14:schemeClr w14:val="tx1"/>
                  </w14:solidFill>
                </w14:textFill>
              </w:rPr>
            </w:pPr>
            <w:r>
              <w:rPr>
                <w:rFonts w:hint="default" w:eastAsia="黑体"/>
                <w:color w:val="000000" w:themeColor="text1"/>
                <w:sz w:val="24"/>
                <w:szCs w:val="24"/>
                <w:u w:val="none"/>
                <w14:textFill>
                  <w14:solidFill>
                    <w14:schemeClr w14:val="tx1"/>
                  </w14:solidFill>
                </w14:textFill>
              </w:rPr>
              <w:t>针阔混交林</w:t>
            </w:r>
          </w:p>
          <w:p w14:paraId="70095EC6">
            <w:pPr>
              <w:widowControl/>
              <w:numPr>
                <w:ilvl w:val="0"/>
                <w:numId w:val="0"/>
              </w:numPr>
              <w:ind w:firstLine="482" w:firstLineChars="200"/>
              <w:jc w:val="left"/>
              <w:rPr>
                <w:rFonts w:hint="default"/>
                <w:color w:val="000000" w:themeColor="text1"/>
                <w:sz w:val="24"/>
                <w:szCs w:val="24"/>
                <w:u w:val="none"/>
                <w14:textFill>
                  <w14:solidFill>
                    <w14:schemeClr w14:val="tx1"/>
                  </w14:solidFill>
                </w14:textFill>
              </w:rPr>
            </w:pPr>
            <w:r>
              <w:rPr>
                <w:rFonts w:hint="eastAsia"/>
                <w:b/>
                <w:color w:val="000000" w:themeColor="text1"/>
                <w:sz w:val="24"/>
                <w:szCs w:val="24"/>
                <w:u w:val="none"/>
                <w14:textFill>
                  <w14:solidFill>
                    <w14:schemeClr w14:val="tx1"/>
                  </w14:solidFill>
                </w14:textFill>
              </w:rPr>
              <w:t>Ⅰ.</w:t>
            </w:r>
            <w:r>
              <w:rPr>
                <w:rFonts w:hint="default"/>
                <w:color w:val="000000" w:themeColor="text1"/>
                <w:sz w:val="24"/>
                <w:szCs w:val="24"/>
                <w:u w:val="none"/>
                <w14:textFill>
                  <w14:solidFill>
                    <w14:schemeClr w14:val="tx1"/>
                  </w14:solidFill>
                </w14:textFill>
              </w:rPr>
              <w:t>针阔混交林</w:t>
            </w:r>
          </w:p>
          <w:p w14:paraId="3FA0F782">
            <w:pPr>
              <w:widowControl/>
              <w:numPr>
                <w:ilvl w:val="0"/>
                <w:numId w:val="0"/>
              </w:numPr>
              <w:ind w:firstLine="480" w:firstLineChars="200"/>
              <w:jc w:val="left"/>
              <w:rPr>
                <w:rFonts w:hint="default"/>
                <w:color w:val="000000" w:themeColor="text1"/>
                <w:sz w:val="24"/>
                <w:szCs w:val="24"/>
                <w:u w:val="none"/>
                <w14:textFill>
                  <w14:solidFill>
                    <w14:schemeClr w14:val="tx1"/>
                  </w14:solidFill>
                </w14:textFill>
              </w:rPr>
            </w:pPr>
            <w:r>
              <w:rPr>
                <w:rFonts w:hint="eastAsia"/>
                <w:color w:val="000000" w:themeColor="text1"/>
                <w:sz w:val="24"/>
                <w:szCs w:val="24"/>
                <w:u w:val="none"/>
                <w:lang w:val="en-US" w:eastAsia="zh-CN"/>
                <w14:textFill>
                  <w14:solidFill>
                    <w14:schemeClr w14:val="tx1"/>
                  </w14:solidFill>
                </w14:textFill>
              </w:rPr>
              <w:t>（1）</w:t>
            </w:r>
            <w:r>
              <w:rPr>
                <w:rFonts w:hint="default"/>
                <w:color w:val="000000" w:themeColor="text1"/>
                <w:sz w:val="24"/>
                <w:szCs w:val="24"/>
                <w:u w:val="none"/>
                <w14:textFill>
                  <w14:solidFill>
                    <w14:schemeClr w14:val="tx1"/>
                  </w14:solidFill>
                </w14:textFill>
              </w:rPr>
              <w:t>马尾松（Form.Pinusmassoniana）</w:t>
            </w:r>
          </w:p>
          <w:p w14:paraId="377BAA35">
            <w:pPr>
              <w:widowControl/>
              <w:jc w:val="left"/>
              <w:rPr>
                <w:rFonts w:hint="eastAsia" w:eastAsia="黑体"/>
                <w:color w:val="000000" w:themeColor="text1"/>
                <w:sz w:val="24"/>
                <w:szCs w:val="24"/>
                <w:u w:val="none"/>
                <w14:textFill>
                  <w14:solidFill>
                    <w14:schemeClr w14:val="tx1"/>
                  </w14:solidFill>
                </w14:textFill>
              </w:rPr>
            </w:pPr>
            <w:r>
              <w:rPr>
                <w:rFonts w:hint="eastAsia" w:eastAsia="黑体"/>
                <w:color w:val="000000" w:themeColor="text1"/>
                <w:sz w:val="24"/>
                <w:szCs w:val="24"/>
                <w:u w:val="none"/>
                <w14:textFill>
                  <w14:solidFill>
                    <w14:schemeClr w14:val="tx1"/>
                  </w14:solidFill>
                </w14:textFill>
              </w:rPr>
              <w:t>灌丛和灌草丛</w:t>
            </w:r>
          </w:p>
          <w:p w14:paraId="7000B5E0">
            <w:pPr>
              <w:widowControl/>
              <w:ind w:firstLine="482" w:firstLineChars="200"/>
              <w:jc w:val="left"/>
              <w:rPr>
                <w:b/>
                <w:color w:val="000000" w:themeColor="text1"/>
                <w:sz w:val="24"/>
                <w:szCs w:val="24"/>
                <w:u w:val="none"/>
                <w14:textFill>
                  <w14:solidFill>
                    <w14:schemeClr w14:val="tx1"/>
                  </w14:solidFill>
                </w14:textFill>
              </w:rPr>
            </w:pPr>
            <w:r>
              <w:rPr>
                <w:rFonts w:hint="eastAsia"/>
                <w:b/>
                <w:color w:val="000000" w:themeColor="text1"/>
                <w:sz w:val="24"/>
                <w:szCs w:val="24"/>
                <w:u w:val="none"/>
                <w14:textFill>
                  <w14:solidFill>
                    <w14:schemeClr w14:val="tx1"/>
                  </w14:solidFill>
                </w14:textFill>
              </w:rPr>
              <w:t>Ⅲ.落叶阔叶灌丛</w:t>
            </w:r>
          </w:p>
          <w:p w14:paraId="6AF63C07">
            <w:pPr>
              <w:widowControl/>
              <w:numPr>
                <w:ilvl w:val="0"/>
                <w:numId w:val="0"/>
              </w:numPr>
              <w:ind w:firstLine="720" w:firstLineChars="300"/>
              <w:jc w:val="left"/>
              <w:rPr>
                <w:rFonts w:hint="eastAsia"/>
                <w:color w:val="000000" w:themeColor="text1"/>
                <w:sz w:val="24"/>
                <w:szCs w:val="24"/>
                <w:u w:val="none"/>
                <w14:textFill>
                  <w14:solidFill>
                    <w14:schemeClr w14:val="tx1"/>
                  </w14:solidFill>
                </w14:textFill>
              </w:rPr>
            </w:pPr>
            <w:r>
              <w:rPr>
                <w:rFonts w:hint="eastAsia"/>
                <w:color w:val="000000" w:themeColor="text1"/>
                <w:sz w:val="24"/>
                <w:szCs w:val="24"/>
                <w:u w:val="none"/>
                <w:lang w:eastAsia="zh-CN"/>
                <w14:textFill>
                  <w14:solidFill>
                    <w14:schemeClr w14:val="tx1"/>
                  </w14:solidFill>
                </w14:textFill>
              </w:rPr>
              <w:t>（</w:t>
            </w:r>
            <w:r>
              <w:rPr>
                <w:rFonts w:hint="eastAsia"/>
                <w:color w:val="000000" w:themeColor="text1"/>
                <w:sz w:val="24"/>
                <w:szCs w:val="24"/>
                <w:u w:val="none"/>
                <w:lang w:val="en-US" w:eastAsia="zh-CN"/>
                <w14:textFill>
                  <w14:solidFill>
                    <w14:schemeClr w14:val="tx1"/>
                  </w14:solidFill>
                </w14:textFill>
              </w:rPr>
              <w:t>1）</w:t>
            </w:r>
            <w:r>
              <w:rPr>
                <w:rFonts w:hint="eastAsia"/>
                <w:color w:val="000000" w:themeColor="text1"/>
                <w:sz w:val="24"/>
                <w:szCs w:val="24"/>
                <w:u w:val="none"/>
                <w14:textFill>
                  <w14:solidFill>
                    <w14:schemeClr w14:val="tx1"/>
                  </w14:solidFill>
                </w14:textFill>
              </w:rPr>
              <w:t>盐肤木灌丛（Form. Rhus chinensis）</w:t>
            </w:r>
          </w:p>
          <w:p w14:paraId="3B0BE762">
            <w:pPr>
              <w:widowControl/>
              <w:numPr>
                <w:ilvl w:val="0"/>
                <w:numId w:val="0"/>
              </w:numPr>
              <w:ind w:firstLine="720" w:firstLineChars="300"/>
              <w:jc w:val="left"/>
              <w:rPr>
                <w:rFonts w:hint="eastAsia"/>
                <w:color w:val="000000" w:themeColor="text1"/>
                <w:sz w:val="24"/>
                <w:szCs w:val="24"/>
                <w:u w:val="none"/>
                <w14:textFill>
                  <w14:solidFill>
                    <w14:schemeClr w14:val="tx1"/>
                  </w14:solidFill>
                </w14:textFill>
              </w:rPr>
            </w:pPr>
            <w:r>
              <w:rPr>
                <w:rFonts w:hint="eastAsia"/>
                <w:color w:val="000000" w:themeColor="text1"/>
                <w:sz w:val="24"/>
                <w:szCs w:val="24"/>
                <w:u w:val="none"/>
                <w:lang w:eastAsia="zh-CN"/>
                <w14:textFill>
                  <w14:solidFill>
                    <w14:schemeClr w14:val="tx1"/>
                  </w14:solidFill>
                </w14:textFill>
              </w:rPr>
              <w:t>（</w:t>
            </w:r>
            <w:r>
              <w:rPr>
                <w:rFonts w:hint="eastAsia"/>
                <w:color w:val="000000" w:themeColor="text1"/>
                <w:sz w:val="24"/>
                <w:szCs w:val="24"/>
                <w:u w:val="none"/>
                <w:lang w:val="en-US" w:eastAsia="zh-CN"/>
                <w14:textFill>
                  <w14:solidFill>
                    <w14:schemeClr w14:val="tx1"/>
                  </w14:solidFill>
                </w14:textFill>
              </w:rPr>
              <w:t>2）</w:t>
            </w:r>
            <w:r>
              <w:rPr>
                <w:rFonts w:hint="eastAsia"/>
                <w:color w:val="000000" w:themeColor="text1"/>
                <w:sz w:val="24"/>
                <w:szCs w:val="24"/>
                <w:u w:val="none"/>
                <w14:textFill>
                  <w14:solidFill>
                    <w14:schemeClr w14:val="tx1"/>
                  </w14:solidFill>
                </w14:textFill>
              </w:rPr>
              <w:t>苎麻（Boehmerianivea (L.)Gaudich.）</w:t>
            </w:r>
          </w:p>
          <w:p w14:paraId="12F302E6">
            <w:pPr>
              <w:widowControl/>
              <w:numPr>
                <w:ilvl w:val="0"/>
                <w:numId w:val="0"/>
              </w:numPr>
              <w:ind w:firstLine="720" w:firstLineChars="300"/>
              <w:jc w:val="left"/>
              <w:rPr>
                <w:rFonts w:hint="eastAsia"/>
                <w:color w:val="000000" w:themeColor="text1"/>
                <w:sz w:val="24"/>
                <w:szCs w:val="24"/>
                <w:u w:val="none"/>
                <w14:textFill>
                  <w14:solidFill>
                    <w14:schemeClr w14:val="tx1"/>
                  </w14:solidFill>
                </w14:textFill>
              </w:rPr>
            </w:pPr>
            <w:r>
              <w:rPr>
                <w:rFonts w:hint="eastAsia"/>
                <w:color w:val="000000" w:themeColor="text1"/>
                <w:sz w:val="24"/>
                <w:szCs w:val="24"/>
                <w:u w:val="none"/>
                <w:lang w:eastAsia="zh-CN"/>
                <w14:textFill>
                  <w14:solidFill>
                    <w14:schemeClr w14:val="tx1"/>
                  </w14:solidFill>
                </w14:textFill>
              </w:rPr>
              <w:t>（</w:t>
            </w:r>
            <w:r>
              <w:rPr>
                <w:rFonts w:hint="eastAsia"/>
                <w:color w:val="000000" w:themeColor="text1"/>
                <w:sz w:val="24"/>
                <w:szCs w:val="24"/>
                <w:u w:val="none"/>
                <w:lang w:val="en-US" w:eastAsia="zh-CN"/>
                <w14:textFill>
                  <w14:solidFill>
                    <w14:schemeClr w14:val="tx1"/>
                  </w14:solidFill>
                </w14:textFill>
              </w:rPr>
              <w:t>3）</w:t>
            </w:r>
            <w:r>
              <w:rPr>
                <w:rFonts w:hint="eastAsia"/>
                <w:color w:val="000000" w:themeColor="text1"/>
                <w:sz w:val="24"/>
                <w:szCs w:val="24"/>
                <w:u w:val="none"/>
                <w14:textFill>
                  <w14:solidFill>
                    <w14:schemeClr w14:val="tx1"/>
                  </w14:solidFill>
                </w14:textFill>
              </w:rPr>
              <w:t>芒萁（Dicranopterispedata(Houtt.)Nakaike）</w:t>
            </w:r>
          </w:p>
          <w:p w14:paraId="17446038">
            <w:pPr>
              <w:widowControl/>
              <w:ind w:firstLine="482" w:firstLineChars="200"/>
              <w:jc w:val="left"/>
              <w:rPr>
                <w:b/>
                <w:color w:val="000000" w:themeColor="text1"/>
                <w:sz w:val="24"/>
                <w:szCs w:val="24"/>
                <w:u w:val="none"/>
                <w14:textFill>
                  <w14:solidFill>
                    <w14:schemeClr w14:val="tx1"/>
                  </w14:solidFill>
                </w14:textFill>
              </w:rPr>
            </w:pPr>
            <w:r>
              <w:rPr>
                <w:rFonts w:hint="eastAsia"/>
                <w:b/>
                <w:color w:val="000000" w:themeColor="text1"/>
                <w:sz w:val="24"/>
                <w:szCs w:val="24"/>
                <w:u w:val="none"/>
                <w14:textFill>
                  <w14:solidFill>
                    <w14:schemeClr w14:val="tx1"/>
                  </w14:solidFill>
                </w14:textFill>
              </w:rPr>
              <w:t>Ⅳ.常绿阔叶灌草丛</w:t>
            </w:r>
          </w:p>
          <w:p w14:paraId="6ED53CBB">
            <w:pPr>
              <w:widowControl/>
              <w:numPr>
                <w:ilvl w:val="0"/>
                <w:numId w:val="0"/>
              </w:numPr>
              <w:ind w:firstLine="720" w:firstLineChars="300"/>
              <w:jc w:val="left"/>
              <w:rPr>
                <w:color w:val="000000" w:themeColor="text1"/>
                <w:sz w:val="24"/>
                <w:szCs w:val="24"/>
                <w:u w:val="none"/>
                <w14:textFill>
                  <w14:solidFill>
                    <w14:schemeClr w14:val="tx1"/>
                  </w14:solidFill>
                </w14:textFill>
              </w:rPr>
            </w:pPr>
            <w:r>
              <w:rPr>
                <w:rFonts w:hint="eastAsia"/>
                <w:color w:val="000000" w:themeColor="text1"/>
                <w:sz w:val="24"/>
                <w:szCs w:val="24"/>
                <w:u w:val="none"/>
                <w:lang w:eastAsia="zh-CN"/>
                <w14:textFill>
                  <w14:solidFill>
                    <w14:schemeClr w14:val="tx1"/>
                  </w14:solidFill>
                </w14:textFill>
              </w:rPr>
              <w:t>（</w:t>
            </w:r>
            <w:r>
              <w:rPr>
                <w:rFonts w:hint="eastAsia"/>
                <w:color w:val="000000" w:themeColor="text1"/>
                <w:sz w:val="24"/>
                <w:szCs w:val="24"/>
                <w:u w:val="none"/>
                <w:lang w:val="en-US" w:eastAsia="zh-CN"/>
                <w14:textFill>
                  <w14:solidFill>
                    <w14:schemeClr w14:val="tx1"/>
                  </w14:solidFill>
                </w14:textFill>
              </w:rPr>
              <w:t>4）</w:t>
            </w:r>
            <w:r>
              <w:rPr>
                <w:rFonts w:hint="eastAsia"/>
                <w:color w:val="000000" w:themeColor="text1"/>
                <w:sz w:val="24"/>
                <w:szCs w:val="24"/>
                <w:u w:val="none"/>
                <w14:textFill>
                  <w14:solidFill>
                    <w14:schemeClr w14:val="tx1"/>
                  </w14:solidFill>
                </w14:textFill>
              </w:rPr>
              <w:t>紫萁灌丛（</w:t>
            </w:r>
            <w:r>
              <w:rPr>
                <w:color w:val="000000" w:themeColor="text1"/>
                <w:sz w:val="24"/>
                <w:szCs w:val="24"/>
                <w:u w:val="none"/>
                <w14:textFill>
                  <w14:solidFill>
                    <w14:schemeClr w14:val="tx1"/>
                  </w14:solidFill>
                </w14:textFill>
              </w:rPr>
              <w:t>Form</w:t>
            </w:r>
            <w:r>
              <w:rPr>
                <w:i/>
                <w:color w:val="000000" w:themeColor="text1"/>
                <w:sz w:val="24"/>
                <w:szCs w:val="24"/>
                <w:u w:val="none"/>
                <w14:textFill>
                  <w14:solidFill>
                    <w14:schemeClr w14:val="tx1"/>
                  </w14:solidFill>
                </w14:textFill>
              </w:rPr>
              <w:t>.Osmunda japonica Thunb</w:t>
            </w:r>
            <w:r>
              <w:rPr>
                <w:rFonts w:hint="eastAsia"/>
                <w:iCs/>
                <w:color w:val="000000" w:themeColor="text1"/>
                <w:sz w:val="24"/>
                <w:szCs w:val="24"/>
                <w:u w:val="none"/>
                <w14:textFill>
                  <w14:solidFill>
                    <w14:schemeClr w14:val="tx1"/>
                  </w14:solidFill>
                </w14:textFill>
              </w:rPr>
              <w:t>）</w:t>
            </w:r>
          </w:p>
          <w:p w14:paraId="55CF2896">
            <w:pPr>
              <w:widowControl/>
              <w:numPr>
                <w:ilvl w:val="0"/>
                <w:numId w:val="0"/>
              </w:numPr>
              <w:ind w:firstLine="720" w:firstLineChars="300"/>
              <w:jc w:val="left"/>
              <w:rPr>
                <w:i/>
                <w:color w:val="000000" w:themeColor="text1"/>
                <w:sz w:val="24"/>
                <w:szCs w:val="24"/>
                <w:u w:val="none"/>
                <w14:textFill>
                  <w14:solidFill>
                    <w14:schemeClr w14:val="tx1"/>
                  </w14:solidFill>
                </w14:textFill>
              </w:rPr>
            </w:pPr>
            <w:r>
              <w:rPr>
                <w:rFonts w:hint="eastAsia"/>
                <w:color w:val="000000" w:themeColor="text1"/>
                <w:sz w:val="24"/>
                <w:szCs w:val="24"/>
                <w:u w:val="none"/>
                <w:lang w:eastAsia="zh-CN"/>
                <w14:textFill>
                  <w14:solidFill>
                    <w14:schemeClr w14:val="tx1"/>
                  </w14:solidFill>
                </w14:textFill>
              </w:rPr>
              <w:t>（</w:t>
            </w:r>
            <w:r>
              <w:rPr>
                <w:rFonts w:hint="eastAsia"/>
                <w:color w:val="000000" w:themeColor="text1"/>
                <w:sz w:val="24"/>
                <w:szCs w:val="24"/>
                <w:u w:val="none"/>
                <w:lang w:val="en-US" w:eastAsia="zh-CN"/>
                <w14:textFill>
                  <w14:solidFill>
                    <w14:schemeClr w14:val="tx1"/>
                  </w14:solidFill>
                </w14:textFill>
              </w:rPr>
              <w:t>5）</w:t>
            </w:r>
            <w:r>
              <w:rPr>
                <w:rFonts w:hint="eastAsia"/>
                <w:color w:val="000000" w:themeColor="text1"/>
                <w:sz w:val="24"/>
                <w:szCs w:val="24"/>
                <w:u w:val="none"/>
                <w14:textFill>
                  <w14:solidFill>
                    <w14:schemeClr w14:val="tx1"/>
                  </w14:solidFill>
                </w14:textFill>
              </w:rPr>
              <w:t>卫矛灌丛</w:t>
            </w:r>
            <w:r>
              <w:rPr>
                <w:color w:val="000000" w:themeColor="text1"/>
                <w:sz w:val="24"/>
                <w:szCs w:val="24"/>
                <w:u w:val="none"/>
                <w14:textFill>
                  <w14:solidFill>
                    <w14:schemeClr w14:val="tx1"/>
                  </w14:solidFill>
                </w14:textFill>
              </w:rPr>
              <w:t>（Form</w:t>
            </w:r>
            <w:r>
              <w:rPr>
                <w:i/>
                <w:color w:val="000000" w:themeColor="text1"/>
                <w:sz w:val="24"/>
                <w:szCs w:val="24"/>
                <w:u w:val="none"/>
                <w14:textFill>
                  <w14:solidFill>
                    <w14:schemeClr w14:val="tx1"/>
                  </w14:solidFill>
                </w14:textFill>
              </w:rPr>
              <w:t>.</w:t>
            </w:r>
            <w:r>
              <w:rPr>
                <w:rFonts w:eastAsia="华文楷体"/>
                <w:b/>
                <w:color w:val="000000" w:themeColor="text1"/>
                <w:sz w:val="24"/>
                <w:u w:val="none"/>
                <w14:textFill>
                  <w14:solidFill>
                    <w14:schemeClr w14:val="tx1"/>
                  </w14:solidFill>
                </w14:textFill>
              </w:rPr>
              <w:t xml:space="preserve"> </w:t>
            </w:r>
            <w:r>
              <w:rPr>
                <w:i/>
                <w:color w:val="000000" w:themeColor="text1"/>
                <w:sz w:val="24"/>
                <w:szCs w:val="24"/>
                <w:u w:val="none"/>
                <w14:textFill>
                  <w14:solidFill>
                    <w14:schemeClr w14:val="tx1"/>
                  </w14:solidFill>
                </w14:textFill>
              </w:rPr>
              <w:t>Euonymus alatus</w:t>
            </w:r>
            <w:r>
              <w:rPr>
                <w:iCs/>
                <w:color w:val="000000" w:themeColor="text1"/>
                <w:sz w:val="24"/>
                <w:szCs w:val="24"/>
                <w:u w:val="none"/>
                <w14:textFill>
                  <w14:solidFill>
                    <w14:schemeClr w14:val="tx1"/>
                  </w14:solidFill>
                </w14:textFill>
              </w:rPr>
              <w:t>）</w:t>
            </w:r>
          </w:p>
          <w:p w14:paraId="24600488">
            <w:pPr>
              <w:widowControl/>
              <w:ind w:firstLine="482" w:firstLineChars="200"/>
              <w:jc w:val="left"/>
              <w:rPr>
                <w:b/>
                <w:color w:val="000000" w:themeColor="text1"/>
                <w:sz w:val="24"/>
                <w:szCs w:val="24"/>
                <w:u w:val="none"/>
                <w14:textFill>
                  <w14:solidFill>
                    <w14:schemeClr w14:val="tx1"/>
                  </w14:solidFill>
                </w14:textFill>
              </w:rPr>
            </w:pPr>
            <w:r>
              <w:rPr>
                <w:rFonts w:hint="eastAsia"/>
                <w:b/>
                <w:color w:val="000000" w:themeColor="text1"/>
                <w:sz w:val="24"/>
                <w:szCs w:val="24"/>
                <w:u w:val="none"/>
                <w:lang w:val="en-US" w:eastAsia="zh-CN"/>
                <w14:textFill>
                  <w14:solidFill>
                    <w14:schemeClr w14:val="tx1"/>
                  </w14:solidFill>
                </w14:textFill>
              </w:rPr>
              <w:t xml:space="preserve">  </w:t>
            </w:r>
            <w:r>
              <w:rPr>
                <w:rFonts w:hint="eastAsia"/>
                <w:b/>
                <w:color w:val="000000" w:themeColor="text1"/>
                <w:sz w:val="24"/>
                <w:szCs w:val="24"/>
                <w:u w:val="none"/>
                <w14:textFill>
                  <w14:solidFill>
                    <w14:schemeClr w14:val="tx1"/>
                  </w14:solidFill>
                </w14:textFill>
              </w:rPr>
              <w:t>Ⅴ.灌草丛</w:t>
            </w:r>
          </w:p>
          <w:p w14:paraId="38F9CFEF">
            <w:pPr>
              <w:widowControl/>
              <w:numPr>
                <w:ilvl w:val="0"/>
                <w:numId w:val="0"/>
              </w:numPr>
              <w:ind w:firstLine="720" w:firstLineChars="300"/>
              <w:jc w:val="left"/>
              <w:rPr>
                <w:color w:val="000000" w:themeColor="text1"/>
                <w:sz w:val="24"/>
                <w:szCs w:val="24"/>
                <w:u w:val="none"/>
                <w14:textFill>
                  <w14:solidFill>
                    <w14:schemeClr w14:val="tx1"/>
                  </w14:solidFill>
                </w14:textFill>
              </w:rPr>
            </w:pPr>
            <w:r>
              <w:rPr>
                <w:rFonts w:hint="eastAsia"/>
                <w:color w:val="000000" w:themeColor="text1"/>
                <w:sz w:val="24"/>
                <w:szCs w:val="24"/>
                <w:u w:val="none"/>
                <w:lang w:eastAsia="zh-CN"/>
                <w14:textFill>
                  <w14:solidFill>
                    <w14:schemeClr w14:val="tx1"/>
                  </w14:solidFill>
                </w14:textFill>
              </w:rPr>
              <w:t>（</w:t>
            </w:r>
            <w:r>
              <w:rPr>
                <w:rFonts w:hint="eastAsia"/>
                <w:color w:val="000000" w:themeColor="text1"/>
                <w:sz w:val="24"/>
                <w:szCs w:val="24"/>
                <w:u w:val="none"/>
                <w:lang w:val="en-US" w:eastAsia="zh-CN"/>
                <w14:textFill>
                  <w14:solidFill>
                    <w14:schemeClr w14:val="tx1"/>
                  </w14:solidFill>
                </w14:textFill>
              </w:rPr>
              <w:t>6）</w:t>
            </w:r>
            <w:r>
              <w:rPr>
                <w:rFonts w:hint="eastAsia"/>
                <w:color w:val="000000" w:themeColor="text1"/>
                <w:sz w:val="24"/>
                <w:szCs w:val="24"/>
                <w:u w:val="none"/>
                <w14:textFill>
                  <w14:solidFill>
                    <w14:schemeClr w14:val="tx1"/>
                  </w14:solidFill>
                </w14:textFill>
              </w:rPr>
              <w:t>白茅灌草丛（</w:t>
            </w:r>
            <w:r>
              <w:rPr>
                <w:color w:val="000000" w:themeColor="text1"/>
                <w:sz w:val="24"/>
                <w:szCs w:val="24"/>
                <w:u w:val="none"/>
                <w14:textFill>
                  <w14:solidFill>
                    <w14:schemeClr w14:val="tx1"/>
                  </w14:solidFill>
                </w14:textFill>
              </w:rPr>
              <w:t xml:space="preserve">Form. </w:t>
            </w:r>
            <w:r>
              <w:rPr>
                <w:i/>
                <w:color w:val="000000" w:themeColor="text1"/>
                <w:sz w:val="24"/>
                <w:szCs w:val="24"/>
                <w:u w:val="none"/>
                <w14:textFill>
                  <w14:solidFill>
                    <w14:schemeClr w14:val="tx1"/>
                  </w14:solidFill>
                </w14:textFill>
              </w:rPr>
              <w:t>Imperata cylindrica</w:t>
            </w:r>
            <w:r>
              <w:rPr>
                <w:rFonts w:hint="eastAsia"/>
                <w:color w:val="000000" w:themeColor="text1"/>
                <w:sz w:val="24"/>
                <w:szCs w:val="24"/>
                <w:u w:val="none"/>
                <w14:textFill>
                  <w14:solidFill>
                    <w14:schemeClr w14:val="tx1"/>
                  </w14:solidFill>
                </w14:textFill>
              </w:rPr>
              <w:t>）</w:t>
            </w:r>
          </w:p>
          <w:p w14:paraId="65BAA310">
            <w:pPr>
              <w:pStyle w:val="4"/>
              <w:ind w:firstLine="720" w:firstLineChars="300"/>
              <w:rPr>
                <w:rFonts w:hint="eastAsia" w:ascii="Times New Roman" w:hAnsi="Times New Roman" w:eastAsia="宋体" w:cs="Times New Roman"/>
                <w:b w:val="0"/>
                <w:bCs w:val="0"/>
                <w:color w:val="000000" w:themeColor="text1"/>
                <w:kern w:val="2"/>
                <w:sz w:val="24"/>
                <w:szCs w:val="24"/>
                <w:u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u w:val="none"/>
                <w:lang w:val="en-US" w:eastAsia="zh-CN" w:bidi="ar-SA"/>
                <w14:textFill>
                  <w14:solidFill>
                    <w14:schemeClr w14:val="tx1"/>
                  </w14:solidFill>
                </w14:textFill>
              </w:rPr>
              <w:t>（</w:t>
            </w:r>
            <w:r>
              <w:rPr>
                <w:rFonts w:hint="eastAsia" w:cs="Times New Roman"/>
                <w:b w:val="0"/>
                <w:bCs w:val="0"/>
                <w:color w:val="000000" w:themeColor="text1"/>
                <w:kern w:val="2"/>
                <w:sz w:val="24"/>
                <w:szCs w:val="24"/>
                <w:u w:val="none"/>
                <w:lang w:val="en-US" w:eastAsia="zh-CN" w:bidi="ar-SA"/>
                <w14:textFill>
                  <w14:solidFill>
                    <w14:schemeClr w14:val="tx1"/>
                  </w14:solidFill>
                </w14:textFill>
              </w:rPr>
              <w:t>7</w:t>
            </w:r>
            <w:r>
              <w:rPr>
                <w:rFonts w:hint="eastAsia" w:ascii="Times New Roman" w:hAnsi="Times New Roman" w:eastAsia="宋体" w:cs="Times New Roman"/>
                <w:b w:val="0"/>
                <w:bCs w:val="0"/>
                <w:color w:val="000000" w:themeColor="text1"/>
                <w:kern w:val="2"/>
                <w:sz w:val="24"/>
                <w:szCs w:val="24"/>
                <w:u w:val="none"/>
                <w:lang w:val="en-US" w:eastAsia="zh-CN" w:bidi="ar-SA"/>
                <w14:textFill>
                  <w14:solidFill>
                    <w14:schemeClr w14:val="tx1"/>
                  </w14:solidFill>
                </w14:textFill>
              </w:rPr>
              <w:t>）五节芒灌草丛(Form. Miscanthus floridulus)</w:t>
            </w:r>
          </w:p>
          <w:p w14:paraId="5E0B8037">
            <w:pPr>
              <w:pStyle w:val="4"/>
              <w:ind w:firstLine="720" w:firstLineChars="300"/>
              <w:rPr>
                <w:rFonts w:hint="eastAsia" w:ascii="Times New Roman" w:hAnsi="Times New Roman" w:eastAsia="宋体" w:cs="Times New Roman"/>
                <w:b w:val="0"/>
                <w:bCs w:val="0"/>
                <w:color w:val="000000" w:themeColor="text1"/>
                <w:kern w:val="2"/>
                <w:sz w:val="24"/>
                <w:szCs w:val="24"/>
                <w:u w:val="none"/>
                <w:lang w:val="en-US" w:eastAsia="zh-CN" w:bidi="ar-SA"/>
                <w14:textFill>
                  <w14:solidFill>
                    <w14:schemeClr w14:val="tx1"/>
                  </w14:solidFill>
                </w14:textFill>
              </w:rPr>
            </w:pPr>
            <w:r>
              <w:rPr>
                <w:rFonts w:hint="eastAsia" w:cs="Times New Roman"/>
                <w:b w:val="0"/>
                <w:bCs w:val="0"/>
                <w:color w:val="000000" w:themeColor="text1"/>
                <w:kern w:val="2"/>
                <w:sz w:val="24"/>
                <w:szCs w:val="24"/>
                <w:u w:val="none"/>
                <w:lang w:val="en-US" w:eastAsia="zh-CN" w:bidi="ar-SA"/>
                <w14:textFill>
                  <w14:solidFill>
                    <w14:schemeClr w14:val="tx1"/>
                  </w14:solidFill>
                </w14:textFill>
              </w:rPr>
              <w:t>（8）</w:t>
            </w:r>
            <w:r>
              <w:rPr>
                <w:rFonts w:hint="eastAsia" w:ascii="Times New Roman" w:hAnsi="Times New Roman" w:eastAsia="宋体" w:cs="Times New Roman"/>
                <w:b w:val="0"/>
                <w:bCs w:val="0"/>
                <w:color w:val="000000" w:themeColor="text1"/>
                <w:kern w:val="2"/>
                <w:sz w:val="24"/>
                <w:szCs w:val="24"/>
                <w:u w:val="none"/>
                <w:lang w:val="en-US" w:eastAsia="zh-CN" w:bidi="ar-SA"/>
                <w14:textFill>
                  <w14:solidFill>
                    <w14:schemeClr w14:val="tx1"/>
                  </w14:solidFill>
                </w14:textFill>
              </w:rPr>
              <w:t>狗尾巴草灌草丛（Form.Setariaviridis）</w:t>
            </w:r>
          </w:p>
          <w:p w14:paraId="442FFE46">
            <w:pPr>
              <w:pStyle w:val="4"/>
              <w:rPr>
                <w:rFonts w:hint="eastAsia" w:ascii="Times New Roman" w:hAnsi="Times New Roman" w:eastAsia="宋体" w:cs="Times New Roman"/>
                <w:color w:val="000000" w:themeColor="text1"/>
                <w:highlight w:val="none"/>
                <w:u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u w:val="none"/>
                <w:lang w:val="en-US" w:eastAsia="zh-CN"/>
                <w14:textFill>
                  <w14:solidFill>
                    <w14:schemeClr w14:val="tx1"/>
                  </w14:solidFill>
                </w14:textFill>
              </w:rPr>
              <w:t>3.5.6 生物群落</w:t>
            </w:r>
          </w:p>
          <w:p w14:paraId="735F1B4F">
            <w:pPr>
              <w:pStyle w:val="4"/>
              <w:ind w:firstLine="480" w:firstLineChars="200"/>
              <w:rPr>
                <w:rFonts w:hint="eastAsia" w:ascii="Times New Roman" w:hAnsi="Times New Roman" w:eastAsia="宋体" w:cs="Times New Roman"/>
                <w:b w:val="0"/>
                <w:bCs w:val="0"/>
                <w:color w:val="000000" w:themeColor="text1"/>
                <w:sz w:val="24"/>
                <w:szCs w:val="24"/>
                <w:u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4"/>
                <w:szCs w:val="24"/>
                <w:u w:val="none"/>
                <w:lang w:val="en-US" w:eastAsia="zh-CN" w:bidi="ar-SA"/>
                <w14:textFill>
                  <w14:solidFill>
                    <w14:schemeClr w14:val="tx1"/>
                  </w14:solidFill>
                </w14:textFill>
              </w:rPr>
              <w:t>根据现场考察影响评价区以人工林生物群落为主，主要为杉木林、</w:t>
            </w:r>
            <w:r>
              <w:rPr>
                <w:rFonts w:hint="eastAsia" w:cs="Times New Roman"/>
                <w:b w:val="0"/>
                <w:bCs w:val="0"/>
                <w:color w:val="000000" w:themeColor="text1"/>
                <w:sz w:val="24"/>
                <w:szCs w:val="24"/>
                <w:u w:val="none"/>
                <w:lang w:val="en-US" w:eastAsia="zh-CN" w:bidi="ar-SA"/>
                <w14:textFill>
                  <w14:solidFill>
                    <w14:schemeClr w14:val="tx1"/>
                  </w14:solidFill>
                </w14:textFill>
              </w:rPr>
              <w:t>马尾松</w:t>
            </w:r>
            <w:r>
              <w:rPr>
                <w:rFonts w:hint="eastAsia" w:ascii="Times New Roman" w:hAnsi="Times New Roman" w:eastAsia="宋体" w:cs="Times New Roman"/>
                <w:b w:val="0"/>
                <w:bCs w:val="0"/>
                <w:color w:val="000000" w:themeColor="text1"/>
                <w:sz w:val="24"/>
                <w:szCs w:val="24"/>
                <w:u w:val="none"/>
                <w:lang w:val="en-US" w:eastAsia="zh-CN" w:bidi="ar-SA"/>
                <w14:textFill>
                  <w14:solidFill>
                    <w14:schemeClr w14:val="tx1"/>
                  </w14:solidFill>
                </w14:textFill>
              </w:rPr>
              <w:t>林和</w:t>
            </w:r>
            <w:r>
              <w:rPr>
                <w:rFonts w:hint="eastAsia" w:cs="Times New Roman"/>
                <w:b w:val="0"/>
                <w:bCs w:val="0"/>
                <w:color w:val="000000" w:themeColor="text1"/>
                <w:sz w:val="24"/>
                <w:szCs w:val="24"/>
                <w:u w:val="none"/>
                <w:lang w:val="en-US" w:eastAsia="zh-CN" w:bidi="ar-SA"/>
                <w14:textFill>
                  <w14:solidFill>
                    <w14:schemeClr w14:val="tx1"/>
                  </w14:solidFill>
                </w14:textFill>
              </w:rPr>
              <w:t>毛</w:t>
            </w:r>
            <w:r>
              <w:rPr>
                <w:rFonts w:hint="eastAsia" w:ascii="Times New Roman" w:hAnsi="Times New Roman" w:eastAsia="宋体" w:cs="Times New Roman"/>
                <w:b w:val="0"/>
                <w:bCs w:val="0"/>
                <w:color w:val="000000" w:themeColor="text1"/>
                <w:sz w:val="24"/>
                <w:szCs w:val="24"/>
                <w:u w:val="none"/>
                <w:lang w:val="en-US" w:eastAsia="zh-CN" w:bidi="ar-SA"/>
                <w14:textFill>
                  <w14:solidFill>
                    <w14:schemeClr w14:val="tx1"/>
                  </w14:solidFill>
                </w14:textFill>
              </w:rPr>
              <w:t>竹林等。各群落中主要植物组成见表3.5-5。</w:t>
            </w:r>
          </w:p>
          <w:p w14:paraId="25F72B0E">
            <w:pPr>
              <w:widowControl/>
              <w:spacing w:line="240" w:lineRule="auto"/>
              <w:ind w:firstLine="2108" w:firstLineChars="1000"/>
              <w:jc w:val="both"/>
              <w:rPr>
                <w:rFonts w:hint="eastAsia" w:ascii="Times New Roman" w:hAnsi="Times New Roman" w:eastAsia="宋体" w:cs="Times New Roman"/>
                <w:b/>
                <w:color w:val="000000" w:themeColor="text1"/>
                <w:sz w:val="21"/>
                <w:szCs w:val="21"/>
                <w:u w:val="none"/>
                <w14:textFill>
                  <w14:solidFill>
                    <w14:schemeClr w14:val="tx1"/>
                  </w14:solidFill>
                </w14:textFill>
              </w:rPr>
            </w:pPr>
            <w:r>
              <w:rPr>
                <w:rFonts w:hint="eastAsia" w:ascii="Times New Roman" w:hAnsi="Times New Roman" w:eastAsia="宋体" w:cs="Times New Roman"/>
                <w:b/>
                <w:color w:val="000000" w:themeColor="text1"/>
                <w:sz w:val="21"/>
                <w:szCs w:val="21"/>
                <w:u w:val="none"/>
                <w14:textFill>
                  <w14:solidFill>
                    <w14:schemeClr w14:val="tx1"/>
                  </w14:solidFill>
                </w14:textFill>
              </w:rPr>
              <w:t>表3.</w:t>
            </w:r>
            <w:r>
              <w:rPr>
                <w:rFonts w:hint="eastAsia" w:ascii="Times New Roman" w:hAnsi="Times New Roman" w:eastAsia="宋体" w:cs="Times New Roman"/>
                <w:b/>
                <w:color w:val="000000" w:themeColor="text1"/>
                <w:sz w:val="21"/>
                <w:szCs w:val="21"/>
                <w:u w:val="none"/>
                <w:lang w:val="en-US" w:eastAsia="zh-CN"/>
                <w14:textFill>
                  <w14:solidFill>
                    <w14:schemeClr w14:val="tx1"/>
                  </w14:solidFill>
                </w14:textFill>
              </w:rPr>
              <w:t>5-</w:t>
            </w:r>
            <w:r>
              <w:rPr>
                <w:rFonts w:hint="eastAsia" w:cs="Times New Roman"/>
                <w:b/>
                <w:color w:val="000000" w:themeColor="text1"/>
                <w:sz w:val="21"/>
                <w:szCs w:val="21"/>
                <w:u w:val="none"/>
                <w:lang w:val="en-US" w:eastAsia="zh-CN"/>
                <w14:textFill>
                  <w14:solidFill>
                    <w14:schemeClr w14:val="tx1"/>
                  </w14:solidFill>
                </w14:textFill>
              </w:rPr>
              <w:t>5</w:t>
            </w:r>
            <w:r>
              <w:rPr>
                <w:rFonts w:hint="eastAsia" w:ascii="Times New Roman" w:hAnsi="Times New Roman" w:eastAsia="宋体" w:cs="Times New Roman"/>
                <w:b/>
                <w:color w:val="000000" w:themeColor="text1"/>
                <w:sz w:val="21"/>
                <w:szCs w:val="21"/>
                <w:u w:val="none"/>
                <w14:textFill>
                  <w14:solidFill>
                    <w14:schemeClr w14:val="tx1"/>
                  </w14:solidFill>
                </w14:textFill>
              </w:rPr>
              <w:t>各群落中主要植物组成见表</w:t>
            </w:r>
          </w:p>
          <w:tbl>
            <w:tblPr>
              <w:tblStyle w:val="26"/>
              <w:tblW w:w="758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66"/>
              <w:gridCol w:w="5620"/>
            </w:tblGrid>
            <w:tr w14:paraId="1BD9E3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966" w:type="dxa"/>
                  <w:tcBorders>
                    <w:top w:val="single" w:color="000000" w:sz="8" w:space="0"/>
                    <w:left w:val="single" w:color="auto" w:sz="0" w:space="0"/>
                    <w:bottom w:val="single" w:color="000000" w:sz="8" w:space="0"/>
                    <w:right w:val="nil"/>
                  </w:tcBorders>
                  <w:noWrap w:val="0"/>
                  <w:vAlign w:val="center"/>
                </w:tcPr>
                <w:p w14:paraId="4BC8DAA7">
                  <w:pPr>
                    <w:spacing w:line="240" w:lineRule="auto"/>
                    <w:jc w:val="center"/>
                    <w:rPr>
                      <w:rFonts w:hint="eastAsia" w:ascii="Times New Roman" w:hAnsi="Times New Roman" w:eastAsia="宋体" w:cs="Times New Roman"/>
                      <w:color w:val="000000" w:themeColor="text1"/>
                      <w:sz w:val="21"/>
                      <w:szCs w:val="21"/>
                      <w:u w:val="none"/>
                      <w14:textFill>
                        <w14:solidFill>
                          <w14:schemeClr w14:val="tx1"/>
                        </w14:solidFill>
                      </w14:textFill>
                    </w:rPr>
                  </w:pPr>
                  <w:r>
                    <w:rPr>
                      <w:rFonts w:hint="eastAsia" w:ascii="Times New Roman" w:hAnsi="Times New Roman" w:eastAsia="宋体" w:cs="Times New Roman"/>
                      <w:color w:val="000000" w:themeColor="text1"/>
                      <w:sz w:val="21"/>
                      <w:szCs w:val="21"/>
                      <w:u w:val="none"/>
                      <w14:textFill>
                        <w14:solidFill>
                          <w14:schemeClr w14:val="tx1"/>
                        </w14:solidFill>
                      </w14:textFill>
                    </w:rPr>
                    <w:t>群系名</w:t>
                  </w:r>
                </w:p>
              </w:tc>
              <w:tc>
                <w:tcPr>
                  <w:tcW w:w="5620" w:type="dxa"/>
                  <w:tcBorders>
                    <w:top w:val="single" w:color="000000" w:sz="8" w:space="0"/>
                    <w:bottom w:val="single" w:color="000000" w:sz="8" w:space="0"/>
                    <w:right w:val="single" w:color="000000" w:sz="8" w:space="0"/>
                  </w:tcBorders>
                  <w:noWrap w:val="0"/>
                  <w:vAlign w:val="center"/>
                </w:tcPr>
                <w:p w14:paraId="0BB2CD97">
                  <w:pPr>
                    <w:spacing w:line="240" w:lineRule="auto"/>
                    <w:jc w:val="center"/>
                    <w:rPr>
                      <w:rFonts w:hint="eastAsia" w:ascii="Times New Roman" w:hAnsi="Times New Roman" w:eastAsia="宋体" w:cs="Times New Roman"/>
                      <w:color w:val="000000" w:themeColor="text1"/>
                      <w:sz w:val="21"/>
                      <w:szCs w:val="21"/>
                      <w:u w:val="none"/>
                      <w14:textFill>
                        <w14:solidFill>
                          <w14:schemeClr w14:val="tx1"/>
                        </w14:solidFill>
                      </w14:textFill>
                    </w:rPr>
                  </w:pPr>
                  <w:r>
                    <w:rPr>
                      <w:rFonts w:hint="eastAsia" w:ascii="Times New Roman" w:hAnsi="Times New Roman" w:eastAsia="宋体" w:cs="Times New Roman"/>
                      <w:color w:val="000000" w:themeColor="text1"/>
                      <w:sz w:val="21"/>
                      <w:szCs w:val="21"/>
                      <w:u w:val="none"/>
                      <w14:textFill>
                        <w14:solidFill>
                          <w14:schemeClr w14:val="tx1"/>
                        </w14:solidFill>
                      </w14:textFill>
                    </w:rPr>
                    <w:t>乔木层常见种</w:t>
                  </w:r>
                </w:p>
              </w:tc>
            </w:tr>
            <w:tr w14:paraId="33FCBC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66" w:type="dxa"/>
                  <w:tcBorders>
                    <w:top w:val="single" w:color="000000" w:sz="8" w:space="0"/>
                    <w:left w:val="single" w:color="000000" w:sz="4" w:space="0"/>
                    <w:bottom w:val="single" w:color="000000" w:sz="8" w:space="0"/>
                  </w:tcBorders>
                  <w:noWrap w:val="0"/>
                  <w:vAlign w:val="center"/>
                </w:tcPr>
                <w:p w14:paraId="768DFCFF">
                  <w:pPr>
                    <w:spacing w:line="240" w:lineRule="auto"/>
                    <w:jc w:val="center"/>
                    <w:rPr>
                      <w:rFonts w:hint="eastAsia" w:ascii="Times New Roman" w:hAnsi="Times New Roman" w:eastAsia="宋体" w:cs="Times New Roman"/>
                      <w:color w:val="000000" w:themeColor="text1"/>
                      <w:sz w:val="21"/>
                      <w:szCs w:val="21"/>
                      <w:u w:val="none"/>
                      <w14:textFill>
                        <w14:solidFill>
                          <w14:schemeClr w14:val="tx1"/>
                        </w14:solidFill>
                      </w14:textFill>
                    </w:rPr>
                  </w:pPr>
                  <w:r>
                    <w:rPr>
                      <w:rFonts w:hint="eastAsia" w:ascii="Times New Roman" w:hAnsi="Times New Roman" w:eastAsia="宋体" w:cs="Times New Roman"/>
                      <w:color w:val="000000" w:themeColor="text1"/>
                      <w:sz w:val="21"/>
                      <w:szCs w:val="21"/>
                      <w:u w:val="none"/>
                      <w14:textFill>
                        <w14:solidFill>
                          <w14:schemeClr w14:val="tx1"/>
                        </w14:solidFill>
                      </w14:textFill>
                    </w:rPr>
                    <w:t>杉木林</w:t>
                  </w:r>
                </w:p>
              </w:tc>
              <w:tc>
                <w:tcPr>
                  <w:tcW w:w="5620" w:type="dxa"/>
                  <w:tcBorders>
                    <w:top w:val="single" w:color="000000" w:sz="8" w:space="0"/>
                    <w:bottom w:val="single" w:color="000000" w:sz="8" w:space="0"/>
                    <w:right w:val="single" w:color="000000" w:sz="8" w:space="0"/>
                  </w:tcBorders>
                  <w:noWrap w:val="0"/>
                  <w:vAlign w:val="center"/>
                </w:tcPr>
                <w:p w14:paraId="05F0493D">
                  <w:pPr>
                    <w:spacing w:line="240" w:lineRule="auto"/>
                    <w:jc w:val="center"/>
                    <w:rPr>
                      <w:rFonts w:hint="eastAsia" w:ascii="Times New Roman" w:hAnsi="Times New Roman" w:eastAsia="宋体" w:cs="Times New Roman"/>
                      <w:color w:val="000000" w:themeColor="text1"/>
                      <w:sz w:val="21"/>
                      <w:szCs w:val="21"/>
                      <w:u w:val="none"/>
                      <w14:textFill>
                        <w14:solidFill>
                          <w14:schemeClr w14:val="tx1"/>
                        </w14:solidFill>
                      </w14:textFill>
                    </w:rPr>
                  </w:pPr>
                  <w:r>
                    <w:rPr>
                      <w:rFonts w:hint="eastAsia" w:ascii="Times New Roman" w:hAnsi="Times New Roman" w:eastAsia="宋体" w:cs="Times New Roman"/>
                      <w:color w:val="000000" w:themeColor="text1"/>
                      <w:sz w:val="21"/>
                      <w:szCs w:val="21"/>
                      <w:u w:val="none"/>
                      <w14:textFill>
                        <w14:solidFill>
                          <w14:schemeClr w14:val="tx1"/>
                        </w14:solidFill>
                      </w14:textFill>
                    </w:rPr>
                    <w:t>杉木（Cunninghamia lanceolata）</w:t>
                  </w:r>
                </w:p>
              </w:tc>
            </w:tr>
            <w:tr w14:paraId="1B2E48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66" w:type="dxa"/>
                  <w:tcBorders>
                    <w:top w:val="single" w:color="000000" w:sz="8" w:space="0"/>
                    <w:left w:val="single" w:color="000000" w:sz="4" w:space="0"/>
                    <w:bottom w:val="single" w:color="000000" w:sz="8" w:space="0"/>
                  </w:tcBorders>
                  <w:noWrap w:val="0"/>
                  <w:vAlign w:val="center"/>
                </w:tcPr>
                <w:p w14:paraId="0045C210">
                  <w:pPr>
                    <w:spacing w:line="240" w:lineRule="auto"/>
                    <w:jc w:val="center"/>
                    <w:rPr>
                      <w:rFonts w:hint="eastAsia" w:ascii="Times New Roman" w:hAnsi="Times New Roman" w:eastAsia="宋体" w:cs="Times New Roman"/>
                      <w:color w:val="000000" w:themeColor="text1"/>
                      <w:sz w:val="21"/>
                      <w:szCs w:val="21"/>
                      <w:u w:val="none"/>
                      <w14:textFill>
                        <w14:solidFill>
                          <w14:schemeClr w14:val="tx1"/>
                        </w14:solidFill>
                      </w14:textFill>
                    </w:rPr>
                  </w:pPr>
                  <w:r>
                    <w:rPr>
                      <w:rFonts w:hint="eastAsia" w:ascii="Times New Roman" w:hAnsi="Times New Roman" w:eastAsia="宋体" w:cs="Times New Roman"/>
                      <w:color w:val="000000" w:themeColor="text1"/>
                      <w:sz w:val="21"/>
                      <w:szCs w:val="21"/>
                      <w:u w:val="none"/>
                      <w14:textFill>
                        <w14:solidFill>
                          <w14:schemeClr w14:val="tx1"/>
                        </w14:solidFill>
                      </w14:textFill>
                    </w:rPr>
                    <w:t>马尾松林</w:t>
                  </w:r>
                </w:p>
              </w:tc>
              <w:tc>
                <w:tcPr>
                  <w:tcW w:w="5620" w:type="dxa"/>
                  <w:tcBorders>
                    <w:top w:val="single" w:color="000000" w:sz="8" w:space="0"/>
                    <w:bottom w:val="single" w:color="000000" w:sz="8" w:space="0"/>
                    <w:right w:val="single" w:color="000000" w:sz="8" w:space="0"/>
                  </w:tcBorders>
                  <w:noWrap w:val="0"/>
                  <w:vAlign w:val="center"/>
                </w:tcPr>
                <w:p w14:paraId="5C694ADF">
                  <w:pPr>
                    <w:spacing w:line="240" w:lineRule="auto"/>
                    <w:jc w:val="center"/>
                    <w:rPr>
                      <w:rFonts w:hint="eastAsia" w:ascii="Times New Roman" w:hAnsi="Times New Roman" w:eastAsia="宋体" w:cs="Times New Roman"/>
                      <w:color w:val="000000" w:themeColor="text1"/>
                      <w:sz w:val="21"/>
                      <w:szCs w:val="21"/>
                      <w:u w:val="none"/>
                      <w14:textFill>
                        <w14:solidFill>
                          <w14:schemeClr w14:val="tx1"/>
                        </w14:solidFill>
                      </w14:textFill>
                    </w:rPr>
                  </w:pPr>
                  <w:r>
                    <w:rPr>
                      <w:rFonts w:hint="eastAsia" w:ascii="Times New Roman" w:hAnsi="Times New Roman" w:eastAsia="宋体" w:cs="Times New Roman"/>
                      <w:color w:val="000000" w:themeColor="text1"/>
                      <w:sz w:val="21"/>
                      <w:szCs w:val="21"/>
                      <w:u w:val="none"/>
                      <w14:textFill>
                        <w14:solidFill>
                          <w14:schemeClr w14:val="tx1"/>
                        </w14:solidFill>
                      </w14:textFill>
                    </w:rPr>
                    <w:t>柏木（Pinus massoniana）、杉木</w:t>
                  </w:r>
                </w:p>
              </w:tc>
            </w:tr>
            <w:tr w14:paraId="1D12A1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66" w:type="dxa"/>
                  <w:tcBorders>
                    <w:top w:val="single" w:color="000000" w:sz="8" w:space="0"/>
                    <w:left w:val="single" w:color="000000" w:sz="4" w:space="0"/>
                    <w:bottom w:val="single" w:color="auto" w:sz="4" w:space="0"/>
                  </w:tcBorders>
                  <w:noWrap w:val="0"/>
                  <w:vAlign w:val="center"/>
                </w:tcPr>
                <w:p w14:paraId="73A61CEF">
                  <w:pPr>
                    <w:spacing w:line="240" w:lineRule="auto"/>
                    <w:jc w:val="center"/>
                    <w:rPr>
                      <w:rFonts w:hint="eastAsia" w:ascii="Times New Roman" w:hAnsi="Times New Roman" w:eastAsia="宋体" w:cs="Times New Roman"/>
                      <w:color w:val="000000" w:themeColor="text1"/>
                      <w:sz w:val="21"/>
                      <w:szCs w:val="21"/>
                      <w:u w:val="none"/>
                      <w14:textFill>
                        <w14:solidFill>
                          <w14:schemeClr w14:val="tx1"/>
                        </w14:solidFill>
                      </w14:textFill>
                    </w:rPr>
                  </w:pPr>
                  <w:r>
                    <w:rPr>
                      <w:rFonts w:hint="eastAsia" w:cs="Times New Roman"/>
                      <w:color w:val="000000" w:themeColor="text1"/>
                      <w:sz w:val="21"/>
                      <w:szCs w:val="21"/>
                      <w:u w:val="none"/>
                      <w:lang w:val="en-US" w:eastAsia="zh-CN"/>
                      <w14:textFill>
                        <w14:solidFill>
                          <w14:schemeClr w14:val="tx1"/>
                        </w14:solidFill>
                      </w14:textFill>
                    </w:rPr>
                    <w:t>毛</w:t>
                  </w:r>
                  <w:r>
                    <w:rPr>
                      <w:rFonts w:hint="eastAsia" w:ascii="Times New Roman" w:hAnsi="Times New Roman" w:eastAsia="宋体" w:cs="Times New Roman"/>
                      <w:color w:val="000000" w:themeColor="text1"/>
                      <w:sz w:val="21"/>
                      <w:szCs w:val="21"/>
                      <w:u w:val="none"/>
                      <w14:textFill>
                        <w14:solidFill>
                          <w14:schemeClr w14:val="tx1"/>
                        </w14:solidFill>
                      </w14:textFill>
                    </w:rPr>
                    <w:t>竹林</w:t>
                  </w:r>
                </w:p>
              </w:tc>
              <w:tc>
                <w:tcPr>
                  <w:tcW w:w="5620" w:type="dxa"/>
                  <w:tcBorders>
                    <w:top w:val="single" w:color="000000" w:sz="8" w:space="0"/>
                    <w:bottom w:val="single" w:color="auto" w:sz="4" w:space="0"/>
                    <w:right w:val="single" w:color="000000" w:sz="8" w:space="0"/>
                  </w:tcBorders>
                  <w:noWrap w:val="0"/>
                  <w:vAlign w:val="center"/>
                </w:tcPr>
                <w:p w14:paraId="02B924DA">
                  <w:pPr>
                    <w:spacing w:line="240" w:lineRule="auto"/>
                    <w:jc w:val="center"/>
                    <w:rPr>
                      <w:rFonts w:hint="eastAsia" w:ascii="Times New Roman" w:hAnsi="Times New Roman" w:eastAsia="宋体" w:cs="Times New Roman"/>
                      <w:color w:val="000000" w:themeColor="text1"/>
                      <w:sz w:val="21"/>
                      <w:szCs w:val="21"/>
                      <w:u w:val="none"/>
                      <w14:textFill>
                        <w14:solidFill>
                          <w14:schemeClr w14:val="tx1"/>
                        </w14:solidFill>
                      </w14:textFill>
                    </w:rPr>
                  </w:pPr>
                  <w:r>
                    <w:rPr>
                      <w:rFonts w:hint="eastAsia" w:cs="Times New Roman"/>
                      <w:color w:val="000000" w:themeColor="text1"/>
                      <w:sz w:val="21"/>
                      <w:szCs w:val="21"/>
                      <w:u w:val="none"/>
                      <w:lang w:val="en-US" w:eastAsia="zh-CN"/>
                      <w14:textFill>
                        <w14:solidFill>
                          <w14:schemeClr w14:val="tx1"/>
                        </w14:solidFill>
                      </w14:textFill>
                    </w:rPr>
                    <w:t>毛</w:t>
                  </w:r>
                  <w:r>
                    <w:rPr>
                      <w:rFonts w:hint="eastAsia" w:ascii="Times New Roman" w:hAnsi="Times New Roman" w:eastAsia="宋体" w:cs="Times New Roman"/>
                      <w:color w:val="000000" w:themeColor="text1"/>
                      <w:sz w:val="21"/>
                      <w:szCs w:val="21"/>
                      <w:u w:val="none"/>
                      <w14:textFill>
                        <w14:solidFill>
                          <w14:schemeClr w14:val="tx1"/>
                        </w14:solidFill>
                      </w14:textFill>
                    </w:rPr>
                    <w:t>竹（Phyllostachys sulphurea var. viridis）</w:t>
                  </w:r>
                </w:p>
              </w:tc>
            </w:tr>
          </w:tbl>
          <w:p w14:paraId="7513E34F">
            <w:pPr>
              <w:widowControl/>
              <w:tabs>
                <w:tab w:val="left" w:pos="2310"/>
              </w:tabs>
              <w:ind w:firstLine="482" w:firstLineChars="200"/>
              <w:contextualSpacing/>
              <w:jc w:val="left"/>
              <w:rPr>
                <w:b/>
                <w:color w:val="000000" w:themeColor="text1"/>
                <w:sz w:val="24"/>
                <w:u w:val="none"/>
                <w14:textFill>
                  <w14:solidFill>
                    <w14:schemeClr w14:val="tx1"/>
                  </w14:solidFill>
                </w14:textFill>
              </w:rPr>
            </w:pPr>
            <w:r>
              <w:rPr>
                <w:rFonts w:hint="eastAsia"/>
                <w:b/>
                <w:color w:val="000000" w:themeColor="text1"/>
                <w:sz w:val="24"/>
                <w:u w:val="none"/>
                <w14:textFill>
                  <w14:solidFill>
                    <w14:schemeClr w14:val="tx1"/>
                  </w14:solidFill>
                </w14:textFill>
              </w:rPr>
              <w:t>一、针叶林</w:t>
            </w:r>
          </w:p>
          <w:p w14:paraId="0BAB1AB1">
            <w:pPr>
              <w:widowControl/>
              <w:ind w:firstLine="480" w:firstLineChars="200"/>
              <w:contextualSpacing/>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针叶林可分为暖性针叶林和温性针叶林两种类型，影响评价区属低海拔区域，主要为暖性针叶林，主要为常见的杉木林和马尾松林。</w:t>
            </w:r>
          </w:p>
          <w:p w14:paraId="38AA0224">
            <w:pPr>
              <w:pStyle w:val="87"/>
              <w:numPr>
                <w:ilvl w:val="0"/>
                <w:numId w:val="4"/>
              </w:numPr>
              <w:spacing w:line="360" w:lineRule="auto"/>
              <w:ind w:firstLineChars="0"/>
              <w:rPr>
                <w:rFonts w:ascii="Times New Roman" w:hAnsi="Times New Roman"/>
                <w:b/>
                <w:color w:val="000000" w:themeColor="text1"/>
                <w:sz w:val="24"/>
                <w:szCs w:val="24"/>
                <w:u w:val="none"/>
                <w14:textFill>
                  <w14:solidFill>
                    <w14:schemeClr w14:val="tx1"/>
                  </w14:solidFill>
                </w14:textFill>
              </w:rPr>
            </w:pPr>
            <w:r>
              <w:rPr>
                <w:rFonts w:hint="eastAsia" w:ascii="Times New Roman" w:hAnsi="Times New Roman"/>
                <w:b/>
                <w:color w:val="000000" w:themeColor="text1"/>
                <w:sz w:val="24"/>
                <w:szCs w:val="24"/>
                <w:u w:val="none"/>
                <w14:textFill>
                  <w14:solidFill>
                    <w14:schemeClr w14:val="tx1"/>
                  </w14:solidFill>
                </w14:textFill>
              </w:rPr>
              <w:t>暖性针叶林</w:t>
            </w:r>
          </w:p>
          <w:p w14:paraId="378E01D8">
            <w:pPr>
              <w:pStyle w:val="87"/>
              <w:numPr>
                <w:ilvl w:val="0"/>
                <w:numId w:val="0"/>
              </w:numPr>
              <w:spacing w:line="360" w:lineRule="auto"/>
              <w:ind w:left="482" w:leftChars="0"/>
              <w:contextualSpacing/>
              <w:rPr>
                <w:rFonts w:ascii="Times New Roman" w:hAnsi="Times New Roman" w:eastAsia="华文楷体"/>
                <w:b/>
                <w:color w:val="000000" w:themeColor="text1"/>
                <w:sz w:val="24"/>
                <w:u w:val="none"/>
                <w14:textFill>
                  <w14:solidFill>
                    <w14:schemeClr w14:val="tx1"/>
                  </w14:solidFill>
                </w14:textFill>
              </w:rPr>
            </w:pPr>
            <w:r>
              <w:rPr>
                <w:rFonts w:hint="eastAsia" w:ascii="仿宋" w:hAnsi="仿宋" w:eastAsia="仿宋" w:cs="仿宋"/>
                <w:b/>
                <w:color w:val="000000" w:themeColor="text1"/>
                <w:sz w:val="24"/>
                <w:u w:val="none"/>
                <w14:textFill>
                  <w14:solidFill>
                    <w14:schemeClr w14:val="tx1"/>
                  </w14:solidFill>
                </w14:textFill>
              </w:rPr>
              <w:t>①</w:t>
            </w:r>
            <w:r>
              <w:rPr>
                <w:rFonts w:hint="eastAsia" w:ascii="Times New Roman" w:hAnsi="Times New Roman" w:eastAsia="华文楷体"/>
                <w:b/>
                <w:color w:val="000000" w:themeColor="text1"/>
                <w:sz w:val="24"/>
                <w:u w:val="none"/>
                <w14:textFill>
                  <w14:solidFill>
                    <w14:schemeClr w14:val="tx1"/>
                  </w14:solidFill>
                </w14:textFill>
              </w:rPr>
              <w:t>杉木林（</w:t>
            </w:r>
            <w:r>
              <w:rPr>
                <w:rFonts w:ascii="Times New Roman" w:hAnsi="Times New Roman" w:eastAsia="华文楷体"/>
                <w:b/>
                <w:color w:val="000000" w:themeColor="text1"/>
                <w:sz w:val="24"/>
                <w:u w:val="none"/>
                <w14:textFill>
                  <w14:solidFill>
                    <w14:schemeClr w14:val="tx1"/>
                  </w14:solidFill>
                </w14:textFill>
              </w:rPr>
              <w:t xml:space="preserve">Form. </w:t>
            </w:r>
            <w:r>
              <w:rPr>
                <w:rFonts w:ascii="Times New Roman" w:hAnsi="Times New Roman" w:eastAsia="华文楷体"/>
                <w:b/>
                <w:i/>
                <w:color w:val="000000" w:themeColor="text1"/>
                <w:sz w:val="24"/>
                <w:u w:val="none"/>
                <w14:textFill>
                  <w14:solidFill>
                    <w14:schemeClr w14:val="tx1"/>
                  </w14:solidFill>
                </w14:textFill>
              </w:rPr>
              <w:t>Cunninghamia lanceolata</w:t>
            </w:r>
            <w:r>
              <w:rPr>
                <w:rFonts w:hint="eastAsia" w:ascii="Times New Roman" w:hAnsi="Times New Roman" w:eastAsia="华文楷体"/>
                <w:b/>
                <w:color w:val="000000" w:themeColor="text1"/>
                <w:sz w:val="24"/>
                <w:u w:val="none"/>
                <w14:textFill>
                  <w14:solidFill>
                    <w14:schemeClr w14:val="tx1"/>
                  </w14:solidFill>
                </w14:textFill>
              </w:rPr>
              <w:t>）</w:t>
            </w:r>
          </w:p>
          <w:p w14:paraId="642FB4DB">
            <w:pPr>
              <w:widowControl/>
              <w:ind w:firstLine="480" w:firstLineChars="200"/>
              <w:contextualSpacing/>
              <w:rPr>
                <w:rFonts w:hint="eastAsia"/>
                <w:color w:val="000000" w:themeColor="text1"/>
                <w:sz w:val="24"/>
                <w:u w:val="none"/>
                <w14:textFill>
                  <w14:solidFill>
                    <w14:schemeClr w14:val="tx1"/>
                  </w14:solidFill>
                </w14:textFill>
              </w:rPr>
            </w:pPr>
            <w:r>
              <w:rPr>
                <w:rFonts w:hint="eastAsia" w:ascii="Times New Roman" w:hAnsi="Times New Roman" w:eastAsia="宋体" w:cs="Times New Roman"/>
                <w:color w:val="000000" w:themeColor="text1"/>
                <w:u w:val="none"/>
                <w:lang w:val="en-US" w:eastAsia="zh-CN"/>
                <w14:textFill>
                  <w14:solidFill>
                    <w14:schemeClr w14:val="tx1"/>
                  </w14:solidFill>
                </w14:textFill>
              </w:rPr>
              <w:t>多为人工栽培，也有天然林。总盖度</w:t>
            </w:r>
            <w:r>
              <w:rPr>
                <w:rFonts w:hint="default" w:ascii="Times New Roman" w:hAnsi="Times New Roman" w:eastAsia="宋体" w:cs="Times New Roman"/>
                <w:color w:val="000000" w:themeColor="text1"/>
                <w:u w:val="none"/>
                <w:lang w:val="en-US" w:eastAsia="zh-CN"/>
                <w14:textFill>
                  <w14:solidFill>
                    <w14:schemeClr w14:val="tx1"/>
                  </w14:solidFill>
                </w14:textFill>
              </w:rPr>
              <w:t>85%</w:t>
            </w:r>
            <w:r>
              <w:rPr>
                <w:rFonts w:hint="eastAsia" w:ascii="Times New Roman" w:hAnsi="Times New Roman" w:eastAsia="宋体" w:cs="Times New Roman"/>
                <w:color w:val="000000" w:themeColor="text1"/>
                <w:u w:val="none"/>
                <w:lang w:val="en-US" w:eastAsia="zh-CN"/>
                <w14:textFill>
                  <w14:solidFill>
                    <w14:schemeClr w14:val="tx1"/>
                  </w14:solidFill>
                </w14:textFill>
              </w:rPr>
              <w:t>，乔木层盖度为</w:t>
            </w:r>
            <w:r>
              <w:rPr>
                <w:rFonts w:hint="default" w:ascii="Times New Roman" w:hAnsi="Times New Roman" w:eastAsia="宋体" w:cs="Times New Roman"/>
                <w:color w:val="000000" w:themeColor="text1"/>
                <w:u w:val="none"/>
                <w:lang w:val="en-US" w:eastAsia="zh-CN"/>
                <w14:textFill>
                  <w14:solidFill>
                    <w14:schemeClr w14:val="tx1"/>
                  </w14:solidFill>
                </w14:textFill>
              </w:rPr>
              <w:t>80%</w:t>
            </w:r>
            <w:r>
              <w:rPr>
                <w:rFonts w:hint="eastAsia" w:ascii="Times New Roman" w:hAnsi="Times New Roman" w:eastAsia="宋体" w:cs="Times New Roman"/>
                <w:color w:val="000000" w:themeColor="text1"/>
                <w:u w:val="none"/>
                <w:lang w:val="en-US" w:eastAsia="zh-CN"/>
                <w14:textFill>
                  <w14:solidFill>
                    <w14:schemeClr w14:val="tx1"/>
                  </w14:solidFill>
                </w14:textFill>
              </w:rPr>
              <w:t>，层均高约</w:t>
            </w:r>
            <w:r>
              <w:rPr>
                <w:rFonts w:hint="default" w:ascii="Times New Roman" w:hAnsi="Times New Roman" w:eastAsia="宋体" w:cs="Times New Roman"/>
                <w:color w:val="000000" w:themeColor="text1"/>
                <w:u w:val="none"/>
                <w:lang w:val="en-US" w:eastAsia="zh-CN"/>
                <w14:textFill>
                  <w14:solidFill>
                    <w14:schemeClr w14:val="tx1"/>
                  </w14:solidFill>
                </w14:textFill>
              </w:rPr>
              <w:t>6m</w:t>
            </w:r>
            <w:r>
              <w:rPr>
                <w:rFonts w:hint="eastAsia" w:ascii="Times New Roman" w:hAnsi="Times New Roman" w:eastAsia="宋体" w:cs="Times New Roman"/>
                <w:color w:val="000000" w:themeColor="text1"/>
                <w:u w:val="none"/>
                <w:lang w:val="en-US" w:eastAsia="zh-CN"/>
                <w14:textFill>
                  <w14:solidFill>
                    <w14:schemeClr w14:val="tx1"/>
                  </w14:solidFill>
                </w14:textFill>
              </w:rPr>
              <w:t>，优势种为杉木，高</w:t>
            </w:r>
            <w:r>
              <w:rPr>
                <w:rFonts w:hint="default" w:ascii="Times New Roman" w:hAnsi="Times New Roman" w:eastAsia="宋体" w:cs="Times New Roman"/>
                <w:color w:val="000000" w:themeColor="text1"/>
                <w:u w:val="none"/>
                <w:lang w:val="en-US" w:eastAsia="zh-CN"/>
                <w14:textFill>
                  <w14:solidFill>
                    <w14:schemeClr w14:val="tx1"/>
                  </w14:solidFill>
                </w14:textFill>
              </w:rPr>
              <w:t>5~10m</w:t>
            </w:r>
            <w:r>
              <w:rPr>
                <w:rFonts w:hint="eastAsia" w:ascii="Times New Roman" w:hAnsi="Times New Roman" w:eastAsia="宋体" w:cs="Times New Roman"/>
                <w:color w:val="000000" w:themeColor="text1"/>
                <w:u w:val="none"/>
                <w:lang w:val="en-US" w:eastAsia="zh-CN"/>
                <w14:textFill>
                  <w14:solidFill>
                    <w14:schemeClr w14:val="tx1"/>
                  </w14:solidFill>
                </w14:textFill>
              </w:rPr>
              <w:t>，胸径约</w:t>
            </w:r>
            <w:r>
              <w:rPr>
                <w:rFonts w:hint="default" w:ascii="Times New Roman" w:hAnsi="Times New Roman" w:eastAsia="宋体" w:cs="Times New Roman"/>
                <w:color w:val="000000" w:themeColor="text1"/>
                <w:u w:val="none"/>
                <w:lang w:val="en-US" w:eastAsia="zh-CN"/>
                <w14:textFill>
                  <w14:solidFill>
                    <w14:schemeClr w14:val="tx1"/>
                  </w14:solidFill>
                </w14:textFill>
              </w:rPr>
              <w:t>1</w:t>
            </w:r>
            <w:r>
              <w:rPr>
                <w:rFonts w:hint="eastAsia" w:ascii="Times New Roman" w:hAnsi="Times New Roman" w:eastAsia="宋体" w:cs="Times New Roman"/>
                <w:color w:val="000000" w:themeColor="text1"/>
                <w:u w:val="none"/>
                <w:lang w:val="en-US" w:eastAsia="zh-CN"/>
                <w14:textFill>
                  <w14:solidFill>
                    <w14:schemeClr w14:val="tx1"/>
                  </w14:solidFill>
                </w14:textFill>
              </w:rPr>
              <w:t>3</w:t>
            </w:r>
            <w:r>
              <w:rPr>
                <w:rFonts w:hint="default" w:ascii="Times New Roman" w:hAnsi="Times New Roman" w:eastAsia="宋体" w:cs="Times New Roman"/>
                <w:color w:val="000000" w:themeColor="text1"/>
                <w:u w:val="none"/>
                <w:lang w:val="en-US" w:eastAsia="zh-CN"/>
                <w14:textFill>
                  <w14:solidFill>
                    <w14:schemeClr w14:val="tx1"/>
                  </w14:solidFill>
                </w14:textFill>
              </w:rPr>
              <w:t>cm</w:t>
            </w:r>
            <w:r>
              <w:rPr>
                <w:rFonts w:hint="eastAsia" w:ascii="Times New Roman" w:hAnsi="Times New Roman" w:eastAsia="宋体" w:cs="Times New Roman"/>
                <w:color w:val="000000" w:themeColor="text1"/>
                <w:u w:val="none"/>
                <w:lang w:val="en-US" w:eastAsia="zh-CN"/>
                <w14:textFill>
                  <w14:solidFill>
                    <w14:schemeClr w14:val="tx1"/>
                  </w14:solidFill>
                </w14:textFill>
              </w:rPr>
              <w:t>；草本层盖度10</w:t>
            </w:r>
            <w:r>
              <w:rPr>
                <w:rFonts w:hint="default" w:ascii="Times New Roman" w:hAnsi="Times New Roman" w:eastAsia="宋体" w:cs="Times New Roman"/>
                <w:color w:val="000000" w:themeColor="text1"/>
                <w:u w:val="none"/>
                <w:lang w:val="en-US" w:eastAsia="zh-CN"/>
                <w14:textFill>
                  <w14:solidFill>
                    <w14:schemeClr w14:val="tx1"/>
                  </w14:solidFill>
                </w14:textFill>
              </w:rPr>
              <w:t>%</w:t>
            </w:r>
            <w:r>
              <w:rPr>
                <w:rFonts w:hint="eastAsia" w:ascii="Times New Roman" w:hAnsi="Times New Roman" w:eastAsia="宋体" w:cs="Times New Roman"/>
                <w:color w:val="000000" w:themeColor="text1"/>
                <w:u w:val="none"/>
                <w:lang w:val="en-US" w:eastAsia="zh-CN"/>
                <w14:textFill>
                  <w14:solidFill>
                    <w14:schemeClr w14:val="tx1"/>
                  </w14:solidFill>
                </w14:textFill>
              </w:rPr>
              <w:t>，层均高0.25</w:t>
            </w:r>
            <w:r>
              <w:rPr>
                <w:rFonts w:hint="default" w:ascii="Times New Roman" w:hAnsi="Times New Roman" w:eastAsia="宋体" w:cs="Times New Roman"/>
                <w:color w:val="000000" w:themeColor="text1"/>
                <w:u w:val="none"/>
                <w:lang w:val="en-US" w:eastAsia="zh-CN"/>
                <w14:textFill>
                  <w14:solidFill>
                    <w14:schemeClr w14:val="tx1"/>
                  </w14:solidFill>
                </w14:textFill>
              </w:rPr>
              <w:t>m</w:t>
            </w:r>
            <w:r>
              <w:rPr>
                <w:rFonts w:hint="eastAsia" w:ascii="Times New Roman" w:hAnsi="Times New Roman" w:eastAsia="宋体" w:cs="Times New Roman"/>
                <w:color w:val="000000" w:themeColor="text1"/>
                <w:u w:val="none"/>
                <w:lang w:val="en-US" w:eastAsia="zh-CN"/>
                <w14:textFill>
                  <w14:solidFill>
                    <w14:schemeClr w14:val="tx1"/>
                  </w14:solidFill>
                </w14:textFill>
              </w:rPr>
              <w:t>，优势种为鸢尾（</w:t>
            </w:r>
            <w:r>
              <w:rPr>
                <w:rFonts w:hint="default" w:ascii="Times New Roman" w:hAnsi="Times New Roman" w:eastAsia="宋体" w:cs="Times New Roman"/>
                <w:color w:val="000000" w:themeColor="text1"/>
                <w:u w:val="none"/>
                <w:lang w:val="en-US" w:eastAsia="zh-CN"/>
                <w14:textFill>
                  <w14:solidFill>
                    <w14:schemeClr w14:val="tx1"/>
                  </w14:solidFill>
                </w14:textFill>
              </w:rPr>
              <w:t>Iris tectorum</w:t>
            </w:r>
            <w:r>
              <w:rPr>
                <w:rFonts w:hint="eastAsia" w:ascii="Times New Roman" w:hAnsi="Times New Roman" w:eastAsia="宋体" w:cs="Times New Roman"/>
                <w:color w:val="000000" w:themeColor="text1"/>
                <w:u w:val="none"/>
                <w:lang w:val="en-US" w:eastAsia="zh-CN"/>
                <w14:textFill>
                  <w14:solidFill>
                    <w14:schemeClr w14:val="tx1"/>
                  </w14:solidFill>
                </w14:textFill>
              </w:rPr>
              <w:t>）、蕨（</w:t>
            </w:r>
            <w:r>
              <w:rPr>
                <w:rFonts w:hint="default" w:ascii="Times New Roman" w:hAnsi="Times New Roman" w:eastAsia="宋体" w:cs="Times New Roman"/>
                <w:color w:val="000000" w:themeColor="text1"/>
                <w:u w:val="none"/>
                <w:lang w:val="en-US" w:eastAsia="zh-CN"/>
                <w14:textFill>
                  <w14:solidFill>
                    <w14:schemeClr w14:val="tx1"/>
                  </w14:solidFill>
                </w14:textFill>
              </w:rPr>
              <w:t>Pteridium aquilinum</w:t>
            </w:r>
            <w:r>
              <w:rPr>
                <w:rFonts w:hint="eastAsia" w:ascii="Times New Roman" w:hAnsi="Times New Roman" w:eastAsia="宋体" w:cs="Times New Roman"/>
                <w:color w:val="000000" w:themeColor="text1"/>
                <w:u w:val="none"/>
                <w:lang w:val="en-US" w:eastAsia="zh-CN"/>
                <w14:textFill>
                  <w14:solidFill>
                    <w14:schemeClr w14:val="tx1"/>
                  </w14:solidFill>
                </w14:textFill>
              </w:rPr>
              <w:t>）等。</w:t>
            </w:r>
          </w:p>
          <w:p w14:paraId="21790FEA">
            <w:pPr>
              <w:widowControl/>
              <w:ind w:firstLine="482" w:firstLineChars="200"/>
              <w:contextualSpacing/>
              <w:rPr>
                <w:color w:val="000000" w:themeColor="text1"/>
                <w:sz w:val="24"/>
                <w:u w:val="none"/>
                <w14:textFill>
                  <w14:solidFill>
                    <w14:schemeClr w14:val="tx1"/>
                  </w14:solidFill>
                </w14:textFill>
              </w:rPr>
            </w:pPr>
            <w:r>
              <w:rPr>
                <w:rFonts w:hint="eastAsia"/>
                <w:b/>
                <w:color w:val="000000" w:themeColor="text1"/>
                <w:sz w:val="24"/>
                <w:u w:val="none"/>
                <w14:textFill>
                  <w14:solidFill>
                    <w14:schemeClr w14:val="tx1"/>
                  </w14:solidFill>
                </w14:textFill>
              </w:rPr>
              <w:t>调查点位：</w:t>
            </w:r>
            <w:r>
              <w:rPr>
                <w:rFonts w:hint="eastAsia"/>
                <w:color w:val="000000" w:themeColor="text1"/>
                <w:sz w:val="24"/>
                <w:u w:val="none"/>
                <w14:textFill>
                  <w14:solidFill>
                    <w14:schemeClr w14:val="tx1"/>
                  </w14:solidFill>
                </w14:textFill>
              </w:rPr>
              <w:t>1，</w:t>
            </w:r>
            <w:r>
              <w:rPr>
                <w:color w:val="000000" w:themeColor="text1"/>
                <w:sz w:val="24"/>
                <w:u w:val="none"/>
                <w14:textFill>
                  <w14:solidFill>
                    <w14:schemeClr w14:val="tx1"/>
                  </w14:solidFill>
                </w14:textFill>
              </w:rPr>
              <w:t>GPS</w:t>
            </w:r>
            <w:r>
              <w:rPr>
                <w:rFonts w:hint="eastAsia"/>
                <w:color w:val="000000" w:themeColor="text1"/>
                <w:sz w:val="24"/>
                <w:u w:val="none"/>
                <w14:textFill>
                  <w14:solidFill>
                    <w14:schemeClr w14:val="tx1"/>
                  </w14:solidFill>
                </w14:textFill>
              </w:rPr>
              <w:t>：</w:t>
            </w:r>
            <w:r>
              <w:rPr>
                <w:rFonts w:hint="eastAsia"/>
                <w:color w:val="000000" w:themeColor="text1"/>
                <w:sz w:val="24"/>
                <w:u w:val="none"/>
                <w:lang w:val="en-US" w:eastAsia="zh-CN"/>
                <w14:textFill>
                  <w14:solidFill>
                    <w14:schemeClr w14:val="tx1"/>
                  </w14:solidFill>
                </w14:textFill>
              </w:rPr>
              <w:t>E：109°73′07.449″，N：26°15′58.181″</w:t>
            </w:r>
            <w:r>
              <w:rPr>
                <w:rFonts w:hint="eastAsia"/>
                <w:color w:val="000000" w:themeColor="text1"/>
                <w:sz w:val="24"/>
                <w:u w:val="none"/>
                <w14:textFill>
                  <w14:solidFill>
                    <w14:schemeClr w14:val="tx1"/>
                  </w14:solidFill>
                </w14:textFill>
              </w:rPr>
              <w:t>，</w:t>
            </w:r>
            <w:r>
              <w:rPr>
                <w:color w:val="000000" w:themeColor="text1"/>
                <w:sz w:val="24"/>
                <w:u w:val="none"/>
                <w14:textFill>
                  <w14:solidFill>
                    <w14:schemeClr w14:val="tx1"/>
                  </w14:solidFill>
                </w14:textFill>
              </w:rPr>
              <w:t>H</w:t>
            </w:r>
            <w:r>
              <w:rPr>
                <w:rFonts w:hint="eastAsia"/>
                <w:color w:val="000000" w:themeColor="text1"/>
                <w:sz w:val="24"/>
                <w:u w:val="none"/>
                <w14:textFill>
                  <w14:solidFill>
                    <w14:schemeClr w14:val="tx1"/>
                  </w14:solidFill>
                </w14:textFill>
              </w:rPr>
              <w:t>：</w:t>
            </w:r>
            <w:r>
              <w:rPr>
                <w:rFonts w:hint="eastAsia"/>
                <w:color w:val="000000" w:themeColor="text1"/>
                <w:sz w:val="24"/>
                <w:u w:val="none"/>
                <w:lang w:val="en-US" w:eastAsia="zh-CN"/>
                <w14:textFill>
                  <w14:solidFill>
                    <w14:schemeClr w14:val="tx1"/>
                  </w14:solidFill>
                </w14:textFill>
              </w:rPr>
              <w:t>640</w:t>
            </w:r>
            <w:r>
              <w:rPr>
                <w:color w:val="000000" w:themeColor="text1"/>
                <w:sz w:val="24"/>
                <w:u w:val="none"/>
                <w14:textFill>
                  <w14:solidFill>
                    <w14:schemeClr w14:val="tx1"/>
                  </w14:solidFill>
                </w14:textFill>
              </w:rPr>
              <w:t>m</w:t>
            </w:r>
            <w:r>
              <w:rPr>
                <w:rFonts w:hint="eastAsia"/>
                <w:color w:val="000000" w:themeColor="text1"/>
                <w:sz w:val="24"/>
                <w:u w:val="none"/>
                <w14:textFill>
                  <w14:solidFill>
                    <w14:schemeClr w14:val="tx1"/>
                  </w14:solidFill>
                </w14:textFill>
              </w:rPr>
              <w:t>。</w:t>
            </w:r>
          </w:p>
          <w:tbl>
            <w:tblPr>
              <w:tblStyle w:val="26"/>
              <w:tblW w:w="7888" w:type="dxa"/>
              <w:tblInd w:w="0" w:type="dxa"/>
              <w:tblLayout w:type="autofit"/>
              <w:tblCellMar>
                <w:top w:w="0" w:type="dxa"/>
                <w:left w:w="108" w:type="dxa"/>
                <w:bottom w:w="0" w:type="dxa"/>
                <w:right w:w="108" w:type="dxa"/>
              </w:tblCellMar>
            </w:tblPr>
            <w:tblGrid>
              <w:gridCol w:w="7891"/>
            </w:tblGrid>
            <w:tr w14:paraId="77E26013">
              <w:tblPrEx>
                <w:tblCellMar>
                  <w:top w:w="0" w:type="dxa"/>
                  <w:left w:w="108" w:type="dxa"/>
                  <w:bottom w:w="0" w:type="dxa"/>
                  <w:right w:w="108" w:type="dxa"/>
                </w:tblCellMar>
              </w:tblPrEx>
              <w:trPr>
                <w:trHeight w:val="5986" w:hRule="atLeast"/>
              </w:trPr>
              <w:tc>
                <w:tcPr>
                  <w:tcW w:w="7888" w:type="dxa"/>
                  <w:noWrap w:val="0"/>
                  <w:vAlign w:val="top"/>
                </w:tcPr>
                <w:p w14:paraId="3D508D4A">
                  <w:pPr>
                    <w:widowControl/>
                    <w:contextualSpacing/>
                    <w:jc w:val="center"/>
                    <w:rPr>
                      <w:rFonts w:hint="eastAsia" w:eastAsia="华文楷体"/>
                      <w:b/>
                      <w:color w:val="FF0000"/>
                      <w:kern w:val="0"/>
                      <w:sz w:val="24"/>
                      <w:szCs w:val="20"/>
                      <w:u w:val="none"/>
                      <w:lang w:eastAsia="zh-CN"/>
                    </w:rPr>
                  </w:pPr>
                  <w:r>
                    <w:rPr>
                      <w:sz w:val="24"/>
                      <w:u w:val="none"/>
                    </w:rPr>
                    <mc:AlternateContent>
                      <mc:Choice Requires="wps">
                        <w:drawing>
                          <wp:anchor distT="0" distB="0" distL="114300" distR="114300" simplePos="0" relativeHeight="251674624" behindDoc="0" locked="0" layoutInCell="1" allowOverlap="1">
                            <wp:simplePos x="0" y="0"/>
                            <wp:positionH relativeFrom="column">
                              <wp:posOffset>1765300</wp:posOffset>
                            </wp:positionH>
                            <wp:positionV relativeFrom="paragraph">
                              <wp:posOffset>3618865</wp:posOffset>
                            </wp:positionV>
                            <wp:extent cx="1515745" cy="273050"/>
                            <wp:effectExtent l="0" t="0" r="0" b="0"/>
                            <wp:wrapNone/>
                            <wp:docPr id="8" name="文本框 8"/>
                            <wp:cNvGraphicFramePr/>
                            <a:graphic xmlns:a="http://schemas.openxmlformats.org/drawingml/2006/main">
                              <a:graphicData uri="http://schemas.microsoft.com/office/word/2010/wordprocessingShape">
                                <wps:wsp>
                                  <wps:cNvSpPr txBox="1"/>
                                  <wps:spPr>
                                    <a:xfrm>
                                      <a:off x="2939415" y="9323705"/>
                                      <a:ext cx="1515745" cy="273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FEE929">
                                        <w:pPr>
                                          <w:widowControl/>
                                          <w:jc w:val="center"/>
                                          <w:rPr>
                                            <w:rFonts w:hint="default"/>
                                            <w:b/>
                                            <w:color w:val="000000" w:themeColor="text1"/>
                                            <w:kern w:val="0"/>
                                            <w:sz w:val="20"/>
                                            <w:szCs w:val="21"/>
                                            <w:lang w:val="en-US" w:eastAsia="zh-CN"/>
                                            <w14:textFill>
                                              <w14:solidFill>
                                                <w14:schemeClr w14:val="tx1"/>
                                              </w14:solidFill>
                                            </w14:textFill>
                                          </w:rPr>
                                        </w:pPr>
                                        <w:r>
                                          <w:rPr>
                                            <w:rFonts w:hint="eastAsia"/>
                                            <w:b/>
                                            <w:color w:val="000000" w:themeColor="text1"/>
                                            <w:kern w:val="0"/>
                                            <w:sz w:val="20"/>
                                            <w:szCs w:val="21"/>
                                            <w:lang w:val="en-US" w:eastAsia="zh-CN"/>
                                            <w14:textFill>
                                              <w14:solidFill>
                                                <w14:schemeClr w14:val="tx1"/>
                                              </w14:solidFill>
                                            </w14:textFill>
                                          </w:rPr>
                                          <w:t>杉木林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9pt;margin-top:284.95pt;height:21.5pt;width:119.35pt;z-index:251674624;mso-width-relative:page;mso-height-relative:page;" filled="f" stroked="f" coordsize="21600,21600" o:gfxdata="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G8XUyHdAAAACwEAAA8AAAAA&#10;AAAAAQAgAAAAIgAAAGRycy9kb3ducmV2LnhtbFBLAQIUABQAAAAIAIdO4kAlJz2uSAIAAHIEAAAO&#10;AAAAAAAAAAEAIAAAACwBAABkcnMvZTJvRG9jLnhtbFBLBQYAAAAABgAGAFkBAADmBQAAAAA=&#10;">
                            <v:fill on="f" focussize="0,0"/>
                            <v:stroke on="f" weight="0.5pt"/>
                            <v:imagedata o:title=""/>
                            <o:lock v:ext="edit" aspectratio="f"/>
                            <v:textbox>
                              <w:txbxContent>
                                <w:p w14:paraId="53FEE929">
                                  <w:pPr>
                                    <w:widowControl/>
                                    <w:jc w:val="center"/>
                                    <w:rPr>
                                      <w:rFonts w:hint="default"/>
                                      <w:b/>
                                      <w:color w:val="000000" w:themeColor="text1"/>
                                      <w:kern w:val="0"/>
                                      <w:sz w:val="20"/>
                                      <w:szCs w:val="21"/>
                                      <w:lang w:val="en-US" w:eastAsia="zh-CN"/>
                                      <w14:textFill>
                                        <w14:solidFill>
                                          <w14:schemeClr w14:val="tx1"/>
                                        </w14:solidFill>
                                      </w14:textFill>
                                    </w:rPr>
                                  </w:pPr>
                                  <w:r>
                                    <w:rPr>
                                      <w:rFonts w:hint="eastAsia"/>
                                      <w:b/>
                                      <w:color w:val="000000" w:themeColor="text1"/>
                                      <w:kern w:val="0"/>
                                      <w:sz w:val="20"/>
                                      <w:szCs w:val="21"/>
                                      <w:lang w:val="en-US" w:eastAsia="zh-CN"/>
                                      <w14:textFill>
                                        <w14:solidFill>
                                          <w14:schemeClr w14:val="tx1"/>
                                        </w14:solidFill>
                                      </w14:textFill>
                                    </w:rPr>
                                    <w:t>杉木林</w:t>
                                  </w:r>
                                </w:p>
                              </w:txbxContent>
                            </v:textbox>
                          </v:shape>
                        </w:pict>
                      </mc:Fallback>
                    </mc:AlternateContent>
                  </w:r>
                  <w:r>
                    <w:rPr>
                      <w:sz w:val="24"/>
                      <w:u w:val="none"/>
                    </w:rPr>
                    <w:drawing>
                      <wp:inline distT="0" distB="0" distL="114300" distR="114300">
                        <wp:extent cx="4858385" cy="3645535"/>
                        <wp:effectExtent l="0" t="0" r="18415" b="12065"/>
                        <wp:docPr id="7" name="图片 7" descr="15a2afeb2b938d9568ad81719d45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5a2afeb2b938d9568ad81719d45102"/>
                                <pic:cNvPicPr>
                                  <a:picLocks noChangeAspect="1"/>
                                </pic:cNvPicPr>
                              </pic:nvPicPr>
                              <pic:blipFill>
                                <a:blip r:embed="rId33"/>
                                <a:stretch>
                                  <a:fillRect/>
                                </a:stretch>
                              </pic:blipFill>
                              <pic:spPr>
                                <a:xfrm>
                                  <a:off x="0" y="0"/>
                                  <a:ext cx="4858385" cy="3645535"/>
                                </a:xfrm>
                                <a:prstGeom prst="rect">
                                  <a:avLst/>
                                </a:prstGeom>
                              </pic:spPr>
                            </pic:pic>
                          </a:graphicData>
                        </a:graphic>
                      </wp:inline>
                    </w:drawing>
                  </w:r>
                </w:p>
              </w:tc>
            </w:tr>
          </w:tbl>
          <w:p w14:paraId="55770F49">
            <w:pPr>
              <w:pStyle w:val="87"/>
              <w:spacing w:line="360" w:lineRule="auto"/>
              <w:ind w:left="482" w:firstLine="0" w:firstLineChars="0"/>
              <w:contextualSpacing/>
              <w:rPr>
                <w:rFonts w:ascii="Times New Roman" w:hAnsi="Times New Roman" w:eastAsia="华文楷体"/>
                <w:b/>
                <w:color w:val="000000" w:themeColor="text1"/>
                <w:sz w:val="24"/>
                <w:u w:val="none"/>
                <w14:textFill>
                  <w14:solidFill>
                    <w14:schemeClr w14:val="tx1"/>
                  </w14:solidFill>
                </w14:textFill>
              </w:rPr>
            </w:pPr>
            <w:r>
              <w:rPr>
                <w:rFonts w:hint="eastAsia" w:ascii="Times New Roman" w:hAnsi="Times New Roman" w:eastAsia="华文楷体"/>
                <w:b/>
                <w:color w:val="000000" w:themeColor="text1"/>
                <w:sz w:val="24"/>
                <w:u w:val="none"/>
                <w14:textFill>
                  <w14:solidFill>
                    <w14:schemeClr w14:val="tx1"/>
                  </w14:solidFill>
                </w14:textFill>
              </w:rPr>
              <w:t>②马尾松林（</w:t>
            </w:r>
            <w:r>
              <w:rPr>
                <w:rFonts w:ascii="Times New Roman" w:hAnsi="Times New Roman" w:eastAsia="华文楷体"/>
                <w:b/>
                <w:color w:val="000000" w:themeColor="text1"/>
                <w:sz w:val="24"/>
                <w:u w:val="none"/>
                <w14:textFill>
                  <w14:solidFill>
                    <w14:schemeClr w14:val="tx1"/>
                  </w14:solidFill>
                </w14:textFill>
              </w:rPr>
              <w:t xml:space="preserve">Form. </w:t>
            </w:r>
            <w:r>
              <w:rPr>
                <w:rFonts w:ascii="Times New Roman" w:hAnsi="Times New Roman" w:eastAsia="华文楷体"/>
                <w:b/>
                <w:i/>
                <w:color w:val="000000" w:themeColor="text1"/>
                <w:sz w:val="24"/>
                <w:u w:val="none"/>
                <w14:textFill>
                  <w14:solidFill>
                    <w14:schemeClr w14:val="tx1"/>
                  </w14:solidFill>
                </w14:textFill>
              </w:rPr>
              <w:t>Pinus massoniana</w:t>
            </w:r>
            <w:r>
              <w:rPr>
                <w:rFonts w:hint="eastAsia" w:ascii="Times New Roman" w:hAnsi="Times New Roman" w:eastAsia="华文楷体"/>
                <w:b/>
                <w:color w:val="000000" w:themeColor="text1"/>
                <w:sz w:val="24"/>
                <w:u w:val="none"/>
                <w14:textFill>
                  <w14:solidFill>
                    <w14:schemeClr w14:val="tx1"/>
                  </w14:solidFill>
                </w14:textFill>
              </w:rPr>
              <w:t>）</w:t>
            </w:r>
          </w:p>
          <w:p w14:paraId="4EC473F0">
            <w:pPr>
              <w:widowControl/>
              <w:ind w:firstLine="480" w:firstLineChars="200"/>
              <w:contextualSpacing/>
              <w:rPr>
                <w:color w:val="FF0000"/>
                <w:sz w:val="24"/>
                <w:u w:val="none"/>
              </w:rPr>
            </w:pPr>
            <w:r>
              <w:rPr>
                <w:rFonts w:hint="eastAsia"/>
                <w:color w:val="000000" w:themeColor="text1"/>
                <w:sz w:val="24"/>
                <w:u w:val="none"/>
                <w14:textFill>
                  <w14:solidFill>
                    <w14:schemeClr w14:val="tx1"/>
                  </w14:solidFill>
                </w14:textFill>
              </w:rPr>
              <w:t>天然林。总</w:t>
            </w:r>
            <w:r>
              <w:rPr>
                <w:rFonts w:hint="eastAsia"/>
                <w:color w:val="000000" w:themeColor="text1"/>
                <w:sz w:val="24"/>
                <w:u w:val="none"/>
                <w:lang w:val="en-US" w:eastAsia="zh-CN"/>
                <w14:textFill>
                  <w14:solidFill>
                    <w14:schemeClr w14:val="tx1"/>
                  </w14:solidFill>
                </w14:textFill>
              </w:rPr>
              <w:t>盖</w:t>
            </w:r>
            <w:r>
              <w:rPr>
                <w:rFonts w:hint="eastAsia"/>
                <w:color w:val="000000" w:themeColor="text1"/>
                <w:sz w:val="24"/>
                <w:u w:val="none"/>
                <w14:textFill>
                  <w14:solidFill>
                    <w14:schemeClr w14:val="tx1"/>
                  </w14:solidFill>
                </w14:textFill>
              </w:rPr>
              <w:t>度70</w:t>
            </w:r>
            <w:r>
              <w:rPr>
                <w:color w:val="000000" w:themeColor="text1"/>
                <w:sz w:val="24"/>
                <w:u w:val="none"/>
                <w14:textFill>
                  <w14:solidFill>
                    <w14:schemeClr w14:val="tx1"/>
                  </w14:solidFill>
                </w14:textFill>
              </w:rPr>
              <w:t>%</w:t>
            </w:r>
            <w:r>
              <w:rPr>
                <w:rFonts w:hint="eastAsia"/>
                <w:color w:val="000000" w:themeColor="text1"/>
                <w:sz w:val="24"/>
                <w:u w:val="none"/>
                <w14:textFill>
                  <w14:solidFill>
                    <w14:schemeClr w14:val="tx1"/>
                  </w14:solidFill>
                </w14:textFill>
              </w:rPr>
              <w:t>，乔木层盖度为50</w:t>
            </w:r>
            <w:r>
              <w:rPr>
                <w:color w:val="000000" w:themeColor="text1"/>
                <w:sz w:val="24"/>
                <w:u w:val="none"/>
                <w14:textFill>
                  <w14:solidFill>
                    <w14:schemeClr w14:val="tx1"/>
                  </w14:solidFill>
                </w14:textFill>
              </w:rPr>
              <w:t>%</w:t>
            </w:r>
            <w:r>
              <w:rPr>
                <w:rFonts w:hint="eastAsia"/>
                <w:color w:val="000000" w:themeColor="text1"/>
                <w:sz w:val="24"/>
                <w:u w:val="none"/>
                <w14:textFill>
                  <w14:solidFill>
                    <w14:schemeClr w14:val="tx1"/>
                  </w14:solidFill>
                </w14:textFill>
              </w:rPr>
              <w:t>，层均高约10</w:t>
            </w:r>
            <w:r>
              <w:rPr>
                <w:color w:val="000000" w:themeColor="text1"/>
                <w:sz w:val="24"/>
                <w:u w:val="none"/>
                <w14:textFill>
                  <w14:solidFill>
                    <w14:schemeClr w14:val="tx1"/>
                  </w14:solidFill>
                </w14:textFill>
              </w:rPr>
              <w:t>m</w:t>
            </w:r>
            <w:r>
              <w:rPr>
                <w:rFonts w:hint="eastAsia"/>
                <w:color w:val="000000" w:themeColor="text1"/>
                <w:sz w:val="24"/>
                <w:u w:val="none"/>
                <w14:textFill>
                  <w14:solidFill>
                    <w14:schemeClr w14:val="tx1"/>
                  </w14:solidFill>
                </w14:textFill>
              </w:rPr>
              <w:t>，优势种为马尾松，高9</w:t>
            </w:r>
            <w:r>
              <w:rPr>
                <w:color w:val="000000" w:themeColor="text1"/>
                <w:sz w:val="24"/>
                <w:u w:val="none"/>
                <w14:textFill>
                  <w14:solidFill>
                    <w14:schemeClr w14:val="tx1"/>
                  </w14:solidFill>
                </w14:textFill>
              </w:rPr>
              <w:t>~</w:t>
            </w:r>
            <w:r>
              <w:rPr>
                <w:rFonts w:hint="eastAsia"/>
                <w:color w:val="000000" w:themeColor="text1"/>
                <w:sz w:val="24"/>
                <w:u w:val="none"/>
                <w14:textFill>
                  <w14:solidFill>
                    <w14:schemeClr w14:val="tx1"/>
                  </w14:solidFill>
                </w14:textFill>
              </w:rPr>
              <w:t>12</w:t>
            </w:r>
            <w:r>
              <w:rPr>
                <w:color w:val="000000" w:themeColor="text1"/>
                <w:sz w:val="24"/>
                <w:u w:val="none"/>
                <w14:textFill>
                  <w14:solidFill>
                    <w14:schemeClr w14:val="tx1"/>
                  </w14:solidFill>
                </w14:textFill>
              </w:rPr>
              <w:t>m</w:t>
            </w:r>
            <w:r>
              <w:rPr>
                <w:rFonts w:hint="eastAsia"/>
                <w:color w:val="000000" w:themeColor="text1"/>
                <w:sz w:val="24"/>
                <w:u w:val="none"/>
                <w14:textFill>
                  <w14:solidFill>
                    <w14:schemeClr w14:val="tx1"/>
                  </w14:solidFill>
                </w14:textFill>
              </w:rPr>
              <w:t>，胸径约10.0</w:t>
            </w:r>
            <w:r>
              <w:rPr>
                <w:color w:val="000000" w:themeColor="text1"/>
                <w:sz w:val="24"/>
                <w:u w:val="none"/>
                <w14:textFill>
                  <w14:solidFill>
                    <w14:schemeClr w14:val="tx1"/>
                  </w14:solidFill>
                </w14:textFill>
              </w:rPr>
              <w:t>cm</w:t>
            </w:r>
            <w:r>
              <w:rPr>
                <w:rFonts w:hint="eastAsia"/>
                <w:color w:val="000000" w:themeColor="text1"/>
                <w:sz w:val="24"/>
                <w:u w:val="none"/>
                <w14:textFill>
                  <w14:solidFill>
                    <w14:schemeClr w14:val="tx1"/>
                  </w14:solidFill>
                </w14:textFill>
              </w:rPr>
              <w:t>，伴生种有柏木；灌木层盖度20</w:t>
            </w:r>
            <w:r>
              <w:rPr>
                <w:color w:val="000000" w:themeColor="text1"/>
                <w:sz w:val="24"/>
                <w:u w:val="none"/>
                <w14:textFill>
                  <w14:solidFill>
                    <w14:schemeClr w14:val="tx1"/>
                  </w14:solidFill>
                </w14:textFill>
              </w:rPr>
              <w:t>%</w:t>
            </w:r>
            <w:r>
              <w:rPr>
                <w:rFonts w:hint="eastAsia"/>
                <w:color w:val="000000" w:themeColor="text1"/>
                <w:sz w:val="24"/>
                <w:u w:val="none"/>
                <w14:textFill>
                  <w14:solidFill>
                    <w14:schemeClr w14:val="tx1"/>
                  </w14:solidFill>
                </w14:textFill>
              </w:rPr>
              <w:t>，层均高</w:t>
            </w:r>
            <w:r>
              <w:rPr>
                <w:color w:val="000000" w:themeColor="text1"/>
                <w:sz w:val="24"/>
                <w:u w:val="none"/>
                <w14:textFill>
                  <w14:solidFill>
                    <w14:schemeClr w14:val="tx1"/>
                  </w14:solidFill>
                </w14:textFill>
              </w:rPr>
              <w:t>1.</w:t>
            </w:r>
            <w:r>
              <w:rPr>
                <w:rFonts w:hint="eastAsia"/>
                <w:color w:val="000000" w:themeColor="text1"/>
                <w:sz w:val="24"/>
                <w:u w:val="none"/>
                <w14:textFill>
                  <w14:solidFill>
                    <w14:schemeClr w14:val="tx1"/>
                  </w14:solidFill>
                </w14:textFill>
              </w:rPr>
              <w:t>5</w:t>
            </w:r>
            <w:r>
              <w:rPr>
                <w:color w:val="000000" w:themeColor="text1"/>
                <w:sz w:val="24"/>
                <w:u w:val="none"/>
                <w14:textFill>
                  <w14:solidFill>
                    <w14:schemeClr w14:val="tx1"/>
                  </w14:solidFill>
                </w14:textFill>
              </w:rPr>
              <w:t>m</w:t>
            </w:r>
            <w:r>
              <w:rPr>
                <w:rFonts w:hint="eastAsia"/>
                <w:color w:val="000000" w:themeColor="text1"/>
                <w:sz w:val="24"/>
                <w:u w:val="none"/>
                <w14:textFill>
                  <w14:solidFill>
                    <w14:schemeClr w14:val="tx1"/>
                  </w14:solidFill>
                </w14:textFill>
              </w:rPr>
              <w:t>，优势种为阔叶箬竹，另外还有棕榈、伞形绣球（</w:t>
            </w:r>
            <w:r>
              <w:rPr>
                <w:i/>
                <w:iCs/>
                <w:color w:val="000000" w:themeColor="text1"/>
                <w:sz w:val="24"/>
                <w:u w:val="none"/>
                <w14:textFill>
                  <w14:solidFill>
                    <w14:schemeClr w14:val="tx1"/>
                  </w14:solidFill>
                </w14:textFill>
              </w:rPr>
              <w:t>Hydrangea angustipetala</w:t>
            </w:r>
            <w:r>
              <w:rPr>
                <w:rFonts w:hint="eastAsia"/>
                <w:color w:val="000000" w:themeColor="text1"/>
                <w:sz w:val="24"/>
                <w:u w:val="none"/>
                <w14:textFill>
                  <w14:solidFill>
                    <w14:schemeClr w14:val="tx1"/>
                  </w14:solidFill>
                </w14:textFill>
              </w:rPr>
              <w:t>）和金丝桃（</w:t>
            </w:r>
            <w:r>
              <w:rPr>
                <w:i/>
                <w:color w:val="000000" w:themeColor="text1"/>
                <w:sz w:val="24"/>
                <w:u w:val="none"/>
                <w14:textFill>
                  <w14:solidFill>
                    <w14:schemeClr w14:val="tx1"/>
                  </w14:solidFill>
                </w14:textFill>
              </w:rPr>
              <w:t>Hypericum monogynum</w:t>
            </w:r>
            <w:r>
              <w:rPr>
                <w:rFonts w:hint="eastAsia"/>
                <w:color w:val="000000" w:themeColor="text1"/>
                <w:sz w:val="24"/>
                <w:u w:val="none"/>
                <w14:textFill>
                  <w14:solidFill>
                    <w14:schemeClr w14:val="tx1"/>
                  </w14:solidFill>
                </w14:textFill>
              </w:rPr>
              <w:t>）等；草本层盖度＜15</w:t>
            </w:r>
            <w:r>
              <w:rPr>
                <w:color w:val="000000" w:themeColor="text1"/>
                <w:sz w:val="24"/>
                <w:u w:val="none"/>
                <w14:textFill>
                  <w14:solidFill>
                    <w14:schemeClr w14:val="tx1"/>
                  </w14:solidFill>
                </w14:textFill>
              </w:rPr>
              <w:t>%</w:t>
            </w:r>
            <w:r>
              <w:rPr>
                <w:rFonts w:hint="eastAsia"/>
                <w:color w:val="000000" w:themeColor="text1"/>
                <w:sz w:val="24"/>
                <w:u w:val="none"/>
                <w14:textFill>
                  <w14:solidFill>
                    <w14:schemeClr w14:val="tx1"/>
                  </w14:solidFill>
                </w14:textFill>
              </w:rPr>
              <w:t>，层均高</w:t>
            </w:r>
            <w:r>
              <w:rPr>
                <w:color w:val="000000" w:themeColor="text1"/>
                <w:sz w:val="24"/>
                <w:u w:val="none"/>
                <w14:textFill>
                  <w14:solidFill>
                    <w14:schemeClr w14:val="tx1"/>
                  </w14:solidFill>
                </w14:textFill>
              </w:rPr>
              <w:t>0.</w:t>
            </w:r>
            <w:r>
              <w:rPr>
                <w:rFonts w:hint="eastAsia"/>
                <w:color w:val="000000" w:themeColor="text1"/>
                <w:sz w:val="24"/>
                <w:u w:val="none"/>
                <w14:textFill>
                  <w14:solidFill>
                    <w14:schemeClr w14:val="tx1"/>
                  </w14:solidFill>
                </w14:textFill>
              </w:rPr>
              <w:t>25</w:t>
            </w:r>
            <w:r>
              <w:rPr>
                <w:color w:val="000000" w:themeColor="text1"/>
                <w:sz w:val="24"/>
                <w:u w:val="none"/>
                <w14:textFill>
                  <w14:solidFill>
                    <w14:schemeClr w14:val="tx1"/>
                  </w14:solidFill>
                </w14:textFill>
              </w:rPr>
              <w:t>m</w:t>
            </w:r>
            <w:r>
              <w:rPr>
                <w:rFonts w:hint="eastAsia"/>
                <w:color w:val="000000" w:themeColor="text1"/>
                <w:sz w:val="24"/>
                <w:u w:val="none"/>
                <w14:textFill>
                  <w14:solidFill>
                    <w14:schemeClr w14:val="tx1"/>
                  </w14:solidFill>
                </w14:textFill>
              </w:rPr>
              <w:t>，优势种不明显，主要种类有荩草、紫萁（</w:t>
            </w:r>
            <w:r>
              <w:rPr>
                <w:i/>
                <w:color w:val="000000" w:themeColor="text1"/>
                <w:sz w:val="24"/>
                <w:u w:val="none"/>
                <w14:textFill>
                  <w14:solidFill>
                    <w14:schemeClr w14:val="tx1"/>
                  </w14:solidFill>
                </w14:textFill>
              </w:rPr>
              <w:t>Osmunda japonica</w:t>
            </w:r>
            <w:r>
              <w:rPr>
                <w:rFonts w:hint="eastAsia"/>
                <w:color w:val="000000" w:themeColor="text1"/>
                <w:sz w:val="24"/>
                <w:u w:val="none"/>
                <w14:textFill>
                  <w14:solidFill>
                    <w14:schemeClr w14:val="tx1"/>
                  </w14:solidFill>
                </w14:textFill>
              </w:rPr>
              <w:t>）、狗尾草（</w:t>
            </w:r>
            <w:r>
              <w:rPr>
                <w:i/>
                <w:color w:val="000000" w:themeColor="text1"/>
                <w:sz w:val="24"/>
                <w:u w:val="none"/>
                <w14:textFill>
                  <w14:solidFill>
                    <w14:schemeClr w14:val="tx1"/>
                  </w14:solidFill>
                </w14:textFill>
              </w:rPr>
              <w:t>Setaria viridis</w:t>
            </w:r>
            <w:r>
              <w:rPr>
                <w:rFonts w:hint="eastAsia"/>
                <w:color w:val="000000" w:themeColor="text1"/>
                <w:sz w:val="24"/>
                <w:u w:val="none"/>
                <w14:textFill>
                  <w14:solidFill>
                    <w14:schemeClr w14:val="tx1"/>
                  </w14:solidFill>
                </w14:textFill>
              </w:rPr>
              <w:t>）等。</w:t>
            </w:r>
          </w:p>
          <w:p w14:paraId="6F6A88D9">
            <w:pPr>
              <w:widowControl/>
              <w:ind w:firstLine="482" w:firstLineChars="200"/>
              <w:contextualSpacing/>
              <w:rPr>
                <w:color w:val="000000" w:themeColor="text1"/>
                <w:sz w:val="24"/>
                <w:u w:val="none"/>
                <w14:textFill>
                  <w14:solidFill>
                    <w14:schemeClr w14:val="tx1"/>
                  </w14:solidFill>
                </w14:textFill>
              </w:rPr>
            </w:pPr>
            <w:r>
              <w:rPr>
                <w:rFonts w:hint="eastAsia"/>
                <w:b/>
                <w:color w:val="000000" w:themeColor="text1"/>
                <w:sz w:val="24"/>
                <w:u w:val="none"/>
                <w14:textFill>
                  <w14:solidFill>
                    <w14:schemeClr w14:val="tx1"/>
                  </w14:solidFill>
                </w14:textFill>
              </w:rPr>
              <w:t>调查点位：</w:t>
            </w:r>
            <w:r>
              <w:rPr>
                <w:rFonts w:hint="eastAsia"/>
                <w:color w:val="000000" w:themeColor="text1"/>
                <w:sz w:val="24"/>
                <w:u w:val="none"/>
                <w14:textFill>
                  <w14:solidFill>
                    <w14:schemeClr w14:val="tx1"/>
                  </w14:solidFill>
                </w14:textFill>
              </w:rPr>
              <w:t>2，</w:t>
            </w:r>
            <w:r>
              <w:rPr>
                <w:color w:val="000000" w:themeColor="text1"/>
                <w:sz w:val="24"/>
                <w:u w:val="none"/>
                <w14:textFill>
                  <w14:solidFill>
                    <w14:schemeClr w14:val="tx1"/>
                  </w14:solidFill>
                </w14:textFill>
              </w:rPr>
              <w:t>GPS</w:t>
            </w:r>
            <w:r>
              <w:rPr>
                <w:rFonts w:hint="eastAsia"/>
                <w:color w:val="000000" w:themeColor="text1"/>
                <w:sz w:val="24"/>
                <w:u w:val="none"/>
                <w14:textFill>
                  <w14:solidFill>
                    <w14:schemeClr w14:val="tx1"/>
                  </w14:solidFill>
                </w14:textFill>
              </w:rPr>
              <w:t>：</w:t>
            </w:r>
            <w:r>
              <w:rPr>
                <w:rFonts w:hint="eastAsia"/>
                <w:color w:val="000000" w:themeColor="text1"/>
                <w:sz w:val="24"/>
                <w:u w:val="none"/>
                <w:lang w:val="en-US" w:eastAsia="zh-CN"/>
                <w14:textFill>
                  <w14:solidFill>
                    <w14:schemeClr w14:val="tx1"/>
                  </w14:solidFill>
                </w14:textFill>
              </w:rPr>
              <w:t>E：109°70′23.114″，N：26°15′49.110″</w:t>
            </w:r>
            <w:r>
              <w:rPr>
                <w:rFonts w:hint="eastAsia"/>
                <w:color w:val="000000" w:themeColor="text1"/>
                <w:sz w:val="24"/>
                <w:u w:val="none"/>
                <w14:textFill>
                  <w14:solidFill>
                    <w14:schemeClr w14:val="tx1"/>
                  </w14:solidFill>
                </w14:textFill>
              </w:rPr>
              <w:t>，</w:t>
            </w:r>
            <w:r>
              <w:rPr>
                <w:color w:val="000000" w:themeColor="text1"/>
                <w:sz w:val="24"/>
                <w:u w:val="none"/>
                <w14:textFill>
                  <w14:solidFill>
                    <w14:schemeClr w14:val="tx1"/>
                  </w14:solidFill>
                </w14:textFill>
              </w:rPr>
              <w:t>H</w:t>
            </w:r>
            <w:r>
              <w:rPr>
                <w:rFonts w:hint="eastAsia"/>
                <w:color w:val="000000" w:themeColor="text1"/>
                <w:sz w:val="24"/>
                <w:u w:val="none"/>
                <w14:textFill>
                  <w14:solidFill>
                    <w14:schemeClr w14:val="tx1"/>
                  </w14:solidFill>
                </w14:textFill>
              </w:rPr>
              <w:t>：</w:t>
            </w:r>
            <w:r>
              <w:rPr>
                <w:rFonts w:hint="eastAsia"/>
                <w:color w:val="000000" w:themeColor="text1"/>
                <w:sz w:val="24"/>
                <w:u w:val="none"/>
                <w:lang w:val="en-US" w:eastAsia="zh-CN"/>
                <w14:textFill>
                  <w14:solidFill>
                    <w14:schemeClr w14:val="tx1"/>
                  </w14:solidFill>
                </w14:textFill>
              </w:rPr>
              <w:t>920</w:t>
            </w:r>
            <w:r>
              <w:rPr>
                <w:color w:val="000000" w:themeColor="text1"/>
                <w:sz w:val="24"/>
                <w:u w:val="none"/>
                <w14:textFill>
                  <w14:solidFill>
                    <w14:schemeClr w14:val="tx1"/>
                  </w14:solidFill>
                </w14:textFill>
              </w:rPr>
              <w:t>m</w:t>
            </w:r>
            <w:r>
              <w:rPr>
                <w:rFonts w:hint="eastAsia"/>
                <w:color w:val="000000" w:themeColor="text1"/>
                <w:sz w:val="24"/>
                <w:u w:val="none"/>
                <w14:textFill>
                  <w14:solidFill>
                    <w14:schemeClr w14:val="tx1"/>
                  </w14:solidFill>
                </w14:textFill>
              </w:rPr>
              <w:t>。</w:t>
            </w:r>
          </w:p>
          <w:tbl>
            <w:tblPr>
              <w:tblStyle w:val="26"/>
              <w:tblW w:w="8522" w:type="dxa"/>
              <w:tblInd w:w="0" w:type="dxa"/>
              <w:tblLayout w:type="autofit"/>
              <w:tblCellMar>
                <w:top w:w="0" w:type="dxa"/>
                <w:left w:w="108" w:type="dxa"/>
                <w:bottom w:w="0" w:type="dxa"/>
                <w:right w:w="108" w:type="dxa"/>
              </w:tblCellMar>
            </w:tblPr>
            <w:tblGrid>
              <w:gridCol w:w="8522"/>
            </w:tblGrid>
            <w:tr w14:paraId="041D67A0">
              <w:tblPrEx>
                <w:tblCellMar>
                  <w:top w:w="0" w:type="dxa"/>
                  <w:left w:w="108" w:type="dxa"/>
                  <w:bottom w:w="0" w:type="dxa"/>
                  <w:right w:w="108" w:type="dxa"/>
                </w:tblCellMar>
              </w:tblPrEx>
              <w:trPr>
                <w:trHeight w:val="5479" w:hRule="atLeast"/>
              </w:trPr>
              <w:tc>
                <w:tcPr>
                  <w:tcW w:w="8522" w:type="dxa"/>
                  <w:noWrap w:val="0"/>
                  <w:vAlign w:val="top"/>
                </w:tcPr>
                <w:p w14:paraId="49A21BD5">
                  <w:pPr>
                    <w:widowControl/>
                    <w:contextualSpacing/>
                    <w:jc w:val="center"/>
                    <w:rPr>
                      <w:rFonts w:hint="eastAsia" w:eastAsia="宋体"/>
                      <w:color w:val="FF0000"/>
                      <w:kern w:val="0"/>
                      <w:sz w:val="24"/>
                      <w:szCs w:val="20"/>
                      <w:u w:val="none"/>
                      <w:lang w:eastAsia="zh-CN"/>
                    </w:rPr>
                  </w:pPr>
                  <w:r>
                    <w:rPr>
                      <w:rFonts w:hint="eastAsia" w:eastAsia="宋体"/>
                      <w:color w:val="FF0000"/>
                      <w:kern w:val="0"/>
                      <w:sz w:val="24"/>
                      <w:szCs w:val="20"/>
                      <w:u w:val="none"/>
                      <w:lang w:eastAsia="zh-CN"/>
                    </w:rPr>
                    <w:drawing>
                      <wp:anchor distT="0" distB="0" distL="114300" distR="114300" simplePos="0" relativeHeight="251677696" behindDoc="1" locked="0" layoutInCell="1" allowOverlap="1">
                        <wp:simplePos x="0" y="0"/>
                        <wp:positionH relativeFrom="column">
                          <wp:posOffset>586740</wp:posOffset>
                        </wp:positionH>
                        <wp:positionV relativeFrom="paragraph">
                          <wp:posOffset>6985</wp:posOffset>
                        </wp:positionV>
                        <wp:extent cx="3747770" cy="3458845"/>
                        <wp:effectExtent l="0" t="0" r="5080" b="8255"/>
                        <wp:wrapNone/>
                        <wp:docPr id="10" name="图片 10" descr="d43de72c8dc007116f57895f73933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43de72c8dc007116f57895f73933fa"/>
                                <pic:cNvPicPr>
                                  <a:picLocks noChangeAspect="1"/>
                                </pic:cNvPicPr>
                              </pic:nvPicPr>
                              <pic:blipFill>
                                <a:blip r:embed="rId34"/>
                                <a:stretch>
                                  <a:fillRect/>
                                </a:stretch>
                              </pic:blipFill>
                              <pic:spPr>
                                <a:xfrm>
                                  <a:off x="0" y="0"/>
                                  <a:ext cx="3747770" cy="3458845"/>
                                </a:xfrm>
                                <a:prstGeom prst="rect">
                                  <a:avLst/>
                                </a:prstGeom>
                              </pic:spPr>
                            </pic:pic>
                          </a:graphicData>
                        </a:graphic>
                      </wp:anchor>
                    </w:drawing>
                  </w:r>
                </w:p>
              </w:tc>
            </w:tr>
            <w:tr w14:paraId="0566C13C">
              <w:tblPrEx>
                <w:tblCellMar>
                  <w:top w:w="0" w:type="dxa"/>
                  <w:left w:w="108" w:type="dxa"/>
                  <w:bottom w:w="0" w:type="dxa"/>
                  <w:right w:w="108" w:type="dxa"/>
                </w:tblCellMar>
              </w:tblPrEx>
              <w:tc>
                <w:tcPr>
                  <w:tcW w:w="8522" w:type="dxa"/>
                  <w:noWrap w:val="0"/>
                  <w:vAlign w:val="top"/>
                </w:tcPr>
                <w:p w14:paraId="026DE096">
                  <w:pPr>
                    <w:widowControl/>
                    <w:jc w:val="center"/>
                    <w:rPr>
                      <w:b/>
                      <w:color w:val="FF0000"/>
                      <w:kern w:val="0"/>
                      <w:sz w:val="24"/>
                      <w:szCs w:val="20"/>
                      <w:u w:val="none"/>
                    </w:rPr>
                  </w:pPr>
                  <w:r>
                    <w:rPr>
                      <w:rFonts w:hint="eastAsia"/>
                      <w:b/>
                      <w:color w:val="000000" w:themeColor="text1"/>
                      <w:kern w:val="0"/>
                      <w:sz w:val="20"/>
                      <w:szCs w:val="21"/>
                      <w:u w:val="none"/>
                      <w14:textFill>
                        <w14:solidFill>
                          <w14:schemeClr w14:val="tx1"/>
                        </w14:solidFill>
                      </w14:textFill>
                    </w:rPr>
                    <w:t>马尾松林</w:t>
                  </w:r>
                </w:p>
              </w:tc>
            </w:tr>
          </w:tbl>
          <w:p w14:paraId="651030D7">
            <w:pPr>
              <w:widowControl/>
              <w:ind w:firstLine="482" w:firstLineChars="200"/>
              <w:jc w:val="left"/>
              <w:rPr>
                <w:b/>
                <w:color w:val="000000" w:themeColor="text1"/>
                <w:sz w:val="24"/>
                <w:u w:val="none"/>
                <w14:textFill>
                  <w14:solidFill>
                    <w14:schemeClr w14:val="tx1"/>
                  </w14:solidFill>
                </w14:textFill>
              </w:rPr>
            </w:pPr>
            <w:r>
              <w:rPr>
                <w:rFonts w:hint="eastAsia"/>
                <w:b/>
                <w:color w:val="000000" w:themeColor="text1"/>
                <w:sz w:val="24"/>
                <w:u w:val="none"/>
                <w14:textFill>
                  <w14:solidFill>
                    <w14:schemeClr w14:val="tx1"/>
                  </w14:solidFill>
                </w14:textFill>
              </w:rPr>
              <w:t>二、阔叶林</w:t>
            </w:r>
          </w:p>
          <w:p w14:paraId="3247A720">
            <w:pPr>
              <w:widowControl/>
              <w:ind w:firstLine="480" w:firstLineChars="200"/>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阔叶林植被型有着较广泛的分布，主要为落叶阔叶林，又称</w:t>
            </w:r>
            <w:r>
              <w:rPr>
                <w:color w:val="000000" w:themeColor="text1"/>
                <w:sz w:val="24"/>
                <w:u w:val="none"/>
                <w14:textFill>
                  <w14:solidFill>
                    <w14:schemeClr w14:val="tx1"/>
                  </w14:solidFill>
                </w14:textFill>
              </w:rPr>
              <w:t>“</w:t>
            </w:r>
            <w:r>
              <w:rPr>
                <w:rFonts w:hint="eastAsia"/>
                <w:color w:val="000000" w:themeColor="text1"/>
                <w:sz w:val="24"/>
                <w:u w:val="none"/>
                <w14:textFill>
                  <w14:solidFill>
                    <w14:schemeClr w14:val="tx1"/>
                  </w14:solidFill>
                </w14:textFill>
              </w:rPr>
              <w:t>夏绿林</w:t>
            </w:r>
            <w:r>
              <w:rPr>
                <w:color w:val="000000" w:themeColor="text1"/>
                <w:sz w:val="24"/>
                <w:u w:val="none"/>
                <w14:textFill>
                  <w14:solidFill>
                    <w14:schemeClr w14:val="tx1"/>
                  </w14:solidFill>
                </w14:textFill>
              </w:rPr>
              <w:t>”</w:t>
            </w:r>
            <w:r>
              <w:rPr>
                <w:rFonts w:hint="eastAsia"/>
                <w:color w:val="000000" w:themeColor="text1"/>
                <w:sz w:val="24"/>
                <w:u w:val="none"/>
                <w14:textFill>
                  <w14:solidFill>
                    <w14:schemeClr w14:val="tx1"/>
                  </w14:solidFill>
                </w14:textFill>
              </w:rPr>
              <w:t>是温带和暖温带的地带性植被类型。评价区内该植被型以青冈林和刚竹林最为常见，另外还有常绿落叶阔叶混交林分布，如石栎和短柄枹栎混交林。</w:t>
            </w:r>
          </w:p>
          <w:p w14:paraId="2FECD730">
            <w:pPr>
              <w:pStyle w:val="87"/>
              <w:numPr>
                <w:ilvl w:val="0"/>
                <w:numId w:val="4"/>
              </w:numPr>
              <w:spacing w:line="360" w:lineRule="auto"/>
              <w:ind w:firstLineChars="0"/>
              <w:rPr>
                <w:rFonts w:ascii="Times New Roman" w:hAnsi="Times New Roman"/>
                <w:b/>
                <w:color w:val="000000" w:themeColor="text1"/>
                <w:sz w:val="24"/>
                <w:szCs w:val="24"/>
                <w:u w:val="none"/>
                <w14:textFill>
                  <w14:solidFill>
                    <w14:schemeClr w14:val="tx1"/>
                  </w14:solidFill>
                </w14:textFill>
              </w:rPr>
            </w:pPr>
            <w:r>
              <w:rPr>
                <w:rFonts w:hint="eastAsia" w:ascii="Times New Roman" w:hAnsi="Times New Roman"/>
                <w:b/>
                <w:color w:val="000000" w:themeColor="text1"/>
                <w:sz w:val="24"/>
                <w:szCs w:val="24"/>
                <w:u w:val="none"/>
                <w14:textFill>
                  <w14:solidFill>
                    <w14:schemeClr w14:val="tx1"/>
                  </w14:solidFill>
                </w14:textFill>
              </w:rPr>
              <w:t>常绿落叶阔叶混交林</w:t>
            </w:r>
          </w:p>
          <w:p w14:paraId="7ABC2075">
            <w:pPr>
              <w:pStyle w:val="87"/>
              <w:spacing w:line="360" w:lineRule="auto"/>
              <w:ind w:left="482" w:firstLine="0" w:firstLineChars="0"/>
              <w:contextualSpacing/>
              <w:rPr>
                <w:rFonts w:hint="eastAsia" w:eastAsia="华文楷体"/>
                <w:b/>
                <w:color w:val="000000" w:themeColor="text1"/>
                <w:sz w:val="24"/>
                <w:u w:val="none"/>
                <w:lang w:val="en-US" w:eastAsia="zh-CN"/>
                <w14:textFill>
                  <w14:solidFill>
                    <w14:schemeClr w14:val="tx1"/>
                  </w14:solidFill>
                </w14:textFill>
              </w:rPr>
            </w:pPr>
            <w:r>
              <w:rPr>
                <w:rFonts w:hint="eastAsia" w:ascii="仿宋" w:hAnsi="仿宋" w:eastAsia="仿宋" w:cs="仿宋"/>
                <w:b/>
                <w:color w:val="000000" w:themeColor="text1"/>
                <w:sz w:val="24"/>
                <w:u w:val="none"/>
                <w14:textFill>
                  <w14:solidFill>
                    <w14:schemeClr w14:val="tx1"/>
                  </w14:solidFill>
                </w14:textFill>
              </w:rPr>
              <w:t>③</w:t>
            </w:r>
            <w:r>
              <w:rPr>
                <w:rFonts w:hint="eastAsia" w:ascii="仿宋" w:hAnsi="仿宋" w:eastAsia="仿宋" w:cs="仿宋"/>
                <w:b/>
                <w:color w:val="000000" w:themeColor="text1"/>
                <w:sz w:val="24"/>
                <w:u w:val="none"/>
                <w:lang w:val="en-US" w:eastAsia="zh-CN"/>
                <w14:textFill>
                  <w14:solidFill>
                    <w14:schemeClr w14:val="tx1"/>
                  </w14:solidFill>
                </w14:textFill>
              </w:rPr>
              <w:t>椴树林</w:t>
            </w:r>
            <w:r>
              <w:rPr>
                <w:rFonts w:hint="eastAsia" w:ascii="仿宋" w:hAnsi="仿宋" w:eastAsia="仿宋" w:cs="仿宋"/>
                <w:b/>
                <w:color w:val="000000" w:themeColor="text1"/>
                <w:sz w:val="24"/>
                <w:u w:val="none"/>
                <w:lang w:eastAsia="zh-CN"/>
                <w14:textFill>
                  <w14:solidFill>
                    <w14:schemeClr w14:val="tx1"/>
                  </w14:solidFill>
                </w14:textFill>
              </w:rPr>
              <w:t>（</w:t>
            </w:r>
            <w:r>
              <w:rPr>
                <w:rFonts w:hint="eastAsia" w:ascii="Times New Roman" w:hAnsi="Times New Roman" w:eastAsia="华文楷体"/>
                <w:b/>
                <w:color w:val="000000" w:themeColor="text1"/>
                <w:sz w:val="24"/>
                <w:u w:val="none"/>
                <w14:textFill>
                  <w14:solidFill>
                    <w14:schemeClr w14:val="tx1"/>
                  </w14:solidFill>
                </w14:textFill>
              </w:rPr>
              <w:t>Tilia miqueliana Maxim</w:t>
            </w:r>
            <w:r>
              <w:rPr>
                <w:rFonts w:hint="eastAsia" w:eastAsia="华文楷体"/>
                <w:b/>
                <w:color w:val="000000" w:themeColor="text1"/>
                <w:sz w:val="24"/>
                <w:u w:val="none"/>
                <w:lang w:val="en-US" w:eastAsia="zh-CN"/>
                <w14:textFill>
                  <w14:solidFill>
                    <w14:schemeClr w14:val="tx1"/>
                  </w14:solidFill>
                </w14:textFill>
              </w:rPr>
              <w:t>)</w:t>
            </w:r>
          </w:p>
          <w:p w14:paraId="13171834">
            <w:pPr>
              <w:pStyle w:val="87"/>
              <w:spacing w:line="360" w:lineRule="auto"/>
              <w:contextualSpacing/>
              <w:rPr>
                <w:rFonts w:hint="eastAsia" w:ascii="Times New Roman" w:hAnsi="Times New Roman" w:eastAsia="宋体" w:cs="Times New Roman"/>
                <w:color w:val="000000" w:themeColor="text1"/>
                <w:kern w:val="2"/>
                <w:sz w:val="24"/>
                <w:szCs w:val="24"/>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u w:val="none"/>
                <w:lang w:val="en-US" w:eastAsia="zh-CN" w:bidi="ar-SA"/>
                <w14:textFill>
                  <w14:solidFill>
                    <w14:schemeClr w14:val="tx1"/>
                  </w14:solidFill>
                </w14:textFill>
              </w:rPr>
              <w:t>椴树科、椴树属植物，乔木，高20米，树皮灰白色；嫩枝有黄褐色茸毛，顶芽卵形，被黄褐色茸毛。叶卵圆形，长9-12厘米，宽7-9.5厘米。聚伞花序长6-8厘米，有花3-12朵，花序柄被灰色茸毛。果实球形，无棱，被星状柔毛，有小突起。花期7月</w:t>
            </w:r>
            <w:r>
              <w:rPr>
                <w:rFonts w:hint="eastAsia" w:cs="Times New Roman"/>
                <w:color w:val="000000" w:themeColor="text1"/>
                <w:kern w:val="2"/>
                <w:sz w:val="24"/>
                <w:szCs w:val="24"/>
                <w:u w:val="none"/>
                <w:lang w:val="en-US" w:eastAsia="zh-CN" w:bidi="ar-SA"/>
                <w14:textFill>
                  <w14:solidFill>
                    <w14:schemeClr w14:val="tx1"/>
                  </w14:solidFill>
                </w14:textFill>
              </w:rPr>
              <w:t>。</w:t>
            </w:r>
          </w:p>
          <w:p w14:paraId="1148ADB7">
            <w:pPr>
              <w:widowControl/>
              <w:contextualSpacing/>
              <w:rPr>
                <w:rFonts w:hint="eastAsia" w:cs="Times New Roman"/>
                <w:color w:val="000000" w:themeColor="text1"/>
                <w:kern w:val="2"/>
                <w:sz w:val="24"/>
                <w:szCs w:val="24"/>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u w:val="none"/>
                <w:lang w:val="en-US" w:eastAsia="zh-CN" w:bidi="ar-SA"/>
                <w14:textFill>
                  <w14:solidFill>
                    <w14:schemeClr w14:val="tx1"/>
                  </w14:solidFill>
                </w14:textFill>
              </w:rPr>
              <w:t>乔木层</w:t>
            </w:r>
            <w:r>
              <w:rPr>
                <w:rFonts w:hint="eastAsia" w:ascii="Times New Roman" w:hAnsi="Times New Roman" w:eastAsia="宋体" w:cs="Times New Roman"/>
                <w:color w:val="000000" w:themeColor="text1"/>
                <w:kern w:val="2"/>
                <w:sz w:val="24"/>
                <w:szCs w:val="24"/>
                <w:u w:val="none"/>
                <w:lang w:val="en-US" w:eastAsia="zh-CN" w:bidi="ar-SA"/>
                <w14:textFill>
                  <w14:solidFill>
                    <w14:schemeClr w14:val="tx1"/>
                  </w14:solidFill>
                </w14:textFill>
              </w:rPr>
              <w:tab/>
            </w:r>
            <w:r>
              <w:rPr>
                <w:rFonts w:hint="eastAsia" w:ascii="Times New Roman" w:hAnsi="Times New Roman" w:eastAsia="宋体" w:cs="Times New Roman"/>
                <w:color w:val="000000" w:themeColor="text1"/>
                <w:kern w:val="2"/>
                <w:sz w:val="24"/>
                <w:szCs w:val="24"/>
                <w:u w:val="none"/>
                <w:lang w:val="en-US" w:eastAsia="zh-CN" w:bidi="ar-SA"/>
                <w14:textFill>
                  <w14:solidFill>
                    <w14:schemeClr w14:val="tx1"/>
                  </w14:solidFill>
                </w14:textFill>
              </w:rPr>
              <w:t>盖度70%</w:t>
            </w:r>
            <w:r>
              <w:rPr>
                <w:rFonts w:hint="eastAsia" w:ascii="Times New Roman" w:hAnsi="Times New Roman" w:eastAsia="宋体" w:cs="Times New Roman"/>
                <w:color w:val="000000" w:themeColor="text1"/>
                <w:kern w:val="2"/>
                <w:sz w:val="24"/>
                <w:szCs w:val="24"/>
                <w:u w:val="none"/>
                <w:lang w:val="en-US" w:eastAsia="zh-CN" w:bidi="ar-SA"/>
                <w14:textFill>
                  <w14:solidFill>
                    <w14:schemeClr w14:val="tx1"/>
                  </w14:solidFill>
                </w14:textFill>
              </w:rPr>
              <w:tab/>
            </w:r>
            <w:r>
              <w:rPr>
                <w:rFonts w:hint="eastAsia" w:ascii="Times New Roman" w:hAnsi="Times New Roman" w:eastAsia="宋体" w:cs="Times New Roman"/>
                <w:color w:val="000000" w:themeColor="text1"/>
                <w:kern w:val="2"/>
                <w:sz w:val="24"/>
                <w:szCs w:val="24"/>
                <w:u w:val="none"/>
                <w:lang w:val="en-US" w:eastAsia="zh-CN" w:bidi="ar-SA"/>
                <w14:textFill>
                  <w14:solidFill>
                    <w14:schemeClr w14:val="tx1"/>
                  </w14:solidFill>
                </w14:textFill>
              </w:rPr>
              <w:t>层均高约9.0m，平均胸径20-25cm优势种为石栎等</w:t>
            </w:r>
            <w:r>
              <w:rPr>
                <w:rFonts w:hint="eastAsia" w:cs="Times New Roman"/>
                <w:color w:val="000000" w:themeColor="text1"/>
                <w:kern w:val="2"/>
                <w:sz w:val="24"/>
                <w:szCs w:val="24"/>
                <w:u w:val="none"/>
                <w:lang w:val="en-US" w:eastAsia="zh-CN" w:bidi="ar-SA"/>
                <w14:textFill>
                  <w14:solidFill>
                    <w14:schemeClr w14:val="tx1"/>
                  </w14:solidFill>
                </w14:textFill>
              </w:rPr>
              <w:t>；灌木层</w:t>
            </w:r>
            <w:r>
              <w:rPr>
                <w:rFonts w:hint="eastAsia" w:cs="Times New Roman"/>
                <w:color w:val="000000" w:themeColor="text1"/>
                <w:kern w:val="2"/>
                <w:sz w:val="24"/>
                <w:szCs w:val="24"/>
                <w:u w:val="none"/>
                <w:lang w:val="en-US" w:eastAsia="zh-CN" w:bidi="ar-SA"/>
                <w14:textFill>
                  <w14:solidFill>
                    <w14:schemeClr w14:val="tx1"/>
                  </w14:solidFill>
                </w14:textFill>
              </w:rPr>
              <w:tab/>
            </w:r>
            <w:r>
              <w:rPr>
                <w:rFonts w:hint="eastAsia" w:cs="Times New Roman"/>
                <w:color w:val="000000" w:themeColor="text1"/>
                <w:kern w:val="2"/>
                <w:sz w:val="24"/>
                <w:szCs w:val="24"/>
                <w:u w:val="none"/>
                <w:lang w:val="en-US" w:eastAsia="zh-CN" w:bidi="ar-SA"/>
                <w14:textFill>
                  <w14:solidFill>
                    <w14:schemeClr w14:val="tx1"/>
                  </w14:solidFill>
                </w14:textFill>
              </w:rPr>
              <w:t>盖度15%</w:t>
            </w:r>
            <w:r>
              <w:rPr>
                <w:rFonts w:hint="eastAsia" w:cs="Times New Roman"/>
                <w:color w:val="000000" w:themeColor="text1"/>
                <w:kern w:val="2"/>
                <w:sz w:val="24"/>
                <w:szCs w:val="24"/>
                <w:u w:val="none"/>
                <w:lang w:val="en-US" w:eastAsia="zh-CN" w:bidi="ar-SA"/>
                <w14:textFill>
                  <w14:solidFill>
                    <w14:schemeClr w14:val="tx1"/>
                  </w14:solidFill>
                </w14:textFill>
              </w:rPr>
              <w:tab/>
            </w:r>
            <w:r>
              <w:rPr>
                <w:rFonts w:hint="eastAsia" w:cs="Times New Roman"/>
                <w:color w:val="000000" w:themeColor="text1"/>
                <w:kern w:val="2"/>
                <w:sz w:val="24"/>
                <w:szCs w:val="24"/>
                <w:u w:val="none"/>
                <w:lang w:val="en-US" w:eastAsia="zh-CN" w:bidi="ar-SA"/>
                <w14:textFill>
                  <w14:solidFill>
                    <w14:schemeClr w14:val="tx1"/>
                  </w14:solidFill>
                </w14:textFill>
              </w:rPr>
              <w:t>层均高2.5m，优势种盐肤木，另外还有棣棠等；草本层</w:t>
            </w:r>
            <w:r>
              <w:rPr>
                <w:rFonts w:hint="eastAsia" w:cs="Times New Roman"/>
                <w:color w:val="000000" w:themeColor="text1"/>
                <w:kern w:val="2"/>
                <w:sz w:val="24"/>
                <w:szCs w:val="24"/>
                <w:u w:val="none"/>
                <w:lang w:val="en-US" w:eastAsia="zh-CN" w:bidi="ar-SA"/>
                <w14:textFill>
                  <w14:solidFill>
                    <w14:schemeClr w14:val="tx1"/>
                  </w14:solidFill>
                </w14:textFill>
              </w:rPr>
              <w:tab/>
            </w:r>
            <w:r>
              <w:rPr>
                <w:rFonts w:hint="eastAsia" w:cs="Times New Roman"/>
                <w:color w:val="000000" w:themeColor="text1"/>
                <w:kern w:val="2"/>
                <w:sz w:val="24"/>
                <w:szCs w:val="24"/>
                <w:u w:val="none"/>
                <w:lang w:val="en-US" w:eastAsia="zh-CN" w:bidi="ar-SA"/>
                <w14:textFill>
                  <w14:solidFill>
                    <w14:schemeClr w14:val="tx1"/>
                  </w14:solidFill>
                </w14:textFill>
              </w:rPr>
              <w:t>盖度5%</w:t>
            </w:r>
            <w:r>
              <w:rPr>
                <w:rFonts w:hint="eastAsia" w:cs="Times New Roman"/>
                <w:color w:val="000000" w:themeColor="text1"/>
                <w:kern w:val="2"/>
                <w:sz w:val="24"/>
                <w:szCs w:val="24"/>
                <w:u w:val="none"/>
                <w:lang w:val="en-US" w:eastAsia="zh-CN" w:bidi="ar-SA"/>
                <w14:textFill>
                  <w14:solidFill>
                    <w14:schemeClr w14:val="tx1"/>
                  </w14:solidFill>
                </w14:textFill>
              </w:rPr>
              <w:tab/>
            </w:r>
            <w:r>
              <w:rPr>
                <w:rFonts w:hint="eastAsia" w:cs="Times New Roman"/>
                <w:color w:val="000000" w:themeColor="text1"/>
                <w:kern w:val="2"/>
                <w:sz w:val="24"/>
                <w:szCs w:val="24"/>
                <w:u w:val="none"/>
                <w:lang w:val="en-US" w:eastAsia="zh-CN" w:bidi="ar-SA"/>
                <w14:textFill>
                  <w14:solidFill>
                    <w14:schemeClr w14:val="tx1"/>
                  </w14:solidFill>
                </w14:textFill>
              </w:rPr>
              <w:t>层均高25cm，优势种为鸢尾，其他伴生种有堇菜等；层间层</w:t>
            </w:r>
            <w:r>
              <w:rPr>
                <w:rFonts w:hint="eastAsia" w:cs="Times New Roman"/>
                <w:color w:val="000000" w:themeColor="text1"/>
                <w:kern w:val="2"/>
                <w:sz w:val="24"/>
                <w:szCs w:val="24"/>
                <w:u w:val="none"/>
                <w:lang w:val="en-US" w:eastAsia="zh-CN" w:bidi="ar-SA"/>
                <w14:textFill>
                  <w14:solidFill>
                    <w14:schemeClr w14:val="tx1"/>
                  </w14:solidFill>
                </w14:textFill>
              </w:rPr>
              <w:tab/>
            </w:r>
            <w:r>
              <w:rPr>
                <w:rFonts w:hint="eastAsia" w:cs="Times New Roman"/>
                <w:color w:val="000000" w:themeColor="text1"/>
                <w:kern w:val="2"/>
                <w:sz w:val="24"/>
                <w:szCs w:val="24"/>
                <w:u w:val="none"/>
                <w:lang w:val="en-US" w:eastAsia="zh-CN" w:bidi="ar-SA"/>
                <w14:textFill>
                  <w14:solidFill>
                    <w14:schemeClr w14:val="tx1"/>
                  </w14:solidFill>
                </w14:textFill>
              </w:rPr>
              <w:t>盖度10%</w:t>
            </w:r>
            <w:r>
              <w:rPr>
                <w:rFonts w:hint="eastAsia" w:cs="Times New Roman"/>
                <w:color w:val="000000" w:themeColor="text1"/>
                <w:kern w:val="2"/>
                <w:sz w:val="24"/>
                <w:szCs w:val="24"/>
                <w:u w:val="none"/>
                <w:lang w:val="en-US" w:eastAsia="zh-CN" w:bidi="ar-SA"/>
                <w14:textFill>
                  <w14:solidFill>
                    <w14:schemeClr w14:val="tx1"/>
                  </w14:solidFill>
                </w14:textFill>
              </w:rPr>
              <w:tab/>
            </w:r>
            <w:r>
              <w:rPr>
                <w:rFonts w:hint="eastAsia" w:cs="Times New Roman"/>
                <w:color w:val="000000" w:themeColor="text1"/>
                <w:kern w:val="2"/>
                <w:sz w:val="24"/>
                <w:szCs w:val="24"/>
                <w:u w:val="none"/>
                <w:lang w:val="en-US" w:eastAsia="zh-CN" w:bidi="ar-SA"/>
                <w14:textFill>
                  <w14:solidFill>
                    <w14:schemeClr w14:val="tx1"/>
                  </w14:solidFill>
                </w14:textFill>
              </w:rPr>
              <w:t>层均高80cm，优势种为络石，其他伴生种有菝葜等。</w:t>
            </w:r>
          </w:p>
          <w:p w14:paraId="2658881B">
            <w:pPr>
              <w:widowControl/>
              <w:contextualSpacing/>
              <w:rPr>
                <w:color w:val="000000" w:themeColor="text1"/>
                <w:sz w:val="24"/>
                <w:u w:val="none"/>
                <w14:textFill>
                  <w14:solidFill>
                    <w14:schemeClr w14:val="tx1"/>
                  </w14:solidFill>
                </w14:textFill>
              </w:rPr>
            </w:pPr>
            <w:r>
              <w:rPr>
                <w:rFonts w:hint="eastAsia"/>
                <w:b/>
                <w:color w:val="000000" w:themeColor="text1"/>
                <w:sz w:val="24"/>
                <w:u w:val="none"/>
                <w14:textFill>
                  <w14:solidFill>
                    <w14:schemeClr w14:val="tx1"/>
                  </w14:solidFill>
                </w14:textFill>
              </w:rPr>
              <w:t>调查点位：</w:t>
            </w:r>
            <w:r>
              <w:rPr>
                <w:rFonts w:hint="eastAsia"/>
                <w:color w:val="000000" w:themeColor="text1"/>
                <w:sz w:val="24"/>
                <w:u w:val="none"/>
                <w:lang w:val="en-US" w:eastAsia="zh-CN"/>
                <w14:textFill>
                  <w14:solidFill>
                    <w14:schemeClr w14:val="tx1"/>
                  </w14:solidFill>
                </w14:textFill>
              </w:rPr>
              <w:t>3</w:t>
            </w:r>
            <w:r>
              <w:rPr>
                <w:rFonts w:hint="eastAsia"/>
                <w:color w:val="000000" w:themeColor="text1"/>
                <w:sz w:val="24"/>
                <w:u w:val="none"/>
                <w14:textFill>
                  <w14:solidFill>
                    <w14:schemeClr w14:val="tx1"/>
                  </w14:solidFill>
                </w14:textFill>
              </w:rPr>
              <w:t>，</w:t>
            </w:r>
            <w:r>
              <w:rPr>
                <w:color w:val="000000" w:themeColor="text1"/>
                <w:sz w:val="24"/>
                <w:u w:val="none"/>
                <w14:textFill>
                  <w14:solidFill>
                    <w14:schemeClr w14:val="tx1"/>
                  </w14:solidFill>
                </w14:textFill>
              </w:rPr>
              <w:t>GPS</w:t>
            </w:r>
            <w:r>
              <w:rPr>
                <w:rFonts w:hint="eastAsia"/>
                <w:color w:val="000000" w:themeColor="text1"/>
                <w:sz w:val="24"/>
                <w:u w:val="none"/>
                <w14:textFill>
                  <w14:solidFill>
                    <w14:schemeClr w14:val="tx1"/>
                  </w14:solidFill>
                </w14:textFill>
              </w:rPr>
              <w:t>：</w:t>
            </w:r>
            <w:r>
              <w:rPr>
                <w:rFonts w:hint="eastAsia"/>
                <w:color w:val="000000" w:themeColor="text1"/>
                <w:sz w:val="24"/>
                <w:u w:val="none"/>
                <w:lang w:val="en-US" w:eastAsia="zh-CN"/>
                <w14:textFill>
                  <w14:solidFill>
                    <w14:schemeClr w14:val="tx1"/>
                  </w14:solidFill>
                </w14:textFill>
              </w:rPr>
              <w:t xml:space="preserve">E：109°68′60.396″、N：26°14′36.517″ </w:t>
            </w:r>
            <w:r>
              <w:rPr>
                <w:color w:val="000000" w:themeColor="text1"/>
                <w:sz w:val="24"/>
                <w:u w:val="none"/>
                <w14:textFill>
                  <w14:solidFill>
                    <w14:schemeClr w14:val="tx1"/>
                  </w14:solidFill>
                </w14:textFill>
              </w:rPr>
              <w:t>H</w:t>
            </w:r>
            <w:r>
              <w:rPr>
                <w:rFonts w:hint="eastAsia"/>
                <w:color w:val="000000" w:themeColor="text1"/>
                <w:sz w:val="24"/>
                <w:u w:val="none"/>
                <w14:textFill>
                  <w14:solidFill>
                    <w14:schemeClr w14:val="tx1"/>
                  </w14:solidFill>
                </w14:textFill>
              </w:rPr>
              <w:t>：</w:t>
            </w:r>
            <w:r>
              <w:rPr>
                <w:rFonts w:hint="eastAsia"/>
                <w:color w:val="000000" w:themeColor="text1"/>
                <w:sz w:val="24"/>
                <w:u w:val="none"/>
                <w:lang w:val="en-US" w:eastAsia="zh-CN"/>
                <w14:textFill>
                  <w14:solidFill>
                    <w14:schemeClr w14:val="tx1"/>
                  </w14:solidFill>
                </w14:textFill>
              </w:rPr>
              <w:t>950</w:t>
            </w:r>
            <w:r>
              <w:rPr>
                <w:color w:val="000000" w:themeColor="text1"/>
                <w:sz w:val="24"/>
                <w:u w:val="none"/>
                <w14:textFill>
                  <w14:solidFill>
                    <w14:schemeClr w14:val="tx1"/>
                  </w14:solidFill>
                </w14:textFill>
              </w:rPr>
              <w:t>m</w:t>
            </w:r>
            <w:r>
              <w:rPr>
                <w:rFonts w:hint="eastAsia"/>
                <w:color w:val="000000" w:themeColor="text1"/>
                <w:sz w:val="24"/>
                <w:u w:val="none"/>
                <w14:textFill>
                  <w14:solidFill>
                    <w14:schemeClr w14:val="tx1"/>
                  </w14:solidFill>
                </w14:textFill>
              </w:rPr>
              <w:t>。</w:t>
            </w:r>
          </w:p>
          <w:p w14:paraId="4A693B01">
            <w:pPr>
              <w:pStyle w:val="87"/>
              <w:spacing w:line="360" w:lineRule="auto"/>
              <w:contextualSpacing/>
              <w:rPr>
                <w:rFonts w:hint="eastAsia" w:cs="Times New Roman"/>
                <w:color w:val="000000" w:themeColor="text1"/>
                <w:kern w:val="2"/>
                <w:sz w:val="24"/>
                <w:szCs w:val="24"/>
                <w:u w:val="none"/>
                <w:lang w:val="en-US" w:eastAsia="zh-CN" w:bidi="ar-SA"/>
                <w14:textFill>
                  <w14:solidFill>
                    <w14:schemeClr w14:val="tx1"/>
                  </w14:solidFill>
                </w14:textFill>
              </w:rPr>
            </w:pPr>
          </w:p>
          <w:p w14:paraId="0B325727">
            <w:pPr>
              <w:pStyle w:val="87"/>
              <w:spacing w:line="360" w:lineRule="auto"/>
              <w:contextualSpacing/>
              <w:rPr>
                <w:rFonts w:hint="eastAsia" w:ascii="仿宋" w:hAnsi="仿宋" w:eastAsia="仿宋" w:cs="仿宋"/>
                <w:b/>
                <w:color w:val="000000" w:themeColor="text1"/>
                <w:sz w:val="24"/>
                <w:u w:val="none"/>
                <w14:textFill>
                  <w14:solidFill>
                    <w14:schemeClr w14:val="tx1"/>
                  </w14:solidFill>
                </w14:textFill>
              </w:rPr>
            </w:pPr>
            <w:r>
              <w:rPr>
                <w:rFonts w:hint="eastAsia" w:ascii="仿宋" w:hAnsi="仿宋" w:eastAsia="仿宋" w:cs="仿宋"/>
                <w:b/>
                <w:color w:val="000000" w:themeColor="text1"/>
                <w:sz w:val="24"/>
                <w:u w:val="none"/>
                <w14:textFill>
                  <w14:solidFill>
                    <w14:schemeClr w14:val="tx1"/>
                  </w14:solidFill>
                </w14:textFill>
              </w:rPr>
              <w:drawing>
                <wp:inline distT="0" distB="0" distL="114300" distR="114300">
                  <wp:extent cx="4818380" cy="3399155"/>
                  <wp:effectExtent l="0" t="0" r="1270" b="10795"/>
                  <wp:docPr id="5" name="图片 5" descr="1718201893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18201893407"/>
                          <pic:cNvPicPr>
                            <a:picLocks noChangeAspect="1"/>
                          </pic:cNvPicPr>
                        </pic:nvPicPr>
                        <pic:blipFill>
                          <a:blip r:embed="rId35"/>
                          <a:stretch>
                            <a:fillRect/>
                          </a:stretch>
                        </pic:blipFill>
                        <pic:spPr>
                          <a:xfrm>
                            <a:off x="0" y="0"/>
                            <a:ext cx="4818380" cy="3399155"/>
                          </a:xfrm>
                          <a:prstGeom prst="rect">
                            <a:avLst/>
                          </a:prstGeom>
                        </pic:spPr>
                      </pic:pic>
                    </a:graphicData>
                  </a:graphic>
                </wp:inline>
              </w:drawing>
            </w:r>
          </w:p>
          <w:p w14:paraId="4C8B514E">
            <w:pPr>
              <w:pStyle w:val="87"/>
              <w:spacing w:line="360" w:lineRule="auto"/>
              <w:ind w:firstLine="3815" w:firstLineChars="1900"/>
              <w:contextualSpacing/>
              <w:rPr>
                <w:rFonts w:hint="eastAsia" w:ascii="Times New Roman" w:hAnsi="Times New Roman" w:eastAsia="宋体" w:cs="Times New Roman"/>
                <w:b/>
                <w:color w:val="000000" w:themeColor="text1"/>
                <w:kern w:val="0"/>
                <w:sz w:val="20"/>
                <w:szCs w:val="21"/>
                <w:u w:val="none"/>
                <w:lang w:val="en-US" w:eastAsia="zh-CN" w:bidi="ar-SA"/>
                <w14:textFill>
                  <w14:solidFill>
                    <w14:schemeClr w14:val="tx1"/>
                  </w14:solidFill>
                </w14:textFill>
              </w:rPr>
            </w:pPr>
            <w:r>
              <w:rPr>
                <w:rFonts w:hint="eastAsia" w:ascii="Times New Roman" w:hAnsi="Times New Roman" w:eastAsia="宋体" w:cs="Times New Roman"/>
                <w:b/>
                <w:color w:val="000000" w:themeColor="text1"/>
                <w:kern w:val="0"/>
                <w:sz w:val="20"/>
                <w:szCs w:val="21"/>
                <w:u w:val="none"/>
                <w:lang w:val="en-US" w:eastAsia="zh-CN" w:bidi="ar-SA"/>
                <w14:textFill>
                  <w14:solidFill>
                    <w14:schemeClr w14:val="tx1"/>
                  </w14:solidFill>
                </w14:textFill>
              </w:rPr>
              <w:t>椴树林</w:t>
            </w:r>
          </w:p>
          <w:p w14:paraId="461351FA">
            <w:pPr>
              <w:pStyle w:val="87"/>
              <w:spacing w:line="360" w:lineRule="auto"/>
              <w:contextualSpacing/>
              <w:rPr>
                <w:rFonts w:ascii="Times New Roman" w:hAnsi="Times New Roman" w:eastAsia="华文楷体"/>
                <w:b/>
                <w:color w:val="000000" w:themeColor="text1"/>
                <w:sz w:val="24"/>
                <w:u w:val="none"/>
                <w14:textFill>
                  <w14:solidFill>
                    <w14:schemeClr w14:val="tx1"/>
                  </w14:solidFill>
                </w14:textFill>
              </w:rPr>
            </w:pPr>
            <w:r>
              <w:rPr>
                <w:rFonts w:hint="eastAsia" w:ascii="仿宋" w:hAnsi="仿宋" w:eastAsia="仿宋" w:cs="仿宋"/>
                <w:b/>
                <w:color w:val="000000" w:themeColor="text1"/>
                <w:sz w:val="24"/>
                <w:u w:val="none"/>
                <w14:textFill>
                  <w14:solidFill>
                    <w14:schemeClr w14:val="tx1"/>
                  </w14:solidFill>
                </w14:textFill>
              </w:rPr>
              <w:t>④</w:t>
            </w:r>
            <w:r>
              <w:rPr>
                <w:rFonts w:hint="eastAsia" w:eastAsia="华文楷体"/>
                <w:b/>
                <w:color w:val="000000" w:themeColor="text1"/>
                <w:sz w:val="24"/>
                <w:u w:val="none"/>
                <w:lang w:val="en-US" w:eastAsia="zh-CN"/>
                <w14:textFill>
                  <w14:solidFill>
                    <w14:schemeClr w14:val="tx1"/>
                  </w14:solidFill>
                </w14:textFill>
              </w:rPr>
              <w:t>毛</w:t>
            </w:r>
            <w:r>
              <w:rPr>
                <w:rFonts w:hint="eastAsia" w:ascii="Times New Roman" w:hAnsi="Times New Roman" w:eastAsia="华文楷体"/>
                <w:b/>
                <w:color w:val="000000" w:themeColor="text1"/>
                <w:sz w:val="24"/>
                <w:u w:val="none"/>
                <w14:textFill>
                  <w14:solidFill>
                    <w14:schemeClr w14:val="tx1"/>
                  </w14:solidFill>
                </w14:textFill>
              </w:rPr>
              <w:t>竹林（Form. Phyllostachys heterocycla cv. Pubescens）</w:t>
            </w:r>
          </w:p>
          <w:p w14:paraId="12EEB670">
            <w:pPr>
              <w:widowControl/>
              <w:ind w:firstLine="480" w:firstLineChars="200"/>
              <w:contextualSpacing/>
              <w:jc w:val="both"/>
              <w:rPr>
                <w:rFonts w:hint="eastAsia"/>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多为人工栽培，也有天然林。毛竹适应性，抗逆性强，无性繁殖力强，是评价区内低山丘陵区最为常见的植物之一。毛竹林是评价区最为常见的群系之一，其在评价区各地低山区域均有广泛分布，群落外貌翠绿色，林下土壤为黄壤，林冠整齐，群落结构及种类组成较简单。乔木层郁闭度0.7，层均高6m。优势种为毛竹（Phyllostachys heterocycla cv. Pubescens），盖度80%，高约4~5m，伴生种为杉木等。</w:t>
            </w:r>
          </w:p>
          <w:p w14:paraId="2C13ADB2">
            <w:pPr>
              <w:widowControl/>
              <w:ind w:firstLine="480" w:firstLineChars="200"/>
              <w:contextualSpacing/>
              <w:jc w:val="both"/>
              <w:rPr>
                <w:rFonts w:hint="eastAsia"/>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灌木层盖度35%，层均高1.5m。优势种不明显，散生有红果山胡椒（Lindera erythrocarpa）、火棘、檵木等。</w:t>
            </w:r>
          </w:p>
          <w:p w14:paraId="47692B0B">
            <w:pPr>
              <w:widowControl/>
              <w:ind w:firstLine="480" w:firstLineChars="200"/>
              <w:contextualSpacing/>
              <w:jc w:val="both"/>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草本层盖度20%，层均高0.3m。优势种为野古草（Arundinella anomala），盖度30%，高约0.2~0.3m。伴生种主要有荩草（Arthraxon hispidus）、画眉草（Eragrostis pilosa）、牛筋草（Eleusine indica）、千金子（Leptochloa chinensis）等。（图3.2</w:t>
            </w:r>
            <w:r>
              <w:rPr>
                <w:color w:val="000000" w:themeColor="text1"/>
                <w:sz w:val="24"/>
                <w:u w:val="none"/>
                <w14:textFill>
                  <w14:solidFill>
                    <w14:schemeClr w14:val="tx1"/>
                  </w14:solidFill>
                </w14:textFill>
              </w:rPr>
              <w:t>-5</w:t>
            </w:r>
            <w:r>
              <w:rPr>
                <w:rFonts w:hint="eastAsia"/>
                <w:color w:val="000000" w:themeColor="text1"/>
                <w:sz w:val="24"/>
                <w:u w:val="none"/>
                <w14:textFill>
                  <w14:solidFill>
                    <w14:schemeClr w14:val="tx1"/>
                  </w14:solidFill>
                </w14:textFill>
              </w:rPr>
              <w:t>）。</w:t>
            </w:r>
          </w:p>
          <w:p w14:paraId="6E014BF4">
            <w:pPr>
              <w:widowControl/>
              <w:contextualSpacing/>
              <w:rPr>
                <w:color w:val="000000" w:themeColor="text1"/>
                <w:sz w:val="24"/>
                <w:u w:val="none"/>
                <w14:textFill>
                  <w14:solidFill>
                    <w14:schemeClr w14:val="tx1"/>
                  </w14:solidFill>
                </w14:textFill>
              </w:rPr>
            </w:pPr>
            <w:r>
              <w:rPr>
                <w:rFonts w:hint="eastAsia"/>
                <w:b/>
                <w:color w:val="000000" w:themeColor="text1"/>
                <w:sz w:val="24"/>
                <w:u w:val="none"/>
                <w14:textFill>
                  <w14:solidFill>
                    <w14:schemeClr w14:val="tx1"/>
                  </w14:solidFill>
                </w14:textFill>
              </w:rPr>
              <w:t>调查点位：</w:t>
            </w:r>
            <w:r>
              <w:rPr>
                <w:rFonts w:hint="eastAsia"/>
                <w:color w:val="000000" w:themeColor="text1"/>
                <w:sz w:val="24"/>
                <w:u w:val="none"/>
                <w:lang w:val="en-US" w:eastAsia="zh-CN"/>
                <w14:textFill>
                  <w14:solidFill>
                    <w14:schemeClr w14:val="tx1"/>
                  </w14:solidFill>
                </w14:textFill>
              </w:rPr>
              <w:t>4</w:t>
            </w:r>
            <w:r>
              <w:rPr>
                <w:rFonts w:hint="eastAsia"/>
                <w:color w:val="000000" w:themeColor="text1"/>
                <w:sz w:val="24"/>
                <w:u w:val="none"/>
                <w14:textFill>
                  <w14:solidFill>
                    <w14:schemeClr w14:val="tx1"/>
                  </w14:solidFill>
                </w14:textFill>
              </w:rPr>
              <w:t>，</w:t>
            </w:r>
            <w:r>
              <w:rPr>
                <w:color w:val="000000" w:themeColor="text1"/>
                <w:sz w:val="24"/>
                <w:u w:val="none"/>
                <w14:textFill>
                  <w14:solidFill>
                    <w14:schemeClr w14:val="tx1"/>
                  </w14:solidFill>
                </w14:textFill>
              </w:rPr>
              <w:t>GPS</w:t>
            </w:r>
            <w:r>
              <w:rPr>
                <w:rFonts w:hint="eastAsia"/>
                <w:color w:val="000000" w:themeColor="text1"/>
                <w:sz w:val="24"/>
                <w:u w:val="none"/>
                <w14:textFill>
                  <w14:solidFill>
                    <w14:schemeClr w14:val="tx1"/>
                  </w14:solidFill>
                </w14:textFill>
              </w:rPr>
              <w:t>：</w:t>
            </w:r>
            <w:r>
              <w:rPr>
                <w:rFonts w:hint="eastAsia"/>
                <w:color w:val="000000" w:themeColor="text1"/>
                <w:sz w:val="24"/>
                <w:u w:val="none"/>
                <w:lang w:val="en-US" w:eastAsia="zh-CN"/>
                <w14:textFill>
                  <w14:solidFill>
                    <w14:schemeClr w14:val="tx1"/>
                  </w14:solidFill>
                </w14:textFill>
              </w:rPr>
              <w:t xml:space="preserve">E：109°72′12.743″，N：26°17′51.204″ </w:t>
            </w:r>
            <w:r>
              <w:rPr>
                <w:color w:val="000000" w:themeColor="text1"/>
                <w:sz w:val="24"/>
                <w:u w:val="none"/>
                <w14:textFill>
                  <w14:solidFill>
                    <w14:schemeClr w14:val="tx1"/>
                  </w14:solidFill>
                </w14:textFill>
              </w:rPr>
              <w:t>H</w:t>
            </w:r>
            <w:r>
              <w:rPr>
                <w:rFonts w:hint="eastAsia"/>
                <w:color w:val="000000" w:themeColor="text1"/>
                <w:sz w:val="24"/>
                <w:u w:val="none"/>
                <w14:textFill>
                  <w14:solidFill>
                    <w14:schemeClr w14:val="tx1"/>
                  </w14:solidFill>
                </w14:textFill>
              </w:rPr>
              <w:t>：</w:t>
            </w:r>
            <w:r>
              <w:rPr>
                <w:rFonts w:hint="eastAsia"/>
                <w:color w:val="000000" w:themeColor="text1"/>
                <w:sz w:val="24"/>
                <w:u w:val="none"/>
                <w:lang w:val="en-US" w:eastAsia="zh-CN"/>
                <w14:textFill>
                  <w14:solidFill>
                    <w14:schemeClr w14:val="tx1"/>
                  </w14:solidFill>
                </w14:textFill>
              </w:rPr>
              <w:t>710</w:t>
            </w:r>
            <w:r>
              <w:rPr>
                <w:color w:val="000000" w:themeColor="text1"/>
                <w:sz w:val="24"/>
                <w:u w:val="none"/>
                <w14:textFill>
                  <w14:solidFill>
                    <w14:schemeClr w14:val="tx1"/>
                  </w14:solidFill>
                </w14:textFill>
              </w:rPr>
              <w:t>m</w:t>
            </w:r>
            <w:r>
              <w:rPr>
                <w:rFonts w:hint="eastAsia"/>
                <w:color w:val="000000" w:themeColor="text1"/>
                <w:sz w:val="24"/>
                <w:u w:val="none"/>
                <w14:textFill>
                  <w14:solidFill>
                    <w14:schemeClr w14:val="tx1"/>
                  </w14:solidFill>
                </w14:textFill>
              </w:rPr>
              <w:t>。</w:t>
            </w:r>
          </w:p>
          <w:p w14:paraId="6F2F0F67">
            <w:pPr>
              <w:widowControl/>
              <w:contextualSpacing/>
              <w:jc w:val="center"/>
              <w:rPr>
                <w:rFonts w:hint="eastAsia" w:eastAsia="宋体"/>
                <w:color w:val="FF0000"/>
                <w:sz w:val="24"/>
                <w:u w:val="none"/>
                <w:lang w:eastAsia="zh-CN"/>
              </w:rPr>
            </w:pPr>
            <w:r>
              <w:rPr>
                <w:rFonts w:hint="eastAsia" w:eastAsia="宋体"/>
                <w:color w:val="FF0000"/>
                <w:sz w:val="24"/>
                <w:u w:val="none"/>
                <w:lang w:eastAsia="zh-CN"/>
              </w:rPr>
              <w:drawing>
                <wp:inline distT="0" distB="0" distL="114300" distR="114300">
                  <wp:extent cx="2852420" cy="3801745"/>
                  <wp:effectExtent l="0" t="0" r="5080" b="8255"/>
                  <wp:docPr id="9" name="图片 9" descr="d281cc4939e35b5a184f0479a448f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281cc4939e35b5a184f0479a448f59"/>
                          <pic:cNvPicPr>
                            <a:picLocks noChangeAspect="1"/>
                          </pic:cNvPicPr>
                        </pic:nvPicPr>
                        <pic:blipFill>
                          <a:blip r:embed="rId36"/>
                          <a:stretch>
                            <a:fillRect/>
                          </a:stretch>
                        </pic:blipFill>
                        <pic:spPr>
                          <a:xfrm>
                            <a:off x="0" y="0"/>
                            <a:ext cx="2852420" cy="3801745"/>
                          </a:xfrm>
                          <a:prstGeom prst="rect">
                            <a:avLst/>
                          </a:prstGeom>
                        </pic:spPr>
                      </pic:pic>
                    </a:graphicData>
                  </a:graphic>
                </wp:inline>
              </w:drawing>
            </w:r>
          </w:p>
          <w:p w14:paraId="5A4E7016">
            <w:pPr>
              <w:widowControl/>
              <w:jc w:val="center"/>
              <w:rPr>
                <w:rFonts w:hint="eastAsia"/>
                <w:b/>
                <w:color w:val="000000" w:themeColor="text1"/>
                <w:kern w:val="0"/>
                <w:sz w:val="20"/>
                <w:szCs w:val="21"/>
                <w:u w:val="none"/>
                <w14:textFill>
                  <w14:solidFill>
                    <w14:schemeClr w14:val="tx1"/>
                  </w14:solidFill>
                </w14:textFill>
              </w:rPr>
            </w:pPr>
            <w:r>
              <w:rPr>
                <w:rFonts w:hint="eastAsia"/>
                <w:b/>
                <w:color w:val="000000" w:themeColor="text1"/>
                <w:kern w:val="0"/>
                <w:sz w:val="20"/>
                <w:szCs w:val="21"/>
                <w:u w:val="none"/>
                <w14:textFill>
                  <w14:solidFill>
                    <w14:schemeClr w14:val="tx1"/>
                  </w14:solidFill>
                </w14:textFill>
              </w:rPr>
              <w:t xml:space="preserve"> </w:t>
            </w:r>
            <w:r>
              <w:rPr>
                <w:rFonts w:hint="eastAsia"/>
                <w:b/>
                <w:color w:val="000000" w:themeColor="text1"/>
                <w:kern w:val="0"/>
                <w:sz w:val="20"/>
                <w:szCs w:val="21"/>
                <w:u w:val="none"/>
                <w:lang w:val="en-US" w:eastAsia="zh-CN"/>
                <w14:textFill>
                  <w14:solidFill>
                    <w14:schemeClr w14:val="tx1"/>
                  </w14:solidFill>
                </w14:textFill>
              </w:rPr>
              <w:t>毛</w:t>
            </w:r>
            <w:r>
              <w:rPr>
                <w:rFonts w:hint="eastAsia"/>
                <w:b/>
                <w:color w:val="000000" w:themeColor="text1"/>
                <w:kern w:val="0"/>
                <w:sz w:val="20"/>
                <w:szCs w:val="21"/>
                <w:u w:val="none"/>
                <w14:textFill>
                  <w14:solidFill>
                    <w14:schemeClr w14:val="tx1"/>
                  </w14:solidFill>
                </w14:textFill>
              </w:rPr>
              <w:t>竹林</w:t>
            </w:r>
          </w:p>
          <w:p w14:paraId="0987F483">
            <w:pPr>
              <w:rPr>
                <w:rFonts w:hint="eastAsia"/>
                <w:b/>
                <w:color w:val="000000" w:themeColor="text1"/>
                <w:sz w:val="24"/>
                <w:szCs w:val="24"/>
                <w:u w:val="none"/>
                <w:lang w:val="zh-CN"/>
                <w14:textFill>
                  <w14:solidFill>
                    <w14:schemeClr w14:val="tx1"/>
                  </w14:solidFill>
                </w14:textFill>
              </w:rPr>
            </w:pPr>
            <w:bookmarkStart w:id="69" w:name="_Toc16651"/>
            <w:bookmarkStart w:id="70" w:name="_Toc464734894"/>
            <w:bookmarkStart w:id="71" w:name="_Toc85103248"/>
            <w:r>
              <w:rPr>
                <w:rFonts w:hint="eastAsia"/>
                <w:b/>
                <w:color w:val="000000" w:themeColor="text1"/>
                <w:sz w:val="24"/>
                <w:szCs w:val="24"/>
                <w:u w:val="none"/>
                <w14:textFill>
                  <w14:solidFill>
                    <w14:schemeClr w14:val="tx1"/>
                  </w14:solidFill>
                </w14:textFill>
              </w:rPr>
              <w:t>2.</w:t>
            </w:r>
            <w:r>
              <w:rPr>
                <w:rFonts w:hint="eastAsia"/>
                <w:b/>
                <w:color w:val="000000" w:themeColor="text1"/>
                <w:sz w:val="24"/>
                <w:szCs w:val="24"/>
                <w:u w:val="none"/>
                <w:lang w:val="zh-CN"/>
                <w14:textFill>
                  <w14:solidFill>
                    <w14:schemeClr w14:val="tx1"/>
                  </w14:solidFill>
                </w14:textFill>
              </w:rPr>
              <w:t>灌丛/灌草丛生物群落</w:t>
            </w:r>
            <w:bookmarkEnd w:id="69"/>
            <w:bookmarkEnd w:id="70"/>
            <w:bookmarkEnd w:id="71"/>
          </w:p>
          <w:p w14:paraId="53521008">
            <w:pPr>
              <w:ind w:firstLine="482" w:firstLineChars="200"/>
              <w:rPr>
                <w:rFonts w:hint="eastAsia"/>
                <w:b/>
                <w:bCs/>
                <w:color w:val="000000" w:themeColor="text1"/>
                <w:sz w:val="24"/>
                <w:szCs w:val="24"/>
                <w:u w:val="none"/>
                <w14:textFill>
                  <w14:solidFill>
                    <w14:schemeClr w14:val="tx1"/>
                  </w14:solidFill>
                </w14:textFill>
              </w:rPr>
            </w:pPr>
            <w:r>
              <w:rPr>
                <w:rFonts w:hint="eastAsia"/>
                <w:b/>
                <w:bCs/>
                <w:color w:val="000000" w:themeColor="text1"/>
                <w:sz w:val="24"/>
                <w:szCs w:val="24"/>
                <w:u w:val="none"/>
                <w14:textFill>
                  <w14:solidFill>
                    <w14:schemeClr w14:val="tx1"/>
                  </w14:solidFill>
                </w14:textFill>
              </w:rPr>
              <w:t>（1）群落类型组成</w:t>
            </w:r>
          </w:p>
          <w:p w14:paraId="783070C6">
            <w:pPr>
              <w:widowControl/>
              <w:ind w:firstLine="480" w:firstLineChars="200"/>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根据现场考察，评价区内灌丛</w:t>
            </w:r>
            <w:r>
              <w:rPr>
                <w:color w:val="000000" w:themeColor="text1"/>
                <w:sz w:val="24"/>
                <w:u w:val="none"/>
                <w14:textFill>
                  <w14:solidFill>
                    <w14:schemeClr w14:val="tx1"/>
                  </w14:solidFill>
                </w14:textFill>
              </w:rPr>
              <w:t>/</w:t>
            </w:r>
            <w:r>
              <w:rPr>
                <w:rFonts w:hint="eastAsia"/>
                <w:color w:val="000000" w:themeColor="text1"/>
                <w:sz w:val="24"/>
                <w:u w:val="none"/>
                <w14:textFill>
                  <w14:solidFill>
                    <w14:schemeClr w14:val="tx1"/>
                  </w14:solidFill>
                </w14:textFill>
              </w:rPr>
              <w:t>灌草丛生物群落主要包括灌丛和灌草丛，群落类型主要有盐肤木灌丛、卫矛灌丛、紫萁灌丛、五节芒灌草丛</w:t>
            </w:r>
            <w:r>
              <w:rPr>
                <w:rFonts w:hint="eastAsia"/>
                <w:color w:val="000000" w:themeColor="text1"/>
                <w:sz w:val="24"/>
                <w:u w:val="none"/>
                <w:lang w:eastAsia="zh-CN"/>
                <w14:textFill>
                  <w14:solidFill>
                    <w14:schemeClr w14:val="tx1"/>
                  </w14:solidFill>
                </w14:textFill>
              </w:rPr>
              <w:t>、白茅灌草丛</w:t>
            </w:r>
            <w:r>
              <w:rPr>
                <w:rFonts w:hint="eastAsia"/>
                <w:color w:val="000000" w:themeColor="text1"/>
                <w:sz w:val="24"/>
                <w:u w:val="none"/>
                <w14:textFill>
                  <w14:solidFill>
                    <w14:schemeClr w14:val="tx1"/>
                  </w14:solidFill>
                </w14:textFill>
              </w:rPr>
              <w:t>。各群落中主要植物组成见表3.</w:t>
            </w:r>
            <w:r>
              <w:rPr>
                <w:rFonts w:hint="eastAsia"/>
                <w:color w:val="000000" w:themeColor="text1"/>
                <w:sz w:val="24"/>
                <w:u w:val="none"/>
                <w:lang w:val="en-US" w:eastAsia="zh-CN"/>
                <w14:textFill>
                  <w14:solidFill>
                    <w14:schemeClr w14:val="tx1"/>
                  </w14:solidFill>
                </w14:textFill>
              </w:rPr>
              <w:t>5</w:t>
            </w:r>
            <w:r>
              <w:rPr>
                <w:color w:val="000000" w:themeColor="text1"/>
                <w:sz w:val="24"/>
                <w:u w:val="none"/>
                <w14:textFill>
                  <w14:solidFill>
                    <w14:schemeClr w14:val="tx1"/>
                  </w14:solidFill>
                </w14:textFill>
              </w:rPr>
              <w:t>-</w:t>
            </w:r>
            <w:r>
              <w:rPr>
                <w:rFonts w:hint="eastAsia"/>
                <w:color w:val="000000" w:themeColor="text1"/>
                <w:sz w:val="24"/>
                <w:u w:val="none"/>
                <w:lang w:val="en-US" w:eastAsia="zh-CN"/>
                <w14:textFill>
                  <w14:solidFill>
                    <w14:schemeClr w14:val="tx1"/>
                  </w14:solidFill>
                </w14:textFill>
              </w:rPr>
              <w:t>9</w:t>
            </w:r>
            <w:r>
              <w:rPr>
                <w:rFonts w:hint="eastAsia"/>
                <w:color w:val="000000" w:themeColor="text1"/>
                <w:sz w:val="24"/>
                <w:u w:val="none"/>
                <w14:textFill>
                  <w14:solidFill>
                    <w14:schemeClr w14:val="tx1"/>
                  </w14:solidFill>
                </w14:textFill>
              </w:rPr>
              <w:t>。</w:t>
            </w:r>
          </w:p>
          <w:p w14:paraId="2C620540">
            <w:pPr>
              <w:widowControl/>
              <w:ind w:firstLine="480" w:firstLineChars="200"/>
              <w:rPr>
                <w:rFonts w:hint="eastAsia"/>
                <w:color w:val="000000" w:themeColor="text1"/>
                <w:sz w:val="24"/>
                <w:szCs w:val="24"/>
                <w:u w:val="none"/>
                <w14:textFill>
                  <w14:solidFill>
                    <w14:schemeClr w14:val="tx1"/>
                  </w14:solidFill>
                </w14:textFill>
              </w:rPr>
            </w:pPr>
            <w:r>
              <w:rPr>
                <w:rFonts w:hint="eastAsia"/>
                <w:color w:val="000000" w:themeColor="text1"/>
                <w:sz w:val="24"/>
                <w:szCs w:val="24"/>
                <w:u w:val="none"/>
                <w14:textFill>
                  <w14:solidFill>
                    <w14:schemeClr w14:val="tx1"/>
                  </w14:solidFill>
                </w14:textFill>
              </w:rPr>
              <w:t>此生境内生活的动物群落仍以鸟类为主，大多属于中下层次鸟类。如八哥、麻雀、灰喜鹊（</w:t>
            </w:r>
            <w:r>
              <w:rPr>
                <w:i/>
                <w:color w:val="000000" w:themeColor="text1"/>
                <w:sz w:val="24"/>
                <w:szCs w:val="24"/>
                <w:u w:val="none"/>
                <w14:textFill>
                  <w14:solidFill>
                    <w14:schemeClr w14:val="tx1"/>
                  </w14:solidFill>
                </w14:textFill>
              </w:rPr>
              <w:t>Cyanopica cyana swinhoei</w:t>
            </w:r>
            <w:r>
              <w:rPr>
                <w:rFonts w:hint="eastAsia"/>
                <w:color w:val="000000" w:themeColor="text1"/>
                <w:sz w:val="24"/>
                <w:szCs w:val="24"/>
                <w:u w:val="none"/>
                <w14:textFill>
                  <w14:solidFill>
                    <w14:schemeClr w14:val="tx1"/>
                  </w14:solidFill>
                </w14:textFill>
              </w:rPr>
              <w:t>）、大山雀（</w:t>
            </w:r>
            <w:r>
              <w:rPr>
                <w:i/>
                <w:iCs/>
                <w:color w:val="000000" w:themeColor="text1"/>
                <w:sz w:val="24"/>
                <w:szCs w:val="24"/>
                <w:u w:val="none"/>
                <w14:textFill>
                  <w14:solidFill>
                    <w14:schemeClr w14:val="tx1"/>
                  </w14:solidFill>
                </w14:textFill>
              </w:rPr>
              <w:t>Parus major artatus</w:t>
            </w:r>
            <w:r>
              <w:rPr>
                <w:rFonts w:hint="eastAsia"/>
                <w:color w:val="000000" w:themeColor="text1"/>
                <w:sz w:val="24"/>
                <w:szCs w:val="24"/>
                <w:u w:val="none"/>
                <w14:textFill>
                  <w14:solidFill>
                    <w14:schemeClr w14:val="tx1"/>
                  </w14:solidFill>
                </w14:textFill>
              </w:rPr>
              <w:t>）等种群数量较多。</w:t>
            </w:r>
          </w:p>
          <w:p w14:paraId="0170D005">
            <w:pPr>
              <w:widowControl/>
              <w:spacing w:line="240" w:lineRule="auto"/>
              <w:jc w:val="center"/>
              <w:rPr>
                <w:rFonts w:hint="eastAsia" w:ascii="Times New Roman" w:hAnsi="Times New Roman" w:eastAsia="宋体" w:cs="Times New Roman"/>
                <w:b/>
                <w:color w:val="000000" w:themeColor="text1"/>
                <w:sz w:val="21"/>
                <w:szCs w:val="21"/>
                <w:u w:val="none"/>
                <w14:textFill>
                  <w14:solidFill>
                    <w14:schemeClr w14:val="tx1"/>
                  </w14:solidFill>
                </w14:textFill>
              </w:rPr>
            </w:pPr>
            <w:r>
              <w:rPr>
                <w:rFonts w:hint="eastAsia" w:ascii="Times New Roman" w:hAnsi="Times New Roman" w:eastAsia="宋体" w:cs="Times New Roman"/>
                <w:b/>
                <w:color w:val="000000" w:themeColor="text1"/>
                <w:sz w:val="21"/>
                <w:szCs w:val="21"/>
                <w:u w:val="none"/>
                <w14:textFill>
                  <w14:solidFill>
                    <w14:schemeClr w14:val="tx1"/>
                  </w14:solidFill>
                </w14:textFill>
              </w:rPr>
              <w:t>表3.</w:t>
            </w:r>
            <w:r>
              <w:rPr>
                <w:rFonts w:hint="eastAsia" w:ascii="Times New Roman" w:hAnsi="Times New Roman" w:eastAsia="宋体" w:cs="Times New Roman"/>
                <w:b/>
                <w:color w:val="000000" w:themeColor="text1"/>
                <w:sz w:val="21"/>
                <w:szCs w:val="21"/>
                <w:u w:val="none"/>
                <w:lang w:val="en-US" w:eastAsia="zh-CN"/>
                <w14:textFill>
                  <w14:solidFill>
                    <w14:schemeClr w14:val="tx1"/>
                  </w14:solidFill>
                </w14:textFill>
              </w:rPr>
              <w:t>5-</w:t>
            </w:r>
            <w:r>
              <w:rPr>
                <w:rFonts w:hint="eastAsia" w:cs="Times New Roman"/>
                <w:b/>
                <w:color w:val="000000" w:themeColor="text1"/>
                <w:sz w:val="21"/>
                <w:szCs w:val="21"/>
                <w:u w:val="none"/>
                <w:lang w:val="en-US" w:eastAsia="zh-CN"/>
                <w14:textFill>
                  <w14:solidFill>
                    <w14:schemeClr w14:val="tx1"/>
                  </w14:solidFill>
                </w14:textFill>
              </w:rPr>
              <w:t>6</w:t>
            </w:r>
            <w:r>
              <w:rPr>
                <w:rFonts w:hint="eastAsia" w:ascii="Times New Roman" w:hAnsi="Times New Roman" w:eastAsia="宋体" w:cs="Times New Roman"/>
                <w:b/>
                <w:color w:val="000000" w:themeColor="text1"/>
                <w:sz w:val="21"/>
                <w:szCs w:val="21"/>
                <w:u w:val="none"/>
                <w:lang w:val="en-US" w:eastAsia="zh-CN"/>
                <w14:textFill>
                  <w14:solidFill>
                    <w14:schemeClr w14:val="tx1"/>
                  </w14:solidFill>
                </w14:textFill>
              </w:rPr>
              <w:t xml:space="preserve">  </w:t>
            </w:r>
            <w:r>
              <w:rPr>
                <w:rFonts w:hint="eastAsia" w:ascii="Times New Roman" w:hAnsi="Times New Roman" w:eastAsia="宋体" w:cs="Times New Roman"/>
                <w:b/>
                <w:color w:val="000000" w:themeColor="text1"/>
                <w:sz w:val="21"/>
                <w:szCs w:val="21"/>
                <w:u w:val="none"/>
                <w14:textFill>
                  <w14:solidFill>
                    <w14:schemeClr w14:val="tx1"/>
                  </w14:solidFill>
                </w14:textFill>
              </w:rPr>
              <w:t>灌丛和灌草丛生物群落中主要植物组成</w:t>
            </w:r>
          </w:p>
          <w:tbl>
            <w:tblPr>
              <w:tblStyle w:val="26"/>
              <w:tblW w:w="7582" w:type="dxa"/>
              <w:jc w:val="center"/>
              <w:tblBorders>
                <w:top w:val="single" w:color="000000" w:sz="8" w:space="0"/>
                <w:left w:val="none" w:color="auto" w:sz="0" w:space="0"/>
                <w:bottom w:val="single" w:color="000000"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98"/>
              <w:gridCol w:w="6284"/>
            </w:tblGrid>
            <w:tr w14:paraId="41F4F170">
              <w:tblPrEx>
                <w:tblBorders>
                  <w:top w:val="single" w:color="000000" w:sz="8"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8" w:type="dxa"/>
                  <w:tcBorders>
                    <w:top w:val="single" w:color="auto" w:sz="6" w:space="0"/>
                    <w:left w:val="single" w:color="auto" w:sz="0" w:space="0"/>
                    <w:bottom w:val="single" w:color="auto" w:sz="4" w:space="0"/>
                    <w:right w:val="nil"/>
                  </w:tcBorders>
                  <w:noWrap w:val="0"/>
                  <w:vAlign w:val="center"/>
                </w:tcPr>
                <w:p w14:paraId="65B0B249">
                  <w:pPr>
                    <w:spacing w:line="240" w:lineRule="auto"/>
                    <w:jc w:val="center"/>
                    <w:rPr>
                      <w:rFonts w:hint="eastAsia" w:ascii="Times New Roman" w:hAnsi="Times New Roman" w:eastAsia="宋体" w:cs="Times New Roman"/>
                      <w:color w:val="000000" w:themeColor="text1"/>
                      <w:sz w:val="21"/>
                      <w:szCs w:val="21"/>
                      <w:u w:val="none"/>
                      <w14:textFill>
                        <w14:solidFill>
                          <w14:schemeClr w14:val="tx1"/>
                        </w14:solidFill>
                      </w14:textFill>
                    </w:rPr>
                  </w:pPr>
                  <w:r>
                    <w:rPr>
                      <w:rFonts w:hint="eastAsia" w:ascii="Times New Roman" w:hAnsi="Times New Roman" w:eastAsia="宋体" w:cs="Times New Roman"/>
                      <w:color w:val="000000" w:themeColor="text1"/>
                      <w:sz w:val="21"/>
                      <w:szCs w:val="21"/>
                      <w:u w:val="none"/>
                      <w14:textFill>
                        <w14:solidFill>
                          <w14:schemeClr w14:val="tx1"/>
                        </w14:solidFill>
                      </w14:textFill>
                    </w:rPr>
                    <w:t>群系名</w:t>
                  </w:r>
                </w:p>
              </w:tc>
              <w:tc>
                <w:tcPr>
                  <w:tcW w:w="6284" w:type="dxa"/>
                  <w:tcBorders>
                    <w:top w:val="single" w:color="auto" w:sz="6" w:space="0"/>
                    <w:bottom w:val="single" w:color="auto" w:sz="4" w:space="0"/>
                    <w:right w:val="single" w:color="auto" w:sz="6" w:space="0"/>
                  </w:tcBorders>
                  <w:noWrap w:val="0"/>
                  <w:vAlign w:val="center"/>
                </w:tcPr>
                <w:p w14:paraId="41C39941">
                  <w:pPr>
                    <w:spacing w:line="240" w:lineRule="auto"/>
                    <w:jc w:val="center"/>
                    <w:rPr>
                      <w:rFonts w:hint="eastAsia" w:ascii="Times New Roman" w:hAnsi="Times New Roman" w:eastAsia="宋体" w:cs="Times New Roman"/>
                      <w:color w:val="000000" w:themeColor="text1"/>
                      <w:sz w:val="21"/>
                      <w:szCs w:val="21"/>
                      <w:u w:val="none"/>
                      <w14:textFill>
                        <w14:solidFill>
                          <w14:schemeClr w14:val="tx1"/>
                        </w14:solidFill>
                      </w14:textFill>
                    </w:rPr>
                  </w:pPr>
                  <w:r>
                    <w:rPr>
                      <w:rFonts w:hint="eastAsia" w:ascii="Times New Roman" w:hAnsi="Times New Roman" w:eastAsia="宋体" w:cs="Times New Roman"/>
                      <w:color w:val="000000" w:themeColor="text1"/>
                      <w:sz w:val="21"/>
                      <w:szCs w:val="21"/>
                      <w:u w:val="none"/>
                      <w14:textFill>
                        <w14:solidFill>
                          <w14:schemeClr w14:val="tx1"/>
                        </w14:solidFill>
                      </w14:textFill>
                    </w:rPr>
                    <w:t>灌、草层常见种</w:t>
                  </w:r>
                </w:p>
              </w:tc>
            </w:tr>
            <w:tr w14:paraId="635393BF">
              <w:tblPrEx>
                <w:tblBorders>
                  <w:top w:val="single" w:color="000000" w:sz="8"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8" w:type="dxa"/>
                  <w:tcBorders>
                    <w:top w:val="single" w:color="auto" w:sz="4" w:space="0"/>
                    <w:left w:val="single" w:color="auto" w:sz="4" w:space="0"/>
                  </w:tcBorders>
                  <w:noWrap w:val="0"/>
                  <w:vAlign w:val="center"/>
                </w:tcPr>
                <w:p w14:paraId="0AE88E0D">
                  <w:pPr>
                    <w:spacing w:line="240" w:lineRule="auto"/>
                    <w:jc w:val="center"/>
                    <w:rPr>
                      <w:rFonts w:hint="eastAsia" w:ascii="Times New Roman" w:hAnsi="Times New Roman" w:eastAsia="宋体" w:cs="Times New Roman"/>
                      <w:color w:val="000000" w:themeColor="text1"/>
                      <w:sz w:val="21"/>
                      <w:szCs w:val="21"/>
                      <w:u w:val="none"/>
                      <w14:textFill>
                        <w14:solidFill>
                          <w14:schemeClr w14:val="tx1"/>
                        </w14:solidFill>
                      </w14:textFill>
                    </w:rPr>
                  </w:pPr>
                  <w:r>
                    <w:rPr>
                      <w:rFonts w:hint="eastAsia" w:ascii="Times New Roman" w:hAnsi="Times New Roman" w:eastAsia="宋体" w:cs="Times New Roman"/>
                      <w:color w:val="000000" w:themeColor="text1"/>
                      <w:sz w:val="21"/>
                      <w:szCs w:val="21"/>
                      <w:u w:val="none"/>
                      <w14:textFill>
                        <w14:solidFill>
                          <w14:schemeClr w14:val="tx1"/>
                        </w14:solidFill>
                      </w14:textFill>
                    </w:rPr>
                    <w:t>盐肤木灌丛</w:t>
                  </w:r>
                </w:p>
              </w:tc>
              <w:tc>
                <w:tcPr>
                  <w:tcW w:w="6284" w:type="dxa"/>
                  <w:tcBorders>
                    <w:top w:val="single" w:color="auto" w:sz="4" w:space="0"/>
                    <w:right w:val="single" w:color="auto" w:sz="6" w:space="0"/>
                  </w:tcBorders>
                  <w:noWrap w:val="0"/>
                  <w:vAlign w:val="center"/>
                </w:tcPr>
                <w:p w14:paraId="0C4FBC94">
                  <w:pPr>
                    <w:spacing w:line="240" w:lineRule="auto"/>
                    <w:jc w:val="center"/>
                    <w:rPr>
                      <w:rFonts w:hint="eastAsia" w:ascii="Times New Roman" w:hAnsi="Times New Roman" w:eastAsia="宋体" w:cs="Times New Roman"/>
                      <w:color w:val="000000" w:themeColor="text1"/>
                      <w:sz w:val="21"/>
                      <w:szCs w:val="21"/>
                      <w:u w:val="none"/>
                      <w14:textFill>
                        <w14:solidFill>
                          <w14:schemeClr w14:val="tx1"/>
                        </w14:solidFill>
                      </w14:textFill>
                    </w:rPr>
                  </w:pPr>
                  <w:r>
                    <w:rPr>
                      <w:rFonts w:hint="eastAsia" w:ascii="Times New Roman" w:hAnsi="Times New Roman" w:eastAsia="宋体" w:cs="Times New Roman"/>
                      <w:color w:val="000000" w:themeColor="text1"/>
                      <w:sz w:val="21"/>
                      <w:szCs w:val="21"/>
                      <w:u w:val="none"/>
                      <w14:textFill>
                        <w14:solidFill>
                          <w14:schemeClr w14:val="tx1"/>
                        </w14:solidFill>
                      </w14:textFill>
                    </w:rPr>
                    <w:t>盐肤木、山胡椒；酢浆草、堇菜（Viola verecumda）、蕨、车前草（Plantago asiatica）；络石等</w:t>
                  </w:r>
                </w:p>
              </w:tc>
            </w:tr>
            <w:tr w14:paraId="0DBFA994">
              <w:tblPrEx>
                <w:tblBorders>
                  <w:top w:val="single" w:color="000000" w:sz="8"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8" w:type="dxa"/>
                  <w:tcBorders>
                    <w:left w:val="single" w:color="auto" w:sz="4" w:space="0"/>
                  </w:tcBorders>
                  <w:noWrap w:val="0"/>
                  <w:vAlign w:val="center"/>
                </w:tcPr>
                <w:p w14:paraId="556FD8D0">
                  <w:pPr>
                    <w:spacing w:line="240" w:lineRule="auto"/>
                    <w:jc w:val="center"/>
                    <w:rPr>
                      <w:rFonts w:hint="eastAsia" w:ascii="Times New Roman" w:hAnsi="Times New Roman" w:eastAsia="宋体" w:cs="Times New Roman"/>
                      <w:color w:val="000000" w:themeColor="text1"/>
                      <w:sz w:val="21"/>
                      <w:szCs w:val="21"/>
                      <w:u w:val="none"/>
                      <w14:textFill>
                        <w14:solidFill>
                          <w14:schemeClr w14:val="tx1"/>
                        </w14:solidFill>
                      </w14:textFill>
                    </w:rPr>
                  </w:pPr>
                  <w:r>
                    <w:rPr>
                      <w:rFonts w:hint="eastAsia" w:ascii="Times New Roman" w:hAnsi="Times New Roman" w:eastAsia="宋体" w:cs="Times New Roman"/>
                      <w:color w:val="000000" w:themeColor="text1"/>
                      <w:sz w:val="21"/>
                      <w:szCs w:val="21"/>
                      <w:u w:val="none"/>
                      <w14:textFill>
                        <w14:solidFill>
                          <w14:schemeClr w14:val="tx1"/>
                        </w14:solidFill>
                      </w14:textFill>
                    </w:rPr>
                    <w:t>紫萁灌丛</w:t>
                  </w:r>
                </w:p>
              </w:tc>
              <w:tc>
                <w:tcPr>
                  <w:tcW w:w="6284" w:type="dxa"/>
                  <w:tcBorders>
                    <w:right w:val="single" w:color="auto" w:sz="6" w:space="0"/>
                  </w:tcBorders>
                  <w:noWrap w:val="0"/>
                  <w:vAlign w:val="center"/>
                </w:tcPr>
                <w:p w14:paraId="3DF78D03">
                  <w:pPr>
                    <w:spacing w:line="240" w:lineRule="auto"/>
                    <w:jc w:val="center"/>
                    <w:rPr>
                      <w:rFonts w:hint="eastAsia" w:ascii="Times New Roman" w:hAnsi="Times New Roman" w:eastAsia="宋体" w:cs="Times New Roman"/>
                      <w:color w:val="000000" w:themeColor="text1"/>
                      <w:sz w:val="21"/>
                      <w:szCs w:val="21"/>
                      <w:u w:val="none"/>
                      <w14:textFill>
                        <w14:solidFill>
                          <w14:schemeClr w14:val="tx1"/>
                        </w14:solidFill>
                      </w14:textFill>
                    </w:rPr>
                  </w:pPr>
                  <w:r>
                    <w:rPr>
                      <w:rFonts w:hint="eastAsia" w:ascii="Times New Roman" w:hAnsi="Times New Roman" w:eastAsia="宋体" w:cs="Times New Roman"/>
                      <w:color w:val="000000" w:themeColor="text1"/>
                      <w:sz w:val="21"/>
                      <w:szCs w:val="21"/>
                      <w:u w:val="none"/>
                      <w14:textFill>
                        <w14:solidFill>
                          <w14:schemeClr w14:val="tx1"/>
                        </w14:solidFill>
                      </w14:textFill>
                    </w:rPr>
                    <w:t>山胡椒、盐肤木；荩草、酢浆草等</w:t>
                  </w:r>
                </w:p>
              </w:tc>
            </w:tr>
            <w:tr w14:paraId="430C1EE4">
              <w:tblPrEx>
                <w:tblBorders>
                  <w:top w:val="single" w:color="000000" w:sz="8"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8" w:type="dxa"/>
                  <w:tcBorders>
                    <w:left w:val="single" w:color="auto" w:sz="4" w:space="0"/>
                  </w:tcBorders>
                  <w:noWrap w:val="0"/>
                  <w:vAlign w:val="center"/>
                </w:tcPr>
                <w:p w14:paraId="326CA6F3">
                  <w:pPr>
                    <w:spacing w:line="240" w:lineRule="auto"/>
                    <w:jc w:val="center"/>
                    <w:rPr>
                      <w:rFonts w:hint="eastAsia" w:ascii="Times New Roman" w:hAnsi="Times New Roman" w:eastAsia="宋体" w:cs="Times New Roman"/>
                      <w:color w:val="000000" w:themeColor="text1"/>
                      <w:sz w:val="21"/>
                      <w:szCs w:val="21"/>
                      <w:u w:val="none"/>
                      <w14:textFill>
                        <w14:solidFill>
                          <w14:schemeClr w14:val="tx1"/>
                        </w14:solidFill>
                      </w14:textFill>
                    </w:rPr>
                  </w:pPr>
                  <w:r>
                    <w:rPr>
                      <w:rFonts w:hint="eastAsia" w:ascii="Times New Roman" w:hAnsi="Times New Roman" w:eastAsia="宋体" w:cs="Times New Roman"/>
                      <w:color w:val="000000" w:themeColor="text1"/>
                      <w:sz w:val="21"/>
                      <w:szCs w:val="21"/>
                      <w:u w:val="none"/>
                      <w14:textFill>
                        <w14:solidFill>
                          <w14:schemeClr w14:val="tx1"/>
                        </w14:solidFill>
                      </w14:textFill>
                    </w:rPr>
                    <w:t>卫矛灌丛</w:t>
                  </w:r>
                </w:p>
              </w:tc>
              <w:tc>
                <w:tcPr>
                  <w:tcW w:w="6284" w:type="dxa"/>
                  <w:tcBorders>
                    <w:right w:val="single" w:color="auto" w:sz="6" w:space="0"/>
                  </w:tcBorders>
                  <w:noWrap w:val="0"/>
                  <w:vAlign w:val="center"/>
                </w:tcPr>
                <w:p w14:paraId="01E326BF">
                  <w:pPr>
                    <w:spacing w:line="240" w:lineRule="auto"/>
                    <w:jc w:val="center"/>
                    <w:rPr>
                      <w:rFonts w:hint="eastAsia" w:ascii="Times New Roman" w:hAnsi="Times New Roman" w:eastAsia="宋体" w:cs="Times New Roman"/>
                      <w:color w:val="000000" w:themeColor="text1"/>
                      <w:sz w:val="21"/>
                      <w:szCs w:val="21"/>
                      <w:u w:val="none"/>
                      <w14:textFill>
                        <w14:solidFill>
                          <w14:schemeClr w14:val="tx1"/>
                        </w14:solidFill>
                      </w14:textFill>
                    </w:rPr>
                  </w:pPr>
                  <w:r>
                    <w:rPr>
                      <w:rFonts w:hint="eastAsia" w:ascii="Times New Roman" w:hAnsi="Times New Roman" w:eastAsia="宋体" w:cs="Times New Roman"/>
                      <w:color w:val="000000" w:themeColor="text1"/>
                      <w:sz w:val="21"/>
                      <w:szCs w:val="21"/>
                      <w:u w:val="none"/>
                      <w14:textFill>
                        <w14:solidFill>
                          <w14:schemeClr w14:val="tx1"/>
                        </w14:solidFill>
                      </w14:textFill>
                    </w:rPr>
                    <w:t>卫矛（Euonymus alatus）、山樱桃（Cerasus tomentosa）、湖北海棠；鸢尾、荩草、淫羊藿（Epimedium fargesii ）、蕨</w:t>
                  </w:r>
                </w:p>
              </w:tc>
            </w:tr>
            <w:tr w14:paraId="480D0272">
              <w:tblPrEx>
                <w:tblBorders>
                  <w:top w:val="single" w:color="000000" w:sz="8"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8" w:type="dxa"/>
                  <w:tcBorders>
                    <w:left w:val="single" w:color="auto" w:sz="4" w:space="0"/>
                  </w:tcBorders>
                  <w:noWrap w:val="0"/>
                  <w:vAlign w:val="center"/>
                </w:tcPr>
                <w:p w14:paraId="0A06FBE1">
                  <w:pPr>
                    <w:spacing w:line="240" w:lineRule="auto"/>
                    <w:jc w:val="center"/>
                    <w:rPr>
                      <w:rFonts w:hint="eastAsia" w:ascii="Times New Roman" w:hAnsi="Times New Roman" w:eastAsia="宋体" w:cs="Times New Roman"/>
                      <w:color w:val="000000" w:themeColor="text1"/>
                      <w:sz w:val="21"/>
                      <w:szCs w:val="21"/>
                      <w:u w:val="none"/>
                      <w14:textFill>
                        <w14:solidFill>
                          <w14:schemeClr w14:val="tx1"/>
                        </w14:solidFill>
                      </w14:textFill>
                    </w:rPr>
                  </w:pPr>
                  <w:r>
                    <w:rPr>
                      <w:rFonts w:hint="eastAsia" w:ascii="Times New Roman" w:hAnsi="Times New Roman" w:eastAsia="宋体" w:cs="Times New Roman"/>
                      <w:color w:val="000000" w:themeColor="text1"/>
                      <w:sz w:val="21"/>
                      <w:szCs w:val="21"/>
                      <w:u w:val="none"/>
                      <w14:textFill>
                        <w14:solidFill>
                          <w14:schemeClr w14:val="tx1"/>
                        </w14:solidFill>
                      </w14:textFill>
                    </w:rPr>
                    <w:t>白茅灌草丛</w:t>
                  </w:r>
                </w:p>
              </w:tc>
              <w:tc>
                <w:tcPr>
                  <w:tcW w:w="6284" w:type="dxa"/>
                  <w:tcBorders>
                    <w:right w:val="single" w:color="auto" w:sz="6" w:space="0"/>
                  </w:tcBorders>
                  <w:noWrap w:val="0"/>
                  <w:vAlign w:val="center"/>
                </w:tcPr>
                <w:p w14:paraId="6D77BBDB">
                  <w:pPr>
                    <w:spacing w:line="240" w:lineRule="auto"/>
                    <w:jc w:val="center"/>
                    <w:rPr>
                      <w:rFonts w:hint="eastAsia" w:ascii="Times New Roman" w:hAnsi="Times New Roman" w:eastAsia="宋体" w:cs="Times New Roman"/>
                      <w:color w:val="000000" w:themeColor="text1"/>
                      <w:sz w:val="21"/>
                      <w:szCs w:val="21"/>
                      <w:u w:val="none"/>
                      <w14:textFill>
                        <w14:solidFill>
                          <w14:schemeClr w14:val="tx1"/>
                        </w14:solidFill>
                      </w14:textFill>
                    </w:rPr>
                  </w:pPr>
                  <w:r>
                    <w:rPr>
                      <w:rFonts w:hint="eastAsia" w:ascii="Times New Roman" w:hAnsi="Times New Roman" w:eastAsia="宋体" w:cs="Times New Roman"/>
                      <w:color w:val="000000" w:themeColor="text1"/>
                      <w:sz w:val="21"/>
                      <w:szCs w:val="21"/>
                      <w:u w:val="none"/>
                      <w14:textFill>
                        <w14:solidFill>
                          <w14:schemeClr w14:val="tx1"/>
                        </w14:solidFill>
                      </w14:textFill>
                    </w:rPr>
                    <w:t>白茅（Imperata cylindrica）、金线草、萹蓄、紫琪等</w:t>
                  </w:r>
                </w:p>
              </w:tc>
            </w:tr>
            <w:tr w14:paraId="0A33E65B">
              <w:tblPrEx>
                <w:tblBorders>
                  <w:top w:val="single" w:color="000000" w:sz="8"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8" w:type="dxa"/>
                  <w:tcBorders>
                    <w:left w:val="single" w:color="auto" w:sz="4" w:space="0"/>
                  </w:tcBorders>
                  <w:noWrap w:val="0"/>
                  <w:vAlign w:val="center"/>
                </w:tcPr>
                <w:p w14:paraId="336D90BB">
                  <w:pPr>
                    <w:spacing w:line="240" w:lineRule="auto"/>
                    <w:jc w:val="center"/>
                    <w:rPr>
                      <w:rFonts w:hint="eastAsia" w:ascii="Times New Roman" w:hAnsi="Times New Roman" w:eastAsia="宋体" w:cs="Times New Roman"/>
                      <w:color w:val="000000" w:themeColor="text1"/>
                      <w:sz w:val="21"/>
                      <w:szCs w:val="21"/>
                      <w:u w:val="none"/>
                      <w14:textFill>
                        <w14:solidFill>
                          <w14:schemeClr w14:val="tx1"/>
                        </w14:solidFill>
                      </w14:textFill>
                    </w:rPr>
                  </w:pPr>
                  <w:r>
                    <w:rPr>
                      <w:rFonts w:hint="eastAsia" w:ascii="Times New Roman" w:hAnsi="Times New Roman" w:eastAsia="宋体" w:cs="Times New Roman"/>
                      <w:color w:val="000000" w:themeColor="text1"/>
                      <w:sz w:val="21"/>
                      <w:szCs w:val="21"/>
                      <w:u w:val="none"/>
                      <w14:textFill>
                        <w14:solidFill>
                          <w14:schemeClr w14:val="tx1"/>
                        </w14:solidFill>
                      </w14:textFill>
                    </w:rPr>
                    <w:t>五节芒灌草丛</w:t>
                  </w:r>
                </w:p>
              </w:tc>
              <w:tc>
                <w:tcPr>
                  <w:tcW w:w="6284" w:type="dxa"/>
                  <w:tcBorders>
                    <w:right w:val="single" w:color="auto" w:sz="6" w:space="0"/>
                  </w:tcBorders>
                  <w:noWrap w:val="0"/>
                  <w:vAlign w:val="center"/>
                </w:tcPr>
                <w:p w14:paraId="3F6E62F1">
                  <w:pPr>
                    <w:spacing w:line="240" w:lineRule="auto"/>
                    <w:jc w:val="center"/>
                    <w:rPr>
                      <w:rFonts w:hint="eastAsia" w:ascii="Times New Roman" w:hAnsi="Times New Roman" w:eastAsia="宋体" w:cs="Times New Roman"/>
                      <w:color w:val="000000" w:themeColor="text1"/>
                      <w:sz w:val="21"/>
                      <w:szCs w:val="21"/>
                      <w:u w:val="none"/>
                      <w14:textFill>
                        <w14:solidFill>
                          <w14:schemeClr w14:val="tx1"/>
                        </w14:solidFill>
                      </w14:textFill>
                    </w:rPr>
                  </w:pPr>
                  <w:r>
                    <w:rPr>
                      <w:rFonts w:hint="eastAsia" w:ascii="Times New Roman" w:hAnsi="Times New Roman" w:eastAsia="宋体" w:cs="Times New Roman"/>
                      <w:color w:val="000000" w:themeColor="text1"/>
                      <w:sz w:val="21"/>
                      <w:szCs w:val="21"/>
                      <w:u w:val="none"/>
                      <w14:textFill>
                        <w14:solidFill>
                          <w14:schemeClr w14:val="tx1"/>
                        </w14:solidFill>
                      </w14:textFill>
                    </w:rPr>
                    <w:t>黄背草、车前草、全叶马兰、狗牙根等</w:t>
                  </w:r>
                </w:p>
              </w:tc>
            </w:tr>
            <w:tr w14:paraId="22F49E42">
              <w:tblPrEx>
                <w:tblBorders>
                  <w:top w:val="single" w:color="000000" w:sz="8"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8" w:type="dxa"/>
                  <w:tcBorders>
                    <w:left w:val="single" w:color="auto" w:sz="4" w:space="0"/>
                    <w:bottom w:val="single" w:color="auto" w:sz="6" w:space="0"/>
                  </w:tcBorders>
                  <w:noWrap w:val="0"/>
                  <w:vAlign w:val="center"/>
                </w:tcPr>
                <w:p w14:paraId="2BD48589">
                  <w:pPr>
                    <w:spacing w:line="240" w:lineRule="auto"/>
                    <w:jc w:val="center"/>
                    <w:rPr>
                      <w:rFonts w:hint="eastAsia"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狗尾草灌草丛</w:t>
                  </w:r>
                </w:p>
              </w:tc>
              <w:tc>
                <w:tcPr>
                  <w:tcW w:w="6284" w:type="dxa"/>
                  <w:tcBorders>
                    <w:bottom w:val="single" w:color="auto" w:sz="6" w:space="0"/>
                    <w:right w:val="single" w:color="auto" w:sz="6" w:space="0"/>
                  </w:tcBorders>
                  <w:noWrap w:val="0"/>
                  <w:vAlign w:val="center"/>
                </w:tcPr>
                <w:p w14:paraId="6009F5CA">
                  <w:pPr>
                    <w:spacing w:line="240" w:lineRule="auto"/>
                    <w:jc w:val="center"/>
                    <w:rPr>
                      <w:rFonts w:hint="eastAsia"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狗尾草、金线草、白茅</w:t>
                  </w:r>
                </w:p>
              </w:tc>
            </w:tr>
          </w:tbl>
          <w:p w14:paraId="3682949F">
            <w:pPr>
              <w:ind w:firstLine="482" w:firstLineChars="200"/>
              <w:rPr>
                <w:rFonts w:hint="eastAsia"/>
                <w:b/>
                <w:bCs/>
                <w:color w:val="000000" w:themeColor="text1"/>
                <w:sz w:val="24"/>
                <w:szCs w:val="24"/>
                <w:u w:val="none"/>
                <w14:textFill>
                  <w14:solidFill>
                    <w14:schemeClr w14:val="tx1"/>
                  </w14:solidFill>
                </w14:textFill>
              </w:rPr>
            </w:pPr>
            <w:r>
              <w:rPr>
                <w:rFonts w:hint="eastAsia"/>
                <w:b/>
                <w:bCs/>
                <w:color w:val="000000" w:themeColor="text1"/>
                <w:sz w:val="24"/>
                <w:szCs w:val="24"/>
                <w:u w:val="none"/>
                <w14:textFill>
                  <w14:solidFill>
                    <w14:schemeClr w14:val="tx1"/>
                  </w14:solidFill>
                </w14:textFill>
              </w:rPr>
              <w:t>（2）群落结构组成</w:t>
            </w:r>
          </w:p>
          <w:p w14:paraId="3C8DF867">
            <w:pPr>
              <w:widowControl/>
              <w:ind w:firstLine="480" w:firstLineChars="200"/>
              <w:rPr>
                <w:color w:val="000000" w:themeColor="text1"/>
                <w:sz w:val="24"/>
                <w:u w:val="none"/>
                <w:lang w:val="zh-CN"/>
                <w14:textFill>
                  <w14:solidFill>
                    <w14:schemeClr w14:val="tx1"/>
                  </w14:solidFill>
                </w14:textFill>
              </w:rPr>
            </w:pPr>
            <w:r>
              <w:rPr>
                <w:rFonts w:hint="eastAsia"/>
                <w:color w:val="000000" w:themeColor="text1"/>
                <w:sz w:val="24"/>
                <w:u w:val="none"/>
                <w:lang w:val="zh-CN"/>
                <w14:textFill>
                  <w14:solidFill>
                    <w14:schemeClr w14:val="tx1"/>
                  </w14:solidFill>
                </w14:textFill>
              </w:rPr>
              <w:t>灌丛</w:t>
            </w:r>
            <w:r>
              <w:rPr>
                <w:color w:val="000000" w:themeColor="text1"/>
                <w:sz w:val="24"/>
                <w:u w:val="none"/>
                <w:lang w:val="zh-CN"/>
                <w14:textFill>
                  <w14:solidFill>
                    <w14:schemeClr w14:val="tx1"/>
                  </w14:solidFill>
                </w14:textFill>
              </w:rPr>
              <w:t>/</w:t>
            </w:r>
            <w:r>
              <w:rPr>
                <w:rFonts w:hint="eastAsia"/>
                <w:color w:val="000000" w:themeColor="text1"/>
                <w:sz w:val="24"/>
                <w:u w:val="none"/>
                <w:lang w:val="zh-CN"/>
                <w14:textFill>
                  <w14:solidFill>
                    <w14:schemeClr w14:val="tx1"/>
                  </w14:solidFill>
                </w14:textFill>
              </w:rPr>
              <w:t>灌草丛生物群落的垂直结构表现出分层现象，包括灌木层和草本层以及地被层，其中灌丛分层包括灌木层和草本层以及地被层，灌草丛分层包括草本层和地被层。群落的水平结构上表现出镶嵌性。</w:t>
            </w:r>
          </w:p>
          <w:p w14:paraId="5DC89C93">
            <w:pPr>
              <w:pStyle w:val="87"/>
              <w:numPr>
                <w:ilvl w:val="0"/>
                <w:numId w:val="4"/>
              </w:numPr>
              <w:spacing w:line="360" w:lineRule="auto"/>
              <w:ind w:firstLineChars="0"/>
              <w:rPr>
                <w:rFonts w:ascii="Times New Roman" w:hAnsi="Times New Roman"/>
                <w:b/>
                <w:color w:val="000000" w:themeColor="text1"/>
                <w:sz w:val="24"/>
                <w:szCs w:val="24"/>
                <w:u w:val="none"/>
                <w14:textFill>
                  <w14:solidFill>
                    <w14:schemeClr w14:val="tx1"/>
                  </w14:solidFill>
                </w14:textFill>
              </w:rPr>
            </w:pPr>
            <w:r>
              <w:rPr>
                <w:rFonts w:hint="eastAsia" w:ascii="Times New Roman" w:hAnsi="Times New Roman"/>
                <w:b/>
                <w:color w:val="000000" w:themeColor="text1"/>
                <w:sz w:val="24"/>
                <w:szCs w:val="24"/>
                <w:u w:val="none"/>
                <w14:textFill>
                  <w14:solidFill>
                    <w14:schemeClr w14:val="tx1"/>
                  </w14:solidFill>
                </w14:textFill>
              </w:rPr>
              <w:t>落叶阔叶灌丛</w:t>
            </w:r>
          </w:p>
          <w:p w14:paraId="03C9C9BD">
            <w:pPr>
              <w:pStyle w:val="87"/>
              <w:spacing w:line="360" w:lineRule="auto"/>
              <w:ind w:firstLineChars="0"/>
              <w:contextualSpacing/>
              <w:rPr>
                <w:b/>
                <w:color w:val="000000" w:themeColor="text1"/>
                <w:kern w:val="0"/>
                <w:sz w:val="20"/>
                <w:szCs w:val="21"/>
                <w:u w:val="none"/>
                <w14:textFill>
                  <w14:solidFill>
                    <w14:schemeClr w14:val="tx1"/>
                  </w14:solidFill>
                </w14:textFill>
              </w:rPr>
            </w:pPr>
            <w:r>
              <w:rPr>
                <w:rFonts w:hint="eastAsia" w:ascii="宋体" w:hAnsi="宋体" w:eastAsia="宋体" w:cs="宋体"/>
                <w:b/>
                <w:color w:val="000000" w:themeColor="text1"/>
                <w:sz w:val="24"/>
                <w:u w:val="none"/>
                <w14:textFill>
                  <w14:solidFill>
                    <w14:schemeClr w14:val="tx1"/>
                  </w14:solidFill>
                </w14:textFill>
              </w:rPr>
              <w:t>⑤</w:t>
            </w:r>
            <w:r>
              <w:rPr>
                <w:rFonts w:hint="eastAsia" w:ascii="Times New Roman" w:hAnsi="Times New Roman" w:eastAsia="华文楷体"/>
                <w:b/>
                <w:color w:val="000000" w:themeColor="text1"/>
                <w:sz w:val="24"/>
                <w:u w:val="none"/>
                <w14:textFill>
                  <w14:solidFill>
                    <w14:schemeClr w14:val="tx1"/>
                  </w14:solidFill>
                </w14:textFill>
              </w:rPr>
              <w:t>盐肤木灌丛（</w:t>
            </w:r>
            <w:r>
              <w:rPr>
                <w:rFonts w:ascii="Times New Roman" w:hAnsi="Times New Roman" w:eastAsia="华文楷体"/>
                <w:b/>
                <w:color w:val="000000" w:themeColor="text1"/>
                <w:sz w:val="24"/>
                <w:u w:val="none"/>
                <w14:textFill>
                  <w14:solidFill>
                    <w14:schemeClr w14:val="tx1"/>
                  </w14:solidFill>
                </w14:textFill>
              </w:rPr>
              <w:t xml:space="preserve">Form. </w:t>
            </w:r>
            <w:r>
              <w:rPr>
                <w:rFonts w:ascii="Times New Roman" w:hAnsi="Times New Roman" w:eastAsia="华文楷体"/>
                <w:b/>
                <w:i/>
                <w:color w:val="000000" w:themeColor="text1"/>
                <w:sz w:val="24"/>
                <w:u w:val="none"/>
                <w14:textFill>
                  <w14:solidFill>
                    <w14:schemeClr w14:val="tx1"/>
                  </w14:solidFill>
                </w14:textFill>
              </w:rPr>
              <w:t>Rhus chinensis</w:t>
            </w:r>
            <w:r>
              <w:rPr>
                <w:rFonts w:hint="eastAsia" w:ascii="Times New Roman" w:hAnsi="Times New Roman" w:eastAsia="华文楷体"/>
                <w:b/>
                <w:color w:val="000000" w:themeColor="text1"/>
                <w:sz w:val="24"/>
                <w:u w:val="none"/>
                <w14:textFill>
                  <w14:solidFill>
                    <w14:schemeClr w14:val="tx1"/>
                  </w14:solidFill>
                </w14:textFill>
              </w:rPr>
              <w:t>）</w:t>
            </w:r>
          </w:p>
          <w:p w14:paraId="61C55E35">
            <w:pPr>
              <w:ind w:firstLine="480" w:firstLineChars="200"/>
              <w:rPr>
                <w:color w:val="000000" w:themeColor="text1"/>
                <w:sz w:val="24"/>
                <w:szCs w:val="24"/>
                <w:u w:val="none"/>
                <w14:textFill>
                  <w14:solidFill>
                    <w14:schemeClr w14:val="tx1"/>
                  </w14:solidFill>
                </w14:textFill>
              </w:rPr>
            </w:pPr>
            <w:r>
              <w:rPr>
                <w:rFonts w:hint="eastAsia"/>
                <w:color w:val="000000" w:themeColor="text1"/>
                <w:sz w:val="24"/>
                <w:szCs w:val="24"/>
                <w:u w:val="none"/>
                <w14:textFill>
                  <w14:solidFill>
                    <w14:schemeClr w14:val="tx1"/>
                  </w14:solidFill>
                </w14:textFill>
              </w:rPr>
              <w:t>该群落在评价</w:t>
            </w:r>
            <w:r>
              <w:rPr>
                <w:color w:val="000000" w:themeColor="text1"/>
                <w:sz w:val="24"/>
                <w:szCs w:val="24"/>
                <w:u w:val="none"/>
                <w14:textFill>
                  <w14:solidFill>
                    <w14:schemeClr w14:val="tx1"/>
                  </w14:solidFill>
                </w14:textFill>
              </w:rPr>
              <w:t>区</w:t>
            </w:r>
            <w:r>
              <w:rPr>
                <w:rFonts w:hint="eastAsia"/>
                <w:color w:val="000000" w:themeColor="text1"/>
                <w:sz w:val="24"/>
                <w:szCs w:val="24"/>
                <w:u w:val="none"/>
                <w14:textFill>
                  <w14:solidFill>
                    <w14:schemeClr w14:val="tx1"/>
                  </w14:solidFill>
                </w14:textFill>
              </w:rPr>
              <w:t>内分布较广。该灌丛发育较好，总盖度为9</w:t>
            </w:r>
            <w:r>
              <w:rPr>
                <w:color w:val="000000" w:themeColor="text1"/>
                <w:sz w:val="24"/>
                <w:szCs w:val="24"/>
                <w:u w:val="none"/>
                <w14:textFill>
                  <w14:solidFill>
                    <w14:schemeClr w14:val="tx1"/>
                  </w14:solidFill>
                </w14:textFill>
              </w:rPr>
              <w:t>0%</w:t>
            </w:r>
            <w:r>
              <w:rPr>
                <w:rFonts w:hint="eastAsia"/>
                <w:color w:val="000000" w:themeColor="text1"/>
                <w:sz w:val="24"/>
                <w:szCs w:val="24"/>
                <w:u w:val="none"/>
                <w14:textFill>
                  <w14:solidFill>
                    <w14:schemeClr w14:val="tx1"/>
                  </w14:solidFill>
                </w14:textFill>
              </w:rPr>
              <w:t>；灌木层盖度为80%，层平均高度为</w:t>
            </w:r>
            <w:r>
              <w:rPr>
                <w:color w:val="000000" w:themeColor="text1"/>
                <w:sz w:val="24"/>
                <w:szCs w:val="24"/>
                <w:u w:val="none"/>
                <w14:textFill>
                  <w14:solidFill>
                    <w14:schemeClr w14:val="tx1"/>
                  </w14:solidFill>
                </w14:textFill>
              </w:rPr>
              <w:t>2.</w:t>
            </w:r>
            <w:r>
              <w:rPr>
                <w:rFonts w:hint="eastAsia"/>
                <w:color w:val="000000" w:themeColor="text1"/>
                <w:sz w:val="24"/>
                <w:szCs w:val="24"/>
                <w:u w:val="none"/>
                <w14:textFill>
                  <w14:solidFill>
                    <w14:schemeClr w14:val="tx1"/>
                  </w14:solidFill>
                </w14:textFill>
              </w:rPr>
              <w:t>0</w:t>
            </w:r>
            <w:r>
              <w:rPr>
                <w:color w:val="000000" w:themeColor="text1"/>
                <w:sz w:val="24"/>
                <w:szCs w:val="24"/>
                <w:u w:val="none"/>
                <w14:textFill>
                  <w14:solidFill>
                    <w14:schemeClr w14:val="tx1"/>
                  </w14:solidFill>
                </w14:textFill>
              </w:rPr>
              <w:t>m</w:t>
            </w:r>
            <w:r>
              <w:rPr>
                <w:rFonts w:hint="eastAsia"/>
                <w:color w:val="000000" w:themeColor="text1"/>
                <w:sz w:val="24"/>
                <w:szCs w:val="24"/>
                <w:u w:val="none"/>
                <w14:textFill>
                  <w14:solidFill>
                    <w14:schemeClr w14:val="tx1"/>
                  </w14:solidFill>
                </w14:textFill>
              </w:rPr>
              <w:t>，优势种为盐肤木，此外还有山胡椒等。草本层盖度为</w:t>
            </w:r>
            <w:r>
              <w:rPr>
                <w:color w:val="000000" w:themeColor="text1"/>
                <w:sz w:val="24"/>
                <w:szCs w:val="24"/>
                <w:u w:val="none"/>
                <w14:textFill>
                  <w14:solidFill>
                    <w14:schemeClr w14:val="tx1"/>
                  </w14:solidFill>
                </w14:textFill>
              </w:rPr>
              <w:t>15%</w:t>
            </w:r>
            <w:r>
              <w:rPr>
                <w:rFonts w:hint="eastAsia"/>
                <w:color w:val="000000" w:themeColor="text1"/>
                <w:sz w:val="24"/>
                <w:szCs w:val="24"/>
                <w:u w:val="none"/>
                <w14:textFill>
                  <w14:solidFill>
                    <w14:schemeClr w14:val="tx1"/>
                  </w14:solidFill>
                </w14:textFill>
              </w:rPr>
              <w:t>，层平均高度为0</w:t>
            </w:r>
            <w:r>
              <w:rPr>
                <w:color w:val="000000" w:themeColor="text1"/>
                <w:sz w:val="24"/>
                <w:szCs w:val="24"/>
                <w:u w:val="none"/>
                <w14:textFill>
                  <w14:solidFill>
                    <w14:schemeClr w14:val="tx1"/>
                  </w14:solidFill>
                </w14:textFill>
              </w:rPr>
              <w:t>.</w:t>
            </w:r>
            <w:r>
              <w:rPr>
                <w:rFonts w:hint="eastAsia"/>
                <w:color w:val="000000" w:themeColor="text1"/>
                <w:sz w:val="24"/>
                <w:szCs w:val="24"/>
                <w:u w:val="none"/>
                <w14:textFill>
                  <w14:solidFill>
                    <w14:schemeClr w14:val="tx1"/>
                  </w14:solidFill>
                </w14:textFill>
              </w:rPr>
              <w:t>2</w:t>
            </w:r>
            <w:r>
              <w:rPr>
                <w:color w:val="000000" w:themeColor="text1"/>
                <w:sz w:val="24"/>
                <w:szCs w:val="24"/>
                <w:u w:val="none"/>
                <w14:textFill>
                  <w14:solidFill>
                    <w14:schemeClr w14:val="tx1"/>
                  </w14:solidFill>
                </w14:textFill>
              </w:rPr>
              <w:t>m</w:t>
            </w:r>
            <w:r>
              <w:rPr>
                <w:rFonts w:hint="eastAsia"/>
                <w:color w:val="000000" w:themeColor="text1"/>
                <w:sz w:val="24"/>
                <w:szCs w:val="24"/>
                <w:u w:val="none"/>
                <w14:textFill>
                  <w14:solidFill>
                    <w14:schemeClr w14:val="tx1"/>
                  </w14:solidFill>
                </w14:textFill>
              </w:rPr>
              <w:t>，分布有少量酢浆草（</w:t>
            </w:r>
            <w:r>
              <w:rPr>
                <w:i/>
                <w:color w:val="000000" w:themeColor="text1"/>
                <w:sz w:val="24"/>
                <w:szCs w:val="24"/>
                <w:u w:val="none"/>
                <w14:textFill>
                  <w14:solidFill>
                    <w14:schemeClr w14:val="tx1"/>
                  </w14:solidFill>
                </w14:textFill>
              </w:rPr>
              <w:t>Oxalis corniculata</w:t>
            </w:r>
            <w:r>
              <w:rPr>
                <w:rFonts w:hint="eastAsia"/>
                <w:color w:val="000000" w:themeColor="text1"/>
                <w:sz w:val="24"/>
                <w:szCs w:val="24"/>
                <w:u w:val="none"/>
                <w14:textFill>
                  <w14:solidFill>
                    <w14:schemeClr w14:val="tx1"/>
                  </w14:solidFill>
                </w14:textFill>
              </w:rPr>
              <w:t>）、堇菜、蕨、车前草等。层间层物种主要是络石（</w:t>
            </w:r>
            <w:r>
              <w:rPr>
                <w:i/>
                <w:color w:val="000000" w:themeColor="text1"/>
                <w:sz w:val="24"/>
                <w:szCs w:val="24"/>
                <w:u w:val="none"/>
                <w14:textFill>
                  <w14:solidFill>
                    <w14:schemeClr w14:val="tx1"/>
                  </w14:solidFill>
                </w14:textFill>
              </w:rPr>
              <w:t>Trachelospermum jasminoides</w:t>
            </w:r>
            <w:r>
              <w:rPr>
                <w:rFonts w:hint="eastAsia"/>
                <w:color w:val="000000" w:themeColor="text1"/>
                <w:sz w:val="24"/>
                <w:szCs w:val="24"/>
                <w:u w:val="none"/>
                <w14:textFill>
                  <w14:solidFill>
                    <w14:schemeClr w14:val="tx1"/>
                  </w14:solidFill>
                </w14:textFill>
              </w:rPr>
              <w:t>）。</w:t>
            </w:r>
          </w:p>
          <w:p w14:paraId="264FB181">
            <w:pPr>
              <w:widowControl/>
              <w:ind w:firstLine="482" w:firstLineChars="200"/>
              <w:contextualSpacing/>
              <w:rPr>
                <w:rFonts w:hint="eastAsia"/>
                <w:color w:val="000000" w:themeColor="text1"/>
                <w:sz w:val="24"/>
                <w:u w:val="none"/>
                <w14:textFill>
                  <w14:solidFill>
                    <w14:schemeClr w14:val="tx1"/>
                  </w14:solidFill>
                </w14:textFill>
              </w:rPr>
            </w:pPr>
            <w:r>
              <w:rPr>
                <w:rFonts w:hint="eastAsia"/>
                <w:b/>
                <w:color w:val="000000" w:themeColor="text1"/>
                <w:sz w:val="24"/>
                <w:u w:val="none"/>
                <w14:textFill>
                  <w14:solidFill>
                    <w14:schemeClr w14:val="tx1"/>
                  </w14:solidFill>
                </w14:textFill>
              </w:rPr>
              <w:t>调查点位：</w:t>
            </w:r>
            <w:r>
              <w:rPr>
                <w:rFonts w:hint="eastAsia"/>
                <w:color w:val="000000" w:themeColor="text1"/>
                <w:sz w:val="24"/>
                <w:u w:val="none"/>
                <w:lang w:val="en-US" w:eastAsia="zh-CN"/>
                <w14:textFill>
                  <w14:solidFill>
                    <w14:schemeClr w14:val="tx1"/>
                  </w14:solidFill>
                </w14:textFill>
              </w:rPr>
              <w:t>4</w:t>
            </w:r>
            <w:r>
              <w:rPr>
                <w:rFonts w:hint="eastAsia"/>
                <w:color w:val="000000" w:themeColor="text1"/>
                <w:sz w:val="24"/>
                <w:u w:val="none"/>
                <w14:textFill>
                  <w14:solidFill>
                    <w14:schemeClr w14:val="tx1"/>
                  </w14:solidFill>
                </w14:textFill>
              </w:rPr>
              <w:t>，</w:t>
            </w:r>
            <w:r>
              <w:rPr>
                <w:color w:val="000000" w:themeColor="text1"/>
                <w:sz w:val="24"/>
                <w:u w:val="none"/>
                <w14:textFill>
                  <w14:solidFill>
                    <w14:schemeClr w14:val="tx1"/>
                  </w14:solidFill>
                </w14:textFill>
              </w:rPr>
              <w:t>GPS</w:t>
            </w:r>
            <w:r>
              <w:rPr>
                <w:rFonts w:hint="eastAsia"/>
                <w:color w:val="000000" w:themeColor="text1"/>
                <w:sz w:val="24"/>
                <w:u w:val="none"/>
                <w14:textFill>
                  <w14:solidFill>
                    <w14:schemeClr w14:val="tx1"/>
                  </w14:solidFill>
                </w14:textFill>
              </w:rPr>
              <w:t>：</w:t>
            </w:r>
            <w:r>
              <w:rPr>
                <w:rFonts w:hint="eastAsia"/>
                <w:color w:val="000000" w:themeColor="text1"/>
                <w:sz w:val="24"/>
                <w:u w:val="none"/>
                <w:lang w:val="en-US" w:eastAsia="zh-CN"/>
                <w14:textFill>
                  <w14:solidFill>
                    <w14:schemeClr w14:val="tx1"/>
                  </w14:solidFill>
                </w14:textFill>
              </w:rPr>
              <w:t>E：109°76′51.767″、N：26°17′26.940″</w:t>
            </w:r>
            <w:r>
              <w:rPr>
                <w:rFonts w:hint="eastAsia"/>
                <w:color w:val="000000" w:themeColor="text1"/>
                <w:sz w:val="24"/>
                <w:u w:val="none"/>
                <w14:textFill>
                  <w14:solidFill>
                    <w14:schemeClr w14:val="tx1"/>
                  </w14:solidFill>
                </w14:textFill>
              </w:rPr>
              <w:t>，</w:t>
            </w:r>
            <w:r>
              <w:rPr>
                <w:color w:val="000000" w:themeColor="text1"/>
                <w:sz w:val="24"/>
                <w:u w:val="none"/>
                <w14:textFill>
                  <w14:solidFill>
                    <w14:schemeClr w14:val="tx1"/>
                  </w14:solidFill>
                </w14:textFill>
              </w:rPr>
              <w:t>H</w:t>
            </w:r>
            <w:r>
              <w:rPr>
                <w:rFonts w:hint="eastAsia"/>
                <w:color w:val="000000" w:themeColor="text1"/>
                <w:sz w:val="24"/>
                <w:u w:val="none"/>
                <w14:textFill>
                  <w14:solidFill>
                    <w14:schemeClr w14:val="tx1"/>
                  </w14:solidFill>
                </w14:textFill>
              </w:rPr>
              <w:t>：</w:t>
            </w:r>
            <w:r>
              <w:rPr>
                <w:rFonts w:hint="eastAsia"/>
                <w:color w:val="000000" w:themeColor="text1"/>
                <w:sz w:val="24"/>
                <w:u w:val="none"/>
                <w:lang w:val="en-US" w:eastAsia="zh-CN"/>
                <w14:textFill>
                  <w14:solidFill>
                    <w14:schemeClr w14:val="tx1"/>
                  </w14:solidFill>
                </w14:textFill>
              </w:rPr>
              <w:t>480</w:t>
            </w:r>
            <w:r>
              <w:rPr>
                <w:color w:val="000000" w:themeColor="text1"/>
                <w:sz w:val="24"/>
                <w:u w:val="none"/>
                <w14:textFill>
                  <w14:solidFill>
                    <w14:schemeClr w14:val="tx1"/>
                  </w14:solidFill>
                </w14:textFill>
              </w:rPr>
              <w:t>m</w:t>
            </w:r>
            <w:r>
              <w:rPr>
                <w:rFonts w:hint="eastAsia"/>
                <w:color w:val="000000" w:themeColor="text1"/>
                <w:sz w:val="24"/>
                <w:u w:val="none"/>
                <w14:textFill>
                  <w14:solidFill>
                    <w14:schemeClr w14:val="tx1"/>
                  </w14:solidFill>
                </w14:textFill>
              </w:rPr>
              <w:t>。</w:t>
            </w:r>
          </w:p>
          <w:p w14:paraId="6D757C1A">
            <w:pPr>
              <w:widowControl/>
              <w:contextualSpacing/>
              <w:jc w:val="center"/>
              <w:rPr>
                <w:rFonts w:hint="eastAsia" w:eastAsia="宋体"/>
                <w:color w:val="FF0000"/>
                <w:sz w:val="24"/>
                <w:u w:val="none"/>
                <w:lang w:eastAsia="zh-CN"/>
              </w:rPr>
            </w:pPr>
            <w:r>
              <w:rPr>
                <w:rFonts w:hint="eastAsia" w:eastAsia="宋体"/>
                <w:color w:val="FF0000"/>
                <w:sz w:val="24"/>
                <w:u w:val="none"/>
                <w:lang w:eastAsia="zh-CN"/>
              </w:rPr>
              <w:drawing>
                <wp:inline distT="0" distB="0" distL="114300" distR="114300">
                  <wp:extent cx="3725545" cy="3151505"/>
                  <wp:effectExtent l="0" t="0" r="8255" b="10795"/>
                  <wp:docPr id="31" name="图片 31" descr="2d9f880f5c0eae4b2e0f8da4b6aa9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2d9f880f5c0eae4b2e0f8da4b6aa93f"/>
                          <pic:cNvPicPr>
                            <a:picLocks noChangeAspect="1"/>
                          </pic:cNvPicPr>
                        </pic:nvPicPr>
                        <pic:blipFill>
                          <a:blip r:embed="rId37"/>
                          <a:stretch>
                            <a:fillRect/>
                          </a:stretch>
                        </pic:blipFill>
                        <pic:spPr>
                          <a:xfrm>
                            <a:off x="0" y="0"/>
                            <a:ext cx="3725545" cy="3151505"/>
                          </a:xfrm>
                          <a:prstGeom prst="rect">
                            <a:avLst/>
                          </a:prstGeom>
                        </pic:spPr>
                      </pic:pic>
                    </a:graphicData>
                  </a:graphic>
                </wp:inline>
              </w:drawing>
            </w:r>
          </w:p>
          <w:p w14:paraId="152D5373">
            <w:pPr>
              <w:widowControl/>
              <w:jc w:val="center"/>
              <w:rPr>
                <w:rFonts w:hint="eastAsia"/>
                <w:b/>
                <w:color w:val="000000" w:themeColor="text1"/>
                <w:kern w:val="0"/>
                <w:sz w:val="20"/>
                <w:szCs w:val="21"/>
                <w:u w:val="none"/>
                <w14:textFill>
                  <w14:solidFill>
                    <w14:schemeClr w14:val="tx1"/>
                  </w14:solidFill>
                </w14:textFill>
              </w:rPr>
            </w:pPr>
            <w:r>
              <w:rPr>
                <w:rFonts w:hint="eastAsia"/>
                <w:b/>
                <w:color w:val="000000" w:themeColor="text1"/>
                <w:kern w:val="0"/>
                <w:sz w:val="20"/>
                <w:szCs w:val="21"/>
                <w:u w:val="none"/>
                <w14:textFill>
                  <w14:solidFill>
                    <w14:schemeClr w14:val="tx1"/>
                  </w14:solidFill>
                </w14:textFill>
              </w:rPr>
              <w:t>盐肤木灌丛</w:t>
            </w:r>
          </w:p>
          <w:p w14:paraId="08A32CA4">
            <w:pPr>
              <w:pStyle w:val="87"/>
              <w:numPr>
                <w:ilvl w:val="0"/>
                <w:numId w:val="4"/>
              </w:numPr>
              <w:spacing w:line="360" w:lineRule="auto"/>
              <w:ind w:firstLineChars="0"/>
              <w:rPr>
                <w:rFonts w:ascii="Times New Roman" w:hAnsi="Times New Roman"/>
                <w:b/>
                <w:color w:val="000000" w:themeColor="text1"/>
                <w:sz w:val="24"/>
                <w:szCs w:val="24"/>
                <w:u w:val="none"/>
                <w14:textFill>
                  <w14:solidFill>
                    <w14:schemeClr w14:val="tx1"/>
                  </w14:solidFill>
                </w14:textFill>
              </w:rPr>
            </w:pPr>
            <w:r>
              <w:rPr>
                <w:rFonts w:hint="eastAsia" w:ascii="Times New Roman" w:hAnsi="Times New Roman"/>
                <w:b/>
                <w:color w:val="000000" w:themeColor="text1"/>
                <w:sz w:val="24"/>
                <w:szCs w:val="24"/>
                <w:u w:val="none"/>
                <w14:textFill>
                  <w14:solidFill>
                    <w14:schemeClr w14:val="tx1"/>
                  </w14:solidFill>
                </w14:textFill>
              </w:rPr>
              <w:t>常绿阔叶灌丛</w:t>
            </w:r>
          </w:p>
          <w:p w14:paraId="4D5CF5C1">
            <w:pPr>
              <w:pStyle w:val="87"/>
              <w:spacing w:line="360" w:lineRule="auto"/>
              <w:ind w:firstLineChars="0"/>
              <w:contextualSpacing/>
              <w:rPr>
                <w:rFonts w:hint="eastAsia" w:ascii="Times New Roman" w:hAnsi="Times New Roman" w:eastAsia="华文楷体"/>
                <w:b/>
                <w:color w:val="000000" w:themeColor="text1"/>
                <w:sz w:val="24"/>
                <w:u w:val="none"/>
                <w14:textFill>
                  <w14:solidFill>
                    <w14:schemeClr w14:val="tx1"/>
                  </w14:solidFill>
                </w14:textFill>
              </w:rPr>
            </w:pPr>
            <w:r>
              <w:rPr>
                <w:rFonts w:hint="eastAsia" w:ascii="宋体" w:hAnsi="宋体" w:eastAsia="宋体" w:cs="宋体"/>
                <w:b/>
                <w:color w:val="000000" w:themeColor="text1"/>
                <w:sz w:val="24"/>
                <w:u w:val="none"/>
                <w14:textFill>
                  <w14:solidFill>
                    <w14:schemeClr w14:val="tx1"/>
                  </w14:solidFill>
                </w14:textFill>
              </w:rPr>
              <w:t>⑥</w:t>
            </w:r>
            <w:r>
              <w:rPr>
                <w:rFonts w:hint="eastAsia" w:ascii="华文楷体" w:hAnsi="华文楷体" w:eastAsia="华文楷体"/>
                <w:b/>
                <w:color w:val="000000" w:themeColor="text1"/>
                <w:sz w:val="24"/>
                <w:u w:val="none"/>
                <w14:textFill>
                  <w14:solidFill>
                    <w14:schemeClr w14:val="tx1"/>
                  </w14:solidFill>
                </w14:textFill>
              </w:rPr>
              <w:t>紫萁灌丛</w:t>
            </w:r>
            <w:r>
              <w:rPr>
                <w:rFonts w:hint="eastAsia" w:ascii="Times New Roman" w:hAnsi="Times New Roman" w:eastAsia="华文楷体"/>
                <w:b/>
                <w:color w:val="000000" w:themeColor="text1"/>
                <w:sz w:val="24"/>
                <w:u w:val="none"/>
                <w14:textFill>
                  <w14:solidFill>
                    <w14:schemeClr w14:val="tx1"/>
                  </w14:solidFill>
                </w14:textFill>
              </w:rPr>
              <w:t>（</w:t>
            </w:r>
            <w:r>
              <w:rPr>
                <w:rFonts w:ascii="Times New Roman" w:hAnsi="Times New Roman" w:eastAsia="华文楷体"/>
                <w:b/>
                <w:color w:val="000000" w:themeColor="text1"/>
                <w:sz w:val="24"/>
                <w:u w:val="none"/>
                <w14:textFill>
                  <w14:solidFill>
                    <w14:schemeClr w14:val="tx1"/>
                  </w14:solidFill>
                </w14:textFill>
              </w:rPr>
              <w:t xml:space="preserve">Form. </w:t>
            </w:r>
            <w:r>
              <w:rPr>
                <w:rFonts w:ascii="Times New Roman" w:hAnsi="Times New Roman" w:eastAsia="华文楷体"/>
                <w:b/>
                <w:i/>
                <w:iCs/>
                <w:color w:val="000000" w:themeColor="text1"/>
                <w:sz w:val="24"/>
                <w:u w:val="none"/>
                <w14:textFill>
                  <w14:solidFill>
                    <w14:schemeClr w14:val="tx1"/>
                  </w14:solidFill>
                </w14:textFill>
              </w:rPr>
              <w:t>Osmunda japonica Thunb.</w:t>
            </w:r>
            <w:r>
              <w:rPr>
                <w:rFonts w:hint="eastAsia" w:ascii="Times New Roman" w:hAnsi="Times New Roman" w:eastAsia="华文楷体"/>
                <w:b/>
                <w:color w:val="000000" w:themeColor="text1"/>
                <w:sz w:val="24"/>
                <w:u w:val="none"/>
                <w14:textFill>
                  <w14:solidFill>
                    <w14:schemeClr w14:val="tx1"/>
                  </w14:solidFill>
                </w14:textFill>
              </w:rPr>
              <w:t>）</w:t>
            </w:r>
          </w:p>
          <w:p w14:paraId="2C2F7E3A">
            <w:pPr>
              <w:ind w:firstLine="480" w:firstLineChars="200"/>
              <w:rPr>
                <w:color w:val="000000" w:themeColor="text1"/>
                <w:sz w:val="24"/>
                <w:szCs w:val="24"/>
                <w:u w:val="none"/>
                <w14:textFill>
                  <w14:solidFill>
                    <w14:schemeClr w14:val="tx1"/>
                  </w14:solidFill>
                </w14:textFill>
              </w:rPr>
            </w:pPr>
            <w:r>
              <w:rPr>
                <w:rFonts w:hint="eastAsia"/>
                <w:color w:val="000000" w:themeColor="text1"/>
                <w:sz w:val="24"/>
                <w:szCs w:val="24"/>
                <w:u w:val="none"/>
                <w14:textFill>
                  <w14:solidFill>
                    <w14:schemeClr w14:val="tx1"/>
                  </w14:solidFill>
                </w14:textFill>
              </w:rPr>
              <w:t>该灌丛发育较好，总盖度为8</w:t>
            </w:r>
            <w:r>
              <w:rPr>
                <w:color w:val="000000" w:themeColor="text1"/>
                <w:sz w:val="24"/>
                <w:szCs w:val="24"/>
                <w:u w:val="none"/>
                <w14:textFill>
                  <w14:solidFill>
                    <w14:schemeClr w14:val="tx1"/>
                  </w14:solidFill>
                </w14:textFill>
              </w:rPr>
              <w:t>0%</w:t>
            </w:r>
            <w:r>
              <w:rPr>
                <w:rFonts w:hint="eastAsia"/>
                <w:color w:val="000000" w:themeColor="text1"/>
                <w:sz w:val="24"/>
                <w:szCs w:val="24"/>
                <w:u w:val="none"/>
                <w14:textFill>
                  <w14:solidFill>
                    <w14:schemeClr w14:val="tx1"/>
                  </w14:solidFill>
                </w14:textFill>
              </w:rPr>
              <w:t>；灌木层盖度为75%，层平均高度为</w:t>
            </w:r>
            <w:r>
              <w:rPr>
                <w:color w:val="000000" w:themeColor="text1"/>
                <w:sz w:val="24"/>
                <w:szCs w:val="24"/>
                <w:u w:val="none"/>
                <w14:textFill>
                  <w14:solidFill>
                    <w14:schemeClr w14:val="tx1"/>
                  </w14:solidFill>
                </w14:textFill>
              </w:rPr>
              <w:t>1.</w:t>
            </w:r>
            <w:r>
              <w:rPr>
                <w:rFonts w:hint="eastAsia"/>
                <w:color w:val="000000" w:themeColor="text1"/>
                <w:sz w:val="24"/>
                <w:szCs w:val="24"/>
                <w:u w:val="none"/>
                <w14:textFill>
                  <w14:solidFill>
                    <w14:schemeClr w14:val="tx1"/>
                  </w14:solidFill>
                </w14:textFill>
              </w:rPr>
              <w:t>3</w:t>
            </w:r>
            <w:r>
              <w:rPr>
                <w:color w:val="000000" w:themeColor="text1"/>
                <w:sz w:val="24"/>
                <w:szCs w:val="24"/>
                <w:u w:val="none"/>
                <w14:textFill>
                  <w14:solidFill>
                    <w14:schemeClr w14:val="tx1"/>
                  </w14:solidFill>
                </w14:textFill>
              </w:rPr>
              <w:t>m</w:t>
            </w:r>
            <w:r>
              <w:rPr>
                <w:rFonts w:hint="eastAsia"/>
                <w:color w:val="000000" w:themeColor="text1"/>
                <w:sz w:val="24"/>
                <w:szCs w:val="24"/>
                <w:u w:val="none"/>
                <w14:textFill>
                  <w14:solidFill>
                    <w14:schemeClr w14:val="tx1"/>
                  </w14:solidFill>
                </w14:textFill>
              </w:rPr>
              <w:t>，优势种为紫萁（</w:t>
            </w:r>
            <w:r>
              <w:rPr>
                <w:i/>
                <w:color w:val="000000" w:themeColor="text1"/>
                <w:sz w:val="24"/>
                <w:szCs w:val="24"/>
                <w:u w:val="none"/>
                <w14:textFill>
                  <w14:solidFill>
                    <w14:schemeClr w14:val="tx1"/>
                  </w14:solidFill>
                </w14:textFill>
              </w:rPr>
              <w:t>Osmunda japonica Thunb</w:t>
            </w:r>
            <w:r>
              <w:rPr>
                <w:rFonts w:hint="eastAsia"/>
                <w:color w:val="000000" w:themeColor="text1"/>
                <w:sz w:val="24"/>
                <w:szCs w:val="24"/>
                <w:u w:val="none"/>
                <w14:textFill>
                  <w14:solidFill>
                    <w14:schemeClr w14:val="tx1"/>
                  </w14:solidFill>
                </w14:textFill>
              </w:rPr>
              <w:t>），此外还有山胡椒、盐肤木等；草本层盖度为</w:t>
            </w:r>
            <w:r>
              <w:rPr>
                <w:color w:val="000000" w:themeColor="text1"/>
                <w:sz w:val="24"/>
                <w:szCs w:val="24"/>
                <w:u w:val="none"/>
                <w14:textFill>
                  <w14:solidFill>
                    <w14:schemeClr w14:val="tx1"/>
                  </w14:solidFill>
                </w14:textFill>
              </w:rPr>
              <w:t>1</w:t>
            </w:r>
            <w:r>
              <w:rPr>
                <w:rFonts w:hint="eastAsia"/>
                <w:color w:val="000000" w:themeColor="text1"/>
                <w:sz w:val="24"/>
                <w:szCs w:val="24"/>
                <w:u w:val="none"/>
                <w14:textFill>
                  <w14:solidFill>
                    <w14:schemeClr w14:val="tx1"/>
                  </w14:solidFill>
                </w14:textFill>
              </w:rPr>
              <w:t>0</w:t>
            </w:r>
            <w:r>
              <w:rPr>
                <w:color w:val="000000" w:themeColor="text1"/>
                <w:sz w:val="24"/>
                <w:szCs w:val="24"/>
                <w:u w:val="none"/>
                <w14:textFill>
                  <w14:solidFill>
                    <w14:schemeClr w14:val="tx1"/>
                  </w14:solidFill>
                </w14:textFill>
              </w:rPr>
              <w:t>%</w:t>
            </w:r>
            <w:r>
              <w:rPr>
                <w:rFonts w:hint="eastAsia"/>
                <w:color w:val="000000" w:themeColor="text1"/>
                <w:sz w:val="24"/>
                <w:szCs w:val="24"/>
                <w:u w:val="none"/>
                <w14:textFill>
                  <w14:solidFill>
                    <w14:schemeClr w14:val="tx1"/>
                  </w14:solidFill>
                </w14:textFill>
              </w:rPr>
              <w:t>，层平均高度为0</w:t>
            </w:r>
            <w:r>
              <w:rPr>
                <w:color w:val="000000" w:themeColor="text1"/>
                <w:sz w:val="24"/>
                <w:szCs w:val="24"/>
                <w:u w:val="none"/>
                <w14:textFill>
                  <w14:solidFill>
                    <w14:schemeClr w14:val="tx1"/>
                  </w14:solidFill>
                </w14:textFill>
              </w:rPr>
              <w:t>.</w:t>
            </w:r>
            <w:r>
              <w:rPr>
                <w:rFonts w:hint="eastAsia"/>
                <w:color w:val="000000" w:themeColor="text1"/>
                <w:sz w:val="24"/>
                <w:szCs w:val="24"/>
                <w:u w:val="none"/>
                <w14:textFill>
                  <w14:solidFill>
                    <w14:schemeClr w14:val="tx1"/>
                  </w14:solidFill>
                </w14:textFill>
              </w:rPr>
              <w:t>2</w:t>
            </w:r>
            <w:r>
              <w:rPr>
                <w:color w:val="000000" w:themeColor="text1"/>
                <w:sz w:val="24"/>
                <w:szCs w:val="24"/>
                <w:u w:val="none"/>
                <w14:textFill>
                  <w14:solidFill>
                    <w14:schemeClr w14:val="tx1"/>
                  </w14:solidFill>
                </w14:textFill>
              </w:rPr>
              <w:t>m</w:t>
            </w:r>
            <w:r>
              <w:rPr>
                <w:rFonts w:hint="eastAsia"/>
                <w:color w:val="000000" w:themeColor="text1"/>
                <w:sz w:val="24"/>
                <w:szCs w:val="24"/>
                <w:u w:val="none"/>
                <w14:textFill>
                  <w14:solidFill>
                    <w14:schemeClr w14:val="tx1"/>
                  </w14:solidFill>
                </w14:textFill>
              </w:rPr>
              <w:t>，分布有酢浆草、荩草等（图3.2</w:t>
            </w:r>
            <w:r>
              <w:rPr>
                <w:color w:val="000000" w:themeColor="text1"/>
                <w:sz w:val="24"/>
                <w:szCs w:val="24"/>
                <w:u w:val="none"/>
                <w14:textFill>
                  <w14:solidFill>
                    <w14:schemeClr w14:val="tx1"/>
                  </w14:solidFill>
                </w14:textFill>
              </w:rPr>
              <w:t>-8</w:t>
            </w:r>
            <w:r>
              <w:rPr>
                <w:rFonts w:hint="eastAsia"/>
                <w:color w:val="000000" w:themeColor="text1"/>
                <w:sz w:val="24"/>
                <w:szCs w:val="24"/>
                <w:u w:val="none"/>
                <w14:textFill>
                  <w14:solidFill>
                    <w14:schemeClr w14:val="tx1"/>
                  </w14:solidFill>
                </w14:textFill>
              </w:rPr>
              <w:t>）。</w:t>
            </w:r>
          </w:p>
          <w:p w14:paraId="1D0953DD">
            <w:pPr>
              <w:widowControl/>
              <w:ind w:firstLine="482" w:firstLineChars="200"/>
              <w:contextualSpacing/>
              <w:rPr>
                <w:rFonts w:hint="eastAsia"/>
                <w:color w:val="000000" w:themeColor="text1"/>
                <w:sz w:val="24"/>
                <w:u w:val="none"/>
                <w14:textFill>
                  <w14:solidFill>
                    <w14:schemeClr w14:val="tx1"/>
                  </w14:solidFill>
                </w14:textFill>
              </w:rPr>
            </w:pPr>
            <w:r>
              <w:rPr>
                <w:rFonts w:hint="eastAsia"/>
                <w:b/>
                <w:color w:val="000000" w:themeColor="text1"/>
                <w:sz w:val="24"/>
                <w:u w:val="none"/>
                <w14:textFill>
                  <w14:solidFill>
                    <w14:schemeClr w14:val="tx1"/>
                  </w14:solidFill>
                </w14:textFill>
              </w:rPr>
              <w:t>调查点位：</w:t>
            </w:r>
            <w:r>
              <w:rPr>
                <w:rFonts w:hint="eastAsia"/>
                <w:color w:val="000000" w:themeColor="text1"/>
                <w:sz w:val="24"/>
                <w:u w:val="none"/>
                <w:lang w:val="en-US" w:eastAsia="zh-CN"/>
                <w14:textFill>
                  <w14:solidFill>
                    <w14:schemeClr w14:val="tx1"/>
                  </w14:solidFill>
                </w14:textFill>
              </w:rPr>
              <w:t>7</w:t>
            </w:r>
            <w:r>
              <w:rPr>
                <w:rFonts w:hint="eastAsia"/>
                <w:color w:val="000000" w:themeColor="text1"/>
                <w:sz w:val="24"/>
                <w:u w:val="none"/>
                <w14:textFill>
                  <w14:solidFill>
                    <w14:schemeClr w14:val="tx1"/>
                  </w14:solidFill>
                </w14:textFill>
              </w:rPr>
              <w:t>，</w:t>
            </w:r>
            <w:r>
              <w:rPr>
                <w:color w:val="000000" w:themeColor="text1"/>
                <w:sz w:val="24"/>
                <w:u w:val="none"/>
                <w14:textFill>
                  <w14:solidFill>
                    <w14:schemeClr w14:val="tx1"/>
                  </w14:solidFill>
                </w14:textFill>
              </w:rPr>
              <w:t>GPS</w:t>
            </w:r>
            <w:r>
              <w:rPr>
                <w:rFonts w:hint="eastAsia"/>
                <w:color w:val="000000" w:themeColor="text1"/>
                <w:sz w:val="24"/>
                <w:u w:val="none"/>
                <w14:textFill>
                  <w14:solidFill>
                    <w14:schemeClr w14:val="tx1"/>
                  </w14:solidFill>
                </w14:textFill>
              </w:rPr>
              <w:t>：</w:t>
            </w:r>
            <w:r>
              <w:rPr>
                <w:rFonts w:hint="eastAsia"/>
                <w:color w:val="000000" w:themeColor="text1"/>
                <w:sz w:val="24"/>
                <w:u w:val="none"/>
                <w:lang w:val="en-US" w:eastAsia="zh-CN"/>
                <w14:textFill>
                  <w14:solidFill>
                    <w14:schemeClr w14:val="tx1"/>
                  </w14:solidFill>
                </w14:textFill>
              </w:rPr>
              <w:t>E：109°68′03.593″、N：26°44′82.785″</w:t>
            </w:r>
            <w:r>
              <w:rPr>
                <w:rFonts w:hint="eastAsia"/>
                <w:color w:val="000000" w:themeColor="text1"/>
                <w:sz w:val="24"/>
                <w:u w:val="none"/>
                <w14:textFill>
                  <w14:solidFill>
                    <w14:schemeClr w14:val="tx1"/>
                  </w14:solidFill>
                </w14:textFill>
              </w:rPr>
              <w:t>，</w:t>
            </w:r>
            <w:r>
              <w:rPr>
                <w:color w:val="000000" w:themeColor="text1"/>
                <w:sz w:val="24"/>
                <w:u w:val="none"/>
                <w14:textFill>
                  <w14:solidFill>
                    <w14:schemeClr w14:val="tx1"/>
                  </w14:solidFill>
                </w14:textFill>
              </w:rPr>
              <w:t>H</w:t>
            </w:r>
            <w:r>
              <w:rPr>
                <w:rFonts w:hint="eastAsia"/>
                <w:color w:val="000000" w:themeColor="text1"/>
                <w:sz w:val="24"/>
                <w:u w:val="none"/>
                <w14:textFill>
                  <w14:solidFill>
                    <w14:schemeClr w14:val="tx1"/>
                  </w14:solidFill>
                </w14:textFill>
              </w:rPr>
              <w:t>：</w:t>
            </w:r>
            <w:r>
              <w:rPr>
                <w:rFonts w:hint="eastAsia"/>
                <w:color w:val="000000" w:themeColor="text1"/>
                <w:sz w:val="24"/>
                <w:u w:val="none"/>
                <w:lang w:val="en-US" w:eastAsia="zh-CN"/>
                <w14:textFill>
                  <w14:solidFill>
                    <w14:schemeClr w14:val="tx1"/>
                  </w14:solidFill>
                </w14:textFill>
              </w:rPr>
              <w:t>950</w:t>
            </w:r>
            <w:r>
              <w:rPr>
                <w:color w:val="000000" w:themeColor="text1"/>
                <w:sz w:val="24"/>
                <w:u w:val="none"/>
                <w14:textFill>
                  <w14:solidFill>
                    <w14:schemeClr w14:val="tx1"/>
                  </w14:solidFill>
                </w14:textFill>
              </w:rPr>
              <w:t>m</w:t>
            </w:r>
            <w:r>
              <w:rPr>
                <w:rFonts w:hint="eastAsia"/>
                <w:color w:val="000000" w:themeColor="text1"/>
                <w:sz w:val="24"/>
                <w:u w:val="none"/>
                <w14:textFill>
                  <w14:solidFill>
                    <w14:schemeClr w14:val="tx1"/>
                  </w14:solidFill>
                </w14:textFill>
              </w:rPr>
              <w:t>。</w:t>
            </w:r>
          </w:p>
          <w:p w14:paraId="32EC33DA">
            <w:pPr>
              <w:widowControl/>
              <w:contextualSpacing/>
              <w:jc w:val="center"/>
              <w:rPr>
                <w:color w:val="000000" w:themeColor="text1"/>
                <w:sz w:val="24"/>
                <w:u w:val="none"/>
                <w14:textFill>
                  <w14:solidFill>
                    <w14:schemeClr w14:val="tx1"/>
                  </w14:solidFill>
                </w14:textFill>
              </w:rPr>
            </w:pPr>
            <w:r>
              <w:rPr>
                <w:rFonts w:hint="eastAsia" w:eastAsiaTheme="minorEastAsia"/>
                <w:lang w:eastAsia="zh-CN"/>
              </w:rPr>
              <w:drawing>
                <wp:inline distT="0" distB="0" distL="114300" distR="114300">
                  <wp:extent cx="4093210" cy="2017395"/>
                  <wp:effectExtent l="0" t="0" r="2540" b="1905"/>
                  <wp:docPr id="30" name="图片 30" descr="86f14af6d976375c363f03d63f150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86f14af6d976375c363f03d63f150ac"/>
                          <pic:cNvPicPr>
                            <a:picLocks noChangeAspect="1"/>
                          </pic:cNvPicPr>
                        </pic:nvPicPr>
                        <pic:blipFill>
                          <a:blip r:embed="rId38"/>
                          <a:srcRect t="27998" b="52742"/>
                          <a:stretch>
                            <a:fillRect/>
                          </a:stretch>
                        </pic:blipFill>
                        <pic:spPr>
                          <a:xfrm>
                            <a:off x="0" y="0"/>
                            <a:ext cx="4093210" cy="2017395"/>
                          </a:xfrm>
                          <a:prstGeom prst="rect">
                            <a:avLst/>
                          </a:prstGeom>
                        </pic:spPr>
                      </pic:pic>
                    </a:graphicData>
                  </a:graphic>
                </wp:inline>
              </w:drawing>
            </w:r>
          </w:p>
          <w:p w14:paraId="1D38EB63">
            <w:pPr>
              <w:widowControl/>
              <w:jc w:val="center"/>
              <w:rPr>
                <w:rFonts w:hint="eastAsia"/>
                <w:b/>
                <w:color w:val="000000" w:themeColor="text1"/>
                <w:kern w:val="0"/>
                <w:sz w:val="20"/>
                <w:szCs w:val="21"/>
                <w:u w:val="none"/>
                <w14:textFill>
                  <w14:solidFill>
                    <w14:schemeClr w14:val="tx1"/>
                  </w14:solidFill>
                </w14:textFill>
              </w:rPr>
            </w:pPr>
            <w:r>
              <w:rPr>
                <w:rFonts w:hint="eastAsia"/>
                <w:b/>
                <w:color w:val="000000" w:themeColor="text1"/>
                <w:kern w:val="0"/>
                <w:sz w:val="20"/>
                <w:szCs w:val="21"/>
                <w:u w:val="none"/>
                <w14:textFill>
                  <w14:solidFill>
                    <w14:schemeClr w14:val="tx1"/>
                  </w14:solidFill>
                </w14:textFill>
              </w:rPr>
              <w:t>紫萁灌丛</w:t>
            </w:r>
          </w:p>
          <w:p w14:paraId="421E17EE">
            <w:pPr>
              <w:pStyle w:val="87"/>
              <w:spacing w:line="360" w:lineRule="auto"/>
              <w:ind w:left="482" w:firstLine="0" w:firstLineChars="0"/>
              <w:contextualSpacing/>
              <w:rPr>
                <w:rFonts w:hint="eastAsia" w:ascii="Times New Roman" w:hAnsi="Times New Roman" w:eastAsia="华文楷体"/>
                <w:b/>
                <w:color w:val="000000" w:themeColor="text1"/>
                <w:sz w:val="24"/>
                <w:u w:val="none"/>
                <w14:textFill>
                  <w14:solidFill>
                    <w14:schemeClr w14:val="tx1"/>
                  </w14:solidFill>
                </w14:textFill>
              </w:rPr>
            </w:pPr>
            <w:r>
              <w:rPr>
                <w:rFonts w:hint="eastAsia" w:ascii="Times New Roman" w:hAnsi="Times New Roman" w:eastAsia="华文楷体"/>
                <w:b/>
                <w:color w:val="000000" w:themeColor="text1"/>
                <w:sz w:val="24"/>
                <w:u w:val="none"/>
                <w14:textFill>
                  <w14:solidFill>
                    <w14:schemeClr w14:val="tx1"/>
                  </w14:solidFill>
                </w14:textFill>
              </w:rPr>
              <w:t>白茅灌草丛（</w:t>
            </w:r>
            <w:r>
              <w:rPr>
                <w:rFonts w:ascii="Times New Roman" w:hAnsi="Times New Roman" w:eastAsia="华文楷体"/>
                <w:b/>
                <w:color w:val="000000" w:themeColor="text1"/>
                <w:sz w:val="24"/>
                <w:u w:val="none"/>
                <w14:textFill>
                  <w14:solidFill>
                    <w14:schemeClr w14:val="tx1"/>
                  </w14:solidFill>
                </w14:textFill>
              </w:rPr>
              <w:t>Form.</w:t>
            </w:r>
            <w:r>
              <w:rPr>
                <w:rFonts w:ascii="Times New Roman" w:hAnsi="Times New Roman" w:eastAsia="华文楷体"/>
                <w:b/>
                <w:i/>
                <w:color w:val="000000" w:themeColor="text1"/>
                <w:sz w:val="24"/>
                <w:u w:val="none"/>
                <w14:textFill>
                  <w14:solidFill>
                    <w14:schemeClr w14:val="tx1"/>
                  </w14:solidFill>
                </w14:textFill>
              </w:rPr>
              <w:t xml:space="preserve"> </w:t>
            </w:r>
            <w:r>
              <w:rPr>
                <w:rFonts w:ascii="Times New Roman" w:hAnsi="Times New Roman" w:eastAsia="华文楷体"/>
                <w:b/>
                <w:i/>
                <w:iCs/>
                <w:color w:val="000000" w:themeColor="text1"/>
                <w:sz w:val="24"/>
                <w:u w:val="none"/>
                <w14:textFill>
                  <w14:solidFill>
                    <w14:schemeClr w14:val="tx1"/>
                  </w14:solidFill>
                </w14:textFill>
              </w:rPr>
              <w:t>Iris tectorum</w:t>
            </w:r>
            <w:r>
              <w:rPr>
                <w:rFonts w:hint="eastAsia" w:ascii="Times New Roman" w:hAnsi="Times New Roman" w:eastAsia="华文楷体"/>
                <w:b/>
                <w:color w:val="000000" w:themeColor="text1"/>
                <w:sz w:val="24"/>
                <w:u w:val="none"/>
                <w14:textFill>
                  <w14:solidFill>
                    <w14:schemeClr w14:val="tx1"/>
                  </w14:solidFill>
                </w14:textFill>
              </w:rPr>
              <w:t>）</w:t>
            </w:r>
          </w:p>
          <w:p w14:paraId="157E6F56">
            <w:pPr>
              <w:ind w:firstLine="480" w:firstLineChars="200"/>
              <w:rPr>
                <w:color w:val="000000" w:themeColor="text1"/>
                <w:sz w:val="24"/>
                <w:szCs w:val="21"/>
                <w:u w:val="none"/>
                <w14:textFill>
                  <w14:solidFill>
                    <w14:schemeClr w14:val="tx1"/>
                  </w14:solidFill>
                </w14:textFill>
              </w:rPr>
            </w:pPr>
            <w:r>
              <w:rPr>
                <w:rFonts w:hint="eastAsia"/>
                <w:color w:val="000000" w:themeColor="text1"/>
                <w:sz w:val="24"/>
                <w:szCs w:val="21"/>
                <w:u w:val="none"/>
                <w14:textFill>
                  <w14:solidFill>
                    <w14:schemeClr w14:val="tx1"/>
                  </w14:solidFill>
                </w14:textFill>
              </w:rPr>
              <w:t>草本层发育较好，总盖度为</w:t>
            </w:r>
            <w:r>
              <w:rPr>
                <w:color w:val="000000" w:themeColor="text1"/>
                <w:sz w:val="24"/>
                <w:szCs w:val="21"/>
                <w:u w:val="none"/>
                <w14:textFill>
                  <w14:solidFill>
                    <w14:schemeClr w14:val="tx1"/>
                  </w14:solidFill>
                </w14:textFill>
              </w:rPr>
              <w:t>95%</w:t>
            </w:r>
            <w:r>
              <w:rPr>
                <w:rFonts w:hint="eastAsia"/>
                <w:color w:val="000000" w:themeColor="text1"/>
                <w:sz w:val="24"/>
                <w:szCs w:val="21"/>
                <w:u w:val="none"/>
                <w14:textFill>
                  <w14:solidFill>
                    <w14:schemeClr w14:val="tx1"/>
                  </w14:solidFill>
                </w14:textFill>
              </w:rPr>
              <w:t>，优势种为白茅，平均高度为1.3</w:t>
            </w:r>
            <w:r>
              <w:rPr>
                <w:color w:val="000000" w:themeColor="text1"/>
                <w:sz w:val="24"/>
                <w:szCs w:val="21"/>
                <w:u w:val="none"/>
                <w14:textFill>
                  <w14:solidFill>
                    <w14:schemeClr w14:val="tx1"/>
                  </w14:solidFill>
                </w14:textFill>
              </w:rPr>
              <w:t>m</w:t>
            </w:r>
            <w:r>
              <w:rPr>
                <w:rFonts w:hint="eastAsia"/>
                <w:color w:val="000000" w:themeColor="text1"/>
                <w:sz w:val="24"/>
                <w:szCs w:val="21"/>
                <w:u w:val="none"/>
                <w14:textFill>
                  <w14:solidFill>
                    <w14:schemeClr w14:val="tx1"/>
                  </w14:solidFill>
                </w14:textFill>
              </w:rPr>
              <w:t>，此外还有金线草、萹蓄、</w:t>
            </w:r>
            <w:r>
              <w:rPr>
                <w:color w:val="000000" w:themeColor="text1"/>
                <w:sz w:val="24"/>
                <w:szCs w:val="21"/>
                <w:u w:val="none"/>
                <w14:textFill>
                  <w14:solidFill>
                    <w14:schemeClr w14:val="tx1"/>
                  </w14:solidFill>
                </w14:textFill>
              </w:rPr>
              <w:t>紫萁</w:t>
            </w:r>
            <w:r>
              <w:rPr>
                <w:rFonts w:hint="eastAsia"/>
                <w:color w:val="000000" w:themeColor="text1"/>
                <w:sz w:val="24"/>
                <w:szCs w:val="21"/>
                <w:u w:val="none"/>
                <w14:textFill>
                  <w14:solidFill>
                    <w14:schemeClr w14:val="tx1"/>
                  </w14:solidFill>
                </w14:textFill>
              </w:rPr>
              <w:t>等</w:t>
            </w:r>
            <w:r>
              <w:rPr>
                <w:rFonts w:hint="eastAsia"/>
                <w:color w:val="000000" w:themeColor="text1"/>
                <w:sz w:val="24"/>
                <w:u w:val="none"/>
                <w14:textFill>
                  <w14:solidFill>
                    <w14:schemeClr w14:val="tx1"/>
                  </w14:solidFill>
                </w14:textFill>
              </w:rPr>
              <w:t>（</w:t>
            </w:r>
            <w:r>
              <w:rPr>
                <w:rFonts w:hint="eastAsia"/>
                <w:color w:val="000000" w:themeColor="text1"/>
                <w:sz w:val="24"/>
                <w:szCs w:val="21"/>
                <w:u w:val="none"/>
                <w14:textFill>
                  <w14:solidFill>
                    <w14:schemeClr w14:val="tx1"/>
                  </w14:solidFill>
                </w14:textFill>
              </w:rPr>
              <w:t>。</w:t>
            </w:r>
          </w:p>
          <w:p w14:paraId="3726D033">
            <w:pPr>
              <w:widowControl/>
              <w:ind w:firstLine="482" w:firstLineChars="200"/>
              <w:contextualSpacing/>
              <w:jc w:val="left"/>
              <w:rPr>
                <w:rFonts w:hint="eastAsia" w:eastAsia="华文楷体"/>
                <w:b/>
                <w:color w:val="000000" w:themeColor="text1"/>
                <w:sz w:val="24"/>
                <w:u w:val="none"/>
                <w14:textFill>
                  <w14:solidFill>
                    <w14:schemeClr w14:val="tx1"/>
                  </w14:solidFill>
                </w14:textFill>
              </w:rPr>
            </w:pPr>
            <w:r>
              <w:rPr>
                <w:rFonts w:hint="eastAsia"/>
                <w:b/>
                <w:color w:val="000000" w:themeColor="text1"/>
                <w:sz w:val="24"/>
                <w:u w:val="none"/>
                <w14:textFill>
                  <w14:solidFill>
                    <w14:schemeClr w14:val="tx1"/>
                  </w14:solidFill>
                </w14:textFill>
              </w:rPr>
              <w:t>调查点位：</w:t>
            </w:r>
            <w:r>
              <w:rPr>
                <w:rFonts w:hint="eastAsia"/>
                <w:color w:val="000000" w:themeColor="text1"/>
                <w:sz w:val="24"/>
                <w:u w:val="none"/>
                <w:lang w:val="en-US" w:eastAsia="zh-CN"/>
                <w14:textFill>
                  <w14:solidFill>
                    <w14:schemeClr w14:val="tx1"/>
                  </w14:solidFill>
                </w14:textFill>
              </w:rPr>
              <w:t>9</w:t>
            </w:r>
            <w:r>
              <w:rPr>
                <w:rFonts w:hint="eastAsia"/>
                <w:color w:val="000000" w:themeColor="text1"/>
                <w:sz w:val="24"/>
                <w:u w:val="none"/>
                <w14:textFill>
                  <w14:solidFill>
                    <w14:schemeClr w14:val="tx1"/>
                  </w14:solidFill>
                </w14:textFill>
              </w:rPr>
              <w:t>，</w:t>
            </w:r>
            <w:r>
              <w:rPr>
                <w:color w:val="000000" w:themeColor="text1"/>
                <w:sz w:val="24"/>
                <w:u w:val="none"/>
                <w14:textFill>
                  <w14:solidFill>
                    <w14:schemeClr w14:val="tx1"/>
                  </w14:solidFill>
                </w14:textFill>
              </w:rPr>
              <w:t>GPS</w:t>
            </w:r>
            <w:r>
              <w:rPr>
                <w:rFonts w:hint="eastAsia"/>
                <w:color w:val="000000" w:themeColor="text1"/>
                <w:sz w:val="24"/>
                <w:u w:val="none"/>
                <w14:textFill>
                  <w14:solidFill>
                    <w14:schemeClr w14:val="tx1"/>
                  </w14:solidFill>
                </w14:textFill>
              </w:rPr>
              <w:t>：</w:t>
            </w:r>
            <w:r>
              <w:rPr>
                <w:rFonts w:hint="eastAsia"/>
                <w:color w:val="000000" w:themeColor="text1"/>
                <w:sz w:val="24"/>
                <w:u w:val="none"/>
                <w:lang w:val="en-US" w:eastAsia="zh-CN"/>
                <w14:textFill>
                  <w14:solidFill>
                    <w14:schemeClr w14:val="tx1"/>
                  </w14:solidFill>
                </w14:textFill>
              </w:rPr>
              <w:t>E：109°64′11.516″，N：26°10′83.345″</w:t>
            </w:r>
            <w:r>
              <w:rPr>
                <w:rFonts w:hint="eastAsia"/>
                <w:color w:val="000000" w:themeColor="text1"/>
                <w:sz w:val="24"/>
                <w:u w:val="none"/>
                <w14:textFill>
                  <w14:solidFill>
                    <w14:schemeClr w14:val="tx1"/>
                  </w14:solidFill>
                </w14:textFill>
              </w:rPr>
              <w:t>，</w:t>
            </w:r>
            <w:r>
              <w:rPr>
                <w:color w:val="000000" w:themeColor="text1"/>
                <w:sz w:val="24"/>
                <w:u w:val="none"/>
                <w14:textFill>
                  <w14:solidFill>
                    <w14:schemeClr w14:val="tx1"/>
                  </w14:solidFill>
                </w14:textFill>
              </w:rPr>
              <w:t>H</w:t>
            </w:r>
            <w:r>
              <w:rPr>
                <w:rFonts w:hint="eastAsia"/>
                <w:color w:val="000000" w:themeColor="text1"/>
                <w:sz w:val="24"/>
                <w:u w:val="none"/>
                <w14:textFill>
                  <w14:solidFill>
                    <w14:schemeClr w14:val="tx1"/>
                  </w14:solidFill>
                </w14:textFill>
              </w:rPr>
              <w:t>：</w:t>
            </w:r>
            <w:r>
              <w:rPr>
                <w:rFonts w:hint="eastAsia"/>
                <w:color w:val="000000" w:themeColor="text1"/>
                <w:sz w:val="24"/>
                <w:u w:val="none"/>
                <w:lang w:val="en-US" w:eastAsia="zh-CN"/>
                <w14:textFill>
                  <w14:solidFill>
                    <w14:schemeClr w14:val="tx1"/>
                  </w14:solidFill>
                </w14:textFill>
              </w:rPr>
              <w:t>670</w:t>
            </w:r>
            <w:r>
              <w:rPr>
                <w:color w:val="000000" w:themeColor="text1"/>
                <w:sz w:val="24"/>
                <w:u w:val="none"/>
                <w14:textFill>
                  <w14:solidFill>
                    <w14:schemeClr w14:val="tx1"/>
                  </w14:solidFill>
                </w14:textFill>
              </w:rPr>
              <w:t>m</w:t>
            </w:r>
            <w:r>
              <w:rPr>
                <w:rFonts w:hint="eastAsia"/>
                <w:color w:val="000000" w:themeColor="text1"/>
                <w:sz w:val="24"/>
                <w:u w:val="none"/>
                <w14:textFill>
                  <w14:solidFill>
                    <w14:schemeClr w14:val="tx1"/>
                  </w14:solidFill>
                </w14:textFill>
              </w:rPr>
              <w:t>。</w:t>
            </w:r>
          </w:p>
          <w:p w14:paraId="1DDD8041">
            <w:pPr>
              <w:pStyle w:val="87"/>
              <w:spacing w:line="360" w:lineRule="auto"/>
              <w:ind w:left="482" w:firstLine="0" w:firstLineChars="0"/>
              <w:contextualSpacing/>
              <w:jc w:val="center"/>
              <w:rPr>
                <w:color w:val="FF0000"/>
                <w:u w:val="none"/>
              </w:rPr>
            </w:pPr>
            <w:r>
              <w:rPr>
                <w:rFonts w:hint="eastAsia" w:eastAsia="宋体"/>
                <w:color w:val="000000" w:themeColor="text1"/>
                <w:sz w:val="24"/>
                <w:u w:val="none"/>
                <w:lang w:eastAsia="zh-CN"/>
                <w14:textFill>
                  <w14:solidFill>
                    <w14:schemeClr w14:val="tx1"/>
                  </w14:solidFill>
                </w14:textFill>
              </w:rPr>
              <w:drawing>
                <wp:inline distT="0" distB="0" distL="114300" distR="114300">
                  <wp:extent cx="2949575" cy="2734945"/>
                  <wp:effectExtent l="0" t="0" r="0" b="0"/>
                  <wp:docPr id="67" name="图片 67" descr="4790ceb941a5e27e4d9931d8aecba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4790ceb941a5e27e4d9931d8aecbaf0"/>
                          <pic:cNvPicPr>
                            <a:picLocks noChangeAspect="1"/>
                          </pic:cNvPicPr>
                        </pic:nvPicPr>
                        <pic:blipFill>
                          <a:blip r:embed="rId39"/>
                          <a:srcRect r="25870"/>
                          <a:stretch>
                            <a:fillRect/>
                          </a:stretch>
                        </pic:blipFill>
                        <pic:spPr>
                          <a:xfrm>
                            <a:off x="0" y="0"/>
                            <a:ext cx="2949575" cy="2734945"/>
                          </a:xfrm>
                          <a:prstGeom prst="rect">
                            <a:avLst/>
                          </a:prstGeom>
                        </pic:spPr>
                      </pic:pic>
                    </a:graphicData>
                  </a:graphic>
                </wp:inline>
              </w:drawing>
            </w:r>
          </w:p>
          <w:p w14:paraId="77B677FD">
            <w:pPr>
              <w:widowControl/>
              <w:jc w:val="center"/>
              <w:rPr>
                <w:rFonts w:hint="eastAsia" w:ascii="Times New Roman" w:hAnsi="Times New Roman" w:eastAsia="宋体" w:cs="Times New Roman"/>
                <w:b/>
                <w:color w:val="000000" w:themeColor="text1"/>
                <w:kern w:val="0"/>
                <w:sz w:val="20"/>
                <w:szCs w:val="21"/>
                <w:u w:val="none"/>
                <w14:textFill>
                  <w14:solidFill>
                    <w14:schemeClr w14:val="tx1"/>
                  </w14:solidFill>
                </w14:textFill>
              </w:rPr>
            </w:pPr>
            <w:r>
              <w:rPr>
                <w:rFonts w:hint="eastAsia" w:ascii="Times New Roman" w:hAnsi="Times New Roman" w:eastAsia="宋体" w:cs="Times New Roman"/>
                <w:b/>
                <w:color w:val="000000" w:themeColor="text1"/>
                <w:kern w:val="0"/>
                <w:sz w:val="20"/>
                <w:szCs w:val="21"/>
                <w:u w:val="none"/>
                <w14:textFill>
                  <w14:solidFill>
                    <w14:schemeClr w14:val="tx1"/>
                  </w14:solidFill>
                </w14:textFill>
              </w:rPr>
              <w:t>白茅灌丛</w:t>
            </w:r>
          </w:p>
          <w:p w14:paraId="3ADC9CA7">
            <w:pPr>
              <w:pStyle w:val="87"/>
              <w:spacing w:line="360" w:lineRule="auto"/>
              <w:ind w:left="482" w:firstLine="0" w:firstLineChars="0"/>
              <w:contextualSpacing/>
              <w:rPr>
                <w:rFonts w:ascii="Times New Roman" w:hAnsi="Times New Roman" w:eastAsia="华文楷体"/>
                <w:b/>
                <w:color w:val="000000" w:themeColor="text1"/>
                <w:sz w:val="24"/>
                <w:u w:val="none"/>
                <w14:textFill>
                  <w14:solidFill>
                    <w14:schemeClr w14:val="tx1"/>
                  </w14:solidFill>
                </w14:textFill>
              </w:rPr>
            </w:pPr>
            <w:r>
              <w:rPr>
                <w:rFonts w:hint="eastAsia" w:ascii="仿宋" w:hAnsi="仿宋" w:eastAsia="仿宋" w:cs="仿宋"/>
                <w:b/>
                <w:color w:val="000000" w:themeColor="text1"/>
                <w:sz w:val="24"/>
                <w:u w:val="none"/>
                <w14:textFill>
                  <w14:solidFill>
                    <w14:schemeClr w14:val="tx1"/>
                  </w14:solidFill>
                </w14:textFill>
              </w:rPr>
              <w:t>⑦</w:t>
            </w:r>
            <w:r>
              <w:rPr>
                <w:rFonts w:hint="eastAsia" w:ascii="Times New Roman" w:hAnsi="Times New Roman" w:eastAsia="华文楷体"/>
                <w:b/>
                <w:color w:val="000000" w:themeColor="text1"/>
                <w:sz w:val="24"/>
                <w:u w:val="none"/>
                <w14:textFill>
                  <w14:solidFill>
                    <w14:schemeClr w14:val="tx1"/>
                  </w14:solidFill>
                </w14:textFill>
              </w:rPr>
              <w:t>卫矛灌丛</w:t>
            </w:r>
            <w:r>
              <w:rPr>
                <w:rFonts w:ascii="Times New Roman" w:hAnsi="Times New Roman" w:eastAsia="华文楷体"/>
                <w:b/>
                <w:color w:val="000000" w:themeColor="text1"/>
                <w:sz w:val="24"/>
                <w:u w:val="none"/>
                <w14:textFill>
                  <w14:solidFill>
                    <w14:schemeClr w14:val="tx1"/>
                  </w14:solidFill>
                </w14:textFill>
              </w:rPr>
              <w:t xml:space="preserve">（Form. </w:t>
            </w:r>
            <w:r>
              <w:rPr>
                <w:rFonts w:ascii="Times New Roman" w:hAnsi="Times New Roman" w:eastAsia="华文楷体"/>
                <w:b/>
                <w:i/>
                <w:color w:val="000000" w:themeColor="text1"/>
                <w:sz w:val="24"/>
                <w:u w:val="none"/>
                <w14:textFill>
                  <w14:solidFill>
                    <w14:schemeClr w14:val="tx1"/>
                  </w14:solidFill>
                </w14:textFill>
              </w:rPr>
              <w:t>Euonymus alatus</w:t>
            </w:r>
            <w:r>
              <w:rPr>
                <w:rFonts w:ascii="Times New Roman" w:hAnsi="Times New Roman" w:eastAsia="华文楷体"/>
                <w:b/>
                <w:color w:val="000000" w:themeColor="text1"/>
                <w:sz w:val="24"/>
                <w:u w:val="none"/>
                <w14:textFill>
                  <w14:solidFill>
                    <w14:schemeClr w14:val="tx1"/>
                  </w14:solidFill>
                </w14:textFill>
              </w:rPr>
              <w:t>）</w:t>
            </w:r>
          </w:p>
          <w:p w14:paraId="5F94DF61">
            <w:pPr>
              <w:widowControl/>
              <w:ind w:firstLine="480" w:firstLineChars="200"/>
              <w:jc w:val="left"/>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该灌丛发育较好，总盖度为9</w:t>
            </w:r>
            <w:r>
              <w:rPr>
                <w:color w:val="000000" w:themeColor="text1"/>
                <w:sz w:val="24"/>
                <w:u w:val="none"/>
                <w14:textFill>
                  <w14:solidFill>
                    <w14:schemeClr w14:val="tx1"/>
                  </w14:solidFill>
                </w14:textFill>
              </w:rPr>
              <w:t>0%</w:t>
            </w:r>
            <w:r>
              <w:rPr>
                <w:rFonts w:hint="eastAsia"/>
                <w:color w:val="000000" w:themeColor="text1"/>
                <w:sz w:val="24"/>
                <w:u w:val="none"/>
                <w14:textFill>
                  <w14:solidFill>
                    <w14:schemeClr w14:val="tx1"/>
                  </w14:solidFill>
                </w14:textFill>
              </w:rPr>
              <w:t>；灌木层盖度为80%，层平均高度为3.5</w:t>
            </w:r>
            <w:r>
              <w:rPr>
                <w:color w:val="000000" w:themeColor="text1"/>
                <w:sz w:val="24"/>
                <w:u w:val="none"/>
                <w14:textFill>
                  <w14:solidFill>
                    <w14:schemeClr w14:val="tx1"/>
                  </w14:solidFill>
                </w14:textFill>
              </w:rPr>
              <w:t>m</w:t>
            </w:r>
            <w:r>
              <w:rPr>
                <w:rFonts w:hint="eastAsia"/>
                <w:color w:val="000000" w:themeColor="text1"/>
                <w:sz w:val="24"/>
                <w:u w:val="none"/>
                <w14:textFill>
                  <w14:solidFill>
                    <w14:schemeClr w14:val="tx1"/>
                  </w14:solidFill>
                </w14:textFill>
              </w:rPr>
              <w:t>，优势种为卫矛（</w:t>
            </w:r>
            <w:r>
              <w:rPr>
                <w:bCs/>
                <w:i/>
                <w:color w:val="000000" w:themeColor="text1"/>
                <w:sz w:val="24"/>
                <w:u w:val="none"/>
                <w14:textFill>
                  <w14:solidFill>
                    <w14:schemeClr w14:val="tx1"/>
                  </w14:solidFill>
                </w14:textFill>
              </w:rPr>
              <w:t>Euonymus alatus</w:t>
            </w:r>
            <w:r>
              <w:rPr>
                <w:rFonts w:hint="eastAsia"/>
                <w:bCs/>
                <w:color w:val="000000" w:themeColor="text1"/>
                <w:sz w:val="24"/>
                <w:u w:val="none"/>
                <w14:textFill>
                  <w14:solidFill>
                    <w14:schemeClr w14:val="tx1"/>
                  </w14:solidFill>
                </w14:textFill>
              </w:rPr>
              <w:t>）</w:t>
            </w:r>
            <w:r>
              <w:rPr>
                <w:rFonts w:hint="eastAsia"/>
                <w:color w:val="000000" w:themeColor="text1"/>
                <w:sz w:val="24"/>
                <w:u w:val="none"/>
                <w14:textFill>
                  <w14:solidFill>
                    <w14:schemeClr w14:val="tx1"/>
                  </w14:solidFill>
                </w14:textFill>
              </w:rPr>
              <w:t>，此外还有山樱桃（</w:t>
            </w:r>
            <w:r>
              <w:rPr>
                <w:rFonts w:hint="eastAsia"/>
                <w:i/>
                <w:color w:val="000000" w:themeColor="text1"/>
                <w:sz w:val="24"/>
                <w:u w:val="none"/>
                <w14:textFill>
                  <w14:solidFill>
                    <w14:schemeClr w14:val="tx1"/>
                  </w14:solidFill>
                </w14:textFill>
              </w:rPr>
              <w:t>Cerasus tomentosa</w:t>
            </w:r>
            <w:r>
              <w:rPr>
                <w:rFonts w:hint="eastAsia"/>
                <w:color w:val="000000" w:themeColor="text1"/>
                <w:sz w:val="24"/>
                <w:u w:val="none"/>
                <w14:textFill>
                  <w14:solidFill>
                    <w14:schemeClr w14:val="tx1"/>
                  </w14:solidFill>
                </w14:textFill>
              </w:rPr>
              <w:t>）、湖北海棠等；草本层盖度为</w:t>
            </w:r>
            <w:r>
              <w:rPr>
                <w:color w:val="000000" w:themeColor="text1"/>
                <w:sz w:val="24"/>
                <w:u w:val="none"/>
                <w14:textFill>
                  <w14:solidFill>
                    <w14:schemeClr w14:val="tx1"/>
                  </w14:solidFill>
                </w14:textFill>
              </w:rPr>
              <w:t>1</w:t>
            </w:r>
            <w:r>
              <w:rPr>
                <w:rFonts w:hint="eastAsia"/>
                <w:color w:val="000000" w:themeColor="text1"/>
                <w:sz w:val="24"/>
                <w:u w:val="none"/>
                <w14:textFill>
                  <w14:solidFill>
                    <w14:schemeClr w14:val="tx1"/>
                  </w14:solidFill>
                </w14:textFill>
              </w:rPr>
              <w:t>5</w:t>
            </w:r>
            <w:r>
              <w:rPr>
                <w:color w:val="000000" w:themeColor="text1"/>
                <w:sz w:val="24"/>
                <w:u w:val="none"/>
                <w14:textFill>
                  <w14:solidFill>
                    <w14:schemeClr w14:val="tx1"/>
                  </w14:solidFill>
                </w14:textFill>
              </w:rPr>
              <w:t>%</w:t>
            </w:r>
            <w:r>
              <w:rPr>
                <w:rFonts w:hint="eastAsia"/>
                <w:color w:val="000000" w:themeColor="text1"/>
                <w:sz w:val="24"/>
                <w:u w:val="none"/>
                <w14:textFill>
                  <w14:solidFill>
                    <w14:schemeClr w14:val="tx1"/>
                  </w14:solidFill>
                </w14:textFill>
              </w:rPr>
              <w:t>，层平均高度为0</w:t>
            </w:r>
            <w:r>
              <w:rPr>
                <w:color w:val="000000" w:themeColor="text1"/>
                <w:sz w:val="24"/>
                <w:u w:val="none"/>
                <w14:textFill>
                  <w14:solidFill>
                    <w14:schemeClr w14:val="tx1"/>
                  </w14:solidFill>
                </w14:textFill>
              </w:rPr>
              <w:t>.</w:t>
            </w:r>
            <w:r>
              <w:rPr>
                <w:rFonts w:hint="eastAsia"/>
                <w:color w:val="000000" w:themeColor="text1"/>
                <w:sz w:val="24"/>
                <w:u w:val="none"/>
                <w14:textFill>
                  <w14:solidFill>
                    <w14:schemeClr w14:val="tx1"/>
                  </w14:solidFill>
                </w14:textFill>
              </w:rPr>
              <w:t>25</w:t>
            </w:r>
            <w:r>
              <w:rPr>
                <w:color w:val="000000" w:themeColor="text1"/>
                <w:sz w:val="24"/>
                <w:u w:val="none"/>
                <w14:textFill>
                  <w14:solidFill>
                    <w14:schemeClr w14:val="tx1"/>
                  </w14:solidFill>
                </w14:textFill>
              </w:rPr>
              <w:t>m</w:t>
            </w:r>
            <w:r>
              <w:rPr>
                <w:rFonts w:hint="eastAsia"/>
                <w:color w:val="000000" w:themeColor="text1"/>
                <w:sz w:val="24"/>
                <w:u w:val="none"/>
                <w14:textFill>
                  <w14:solidFill>
                    <w14:schemeClr w14:val="tx1"/>
                  </w14:solidFill>
                </w14:textFill>
              </w:rPr>
              <w:t>，分布有鸢尾、淫羊藿（</w:t>
            </w:r>
            <w:r>
              <w:rPr>
                <w:i/>
                <w:color w:val="000000" w:themeColor="text1"/>
                <w:sz w:val="24"/>
                <w:u w:val="none"/>
                <w14:textFill>
                  <w14:solidFill>
                    <w14:schemeClr w14:val="tx1"/>
                  </w14:solidFill>
                </w14:textFill>
              </w:rPr>
              <w:t xml:space="preserve">Epimedium fargesii </w:t>
            </w:r>
            <w:r>
              <w:rPr>
                <w:rFonts w:hint="eastAsia"/>
                <w:color w:val="000000" w:themeColor="text1"/>
                <w:sz w:val="24"/>
                <w:u w:val="none"/>
                <w14:textFill>
                  <w14:solidFill>
                    <w14:schemeClr w14:val="tx1"/>
                  </w14:solidFill>
                </w14:textFill>
              </w:rPr>
              <w:t>）、荩草、蕨等</w:t>
            </w:r>
            <w:r>
              <w:rPr>
                <w:color w:val="000000" w:themeColor="text1"/>
                <w:sz w:val="24"/>
                <w:u w:val="none"/>
                <w14:textFill>
                  <w14:solidFill>
                    <w14:schemeClr w14:val="tx1"/>
                  </w14:solidFill>
                </w14:textFill>
              </w:rPr>
              <w:t>（图</w:t>
            </w:r>
            <w:r>
              <w:rPr>
                <w:rFonts w:hint="eastAsia"/>
                <w:color w:val="000000" w:themeColor="text1"/>
                <w:sz w:val="24"/>
                <w:u w:val="none"/>
                <w14:textFill>
                  <w14:solidFill>
                    <w14:schemeClr w14:val="tx1"/>
                  </w14:solidFill>
                </w14:textFill>
              </w:rPr>
              <w:t>3.2</w:t>
            </w:r>
            <w:r>
              <w:rPr>
                <w:color w:val="000000" w:themeColor="text1"/>
                <w:sz w:val="24"/>
                <w:u w:val="none"/>
                <w14:textFill>
                  <w14:solidFill>
                    <w14:schemeClr w14:val="tx1"/>
                  </w14:solidFill>
                </w14:textFill>
              </w:rPr>
              <w:t>-9）。</w:t>
            </w:r>
          </w:p>
          <w:p w14:paraId="221D813B">
            <w:pPr>
              <w:widowControl/>
              <w:ind w:firstLine="482" w:firstLineChars="200"/>
              <w:contextualSpacing/>
              <w:rPr>
                <w:rFonts w:hint="eastAsia"/>
                <w:color w:val="000000" w:themeColor="text1"/>
                <w:sz w:val="24"/>
                <w:u w:val="none"/>
                <w14:textFill>
                  <w14:solidFill>
                    <w14:schemeClr w14:val="tx1"/>
                  </w14:solidFill>
                </w14:textFill>
              </w:rPr>
            </w:pPr>
            <w:r>
              <w:rPr>
                <w:rFonts w:hint="eastAsia"/>
                <w:b/>
                <w:color w:val="000000" w:themeColor="text1"/>
                <w:sz w:val="24"/>
                <w:u w:val="none"/>
                <w14:textFill>
                  <w14:solidFill>
                    <w14:schemeClr w14:val="tx1"/>
                  </w14:solidFill>
                </w14:textFill>
              </w:rPr>
              <w:t>调查点位：</w:t>
            </w:r>
            <w:r>
              <w:rPr>
                <w:rFonts w:hint="eastAsia"/>
                <w:color w:val="000000" w:themeColor="text1"/>
                <w:sz w:val="24"/>
                <w:u w:val="none"/>
                <w:lang w:val="en-US" w:eastAsia="zh-CN"/>
                <w14:textFill>
                  <w14:solidFill>
                    <w14:schemeClr w14:val="tx1"/>
                  </w14:solidFill>
                </w14:textFill>
              </w:rPr>
              <w:t>8</w:t>
            </w:r>
            <w:r>
              <w:rPr>
                <w:rFonts w:hint="eastAsia"/>
                <w:color w:val="000000" w:themeColor="text1"/>
                <w:sz w:val="24"/>
                <w:u w:val="none"/>
                <w14:textFill>
                  <w14:solidFill>
                    <w14:schemeClr w14:val="tx1"/>
                  </w14:solidFill>
                </w14:textFill>
              </w:rPr>
              <w:t>，</w:t>
            </w:r>
            <w:r>
              <w:rPr>
                <w:color w:val="000000" w:themeColor="text1"/>
                <w:sz w:val="24"/>
                <w:u w:val="none"/>
                <w14:textFill>
                  <w14:solidFill>
                    <w14:schemeClr w14:val="tx1"/>
                  </w14:solidFill>
                </w14:textFill>
              </w:rPr>
              <w:t>GPS</w:t>
            </w:r>
            <w:r>
              <w:rPr>
                <w:rFonts w:hint="eastAsia"/>
                <w:color w:val="000000" w:themeColor="text1"/>
                <w:sz w:val="24"/>
                <w:u w:val="none"/>
                <w14:textFill>
                  <w14:solidFill>
                    <w14:schemeClr w14:val="tx1"/>
                  </w14:solidFill>
                </w14:textFill>
              </w:rPr>
              <w:t>：</w:t>
            </w:r>
            <w:r>
              <w:rPr>
                <w:rFonts w:hint="eastAsia"/>
                <w:color w:val="000000" w:themeColor="text1"/>
                <w:sz w:val="24"/>
                <w:u w:val="none"/>
                <w:lang w:val="en-US" w:eastAsia="zh-CN"/>
                <w14:textFill>
                  <w14:solidFill>
                    <w14:schemeClr w14:val="tx1"/>
                  </w14:solidFill>
                </w14:textFill>
              </w:rPr>
              <w:t>E：109°67′15.174″、N：26°09′92.714″</w:t>
            </w:r>
            <w:r>
              <w:rPr>
                <w:rFonts w:hint="eastAsia"/>
                <w:color w:val="000000" w:themeColor="text1"/>
                <w:sz w:val="24"/>
                <w:u w:val="none"/>
                <w14:textFill>
                  <w14:solidFill>
                    <w14:schemeClr w14:val="tx1"/>
                  </w14:solidFill>
                </w14:textFill>
              </w:rPr>
              <w:t>，</w:t>
            </w:r>
            <w:r>
              <w:rPr>
                <w:color w:val="000000" w:themeColor="text1"/>
                <w:sz w:val="24"/>
                <w:u w:val="none"/>
                <w14:textFill>
                  <w14:solidFill>
                    <w14:schemeClr w14:val="tx1"/>
                  </w14:solidFill>
                </w14:textFill>
              </w:rPr>
              <w:t>H</w:t>
            </w:r>
            <w:r>
              <w:rPr>
                <w:rFonts w:hint="eastAsia"/>
                <w:color w:val="000000" w:themeColor="text1"/>
                <w:sz w:val="24"/>
                <w:u w:val="none"/>
                <w14:textFill>
                  <w14:solidFill>
                    <w14:schemeClr w14:val="tx1"/>
                  </w14:solidFill>
                </w14:textFill>
              </w:rPr>
              <w:t>：</w:t>
            </w:r>
            <w:r>
              <w:rPr>
                <w:rFonts w:hint="eastAsia"/>
                <w:color w:val="000000" w:themeColor="text1"/>
                <w:sz w:val="24"/>
                <w:u w:val="none"/>
                <w:lang w:val="en-US" w:eastAsia="zh-CN"/>
                <w14:textFill>
                  <w14:solidFill>
                    <w14:schemeClr w14:val="tx1"/>
                  </w14:solidFill>
                </w14:textFill>
              </w:rPr>
              <w:t>720</w:t>
            </w:r>
            <w:r>
              <w:rPr>
                <w:color w:val="000000" w:themeColor="text1"/>
                <w:sz w:val="24"/>
                <w:u w:val="none"/>
                <w14:textFill>
                  <w14:solidFill>
                    <w14:schemeClr w14:val="tx1"/>
                  </w14:solidFill>
                </w14:textFill>
              </w:rPr>
              <w:t>m</w:t>
            </w:r>
            <w:r>
              <w:rPr>
                <w:rFonts w:hint="eastAsia"/>
                <w:color w:val="000000" w:themeColor="text1"/>
                <w:sz w:val="24"/>
                <w:u w:val="none"/>
                <w14:textFill>
                  <w14:solidFill>
                    <w14:schemeClr w14:val="tx1"/>
                  </w14:solidFill>
                </w14:textFill>
              </w:rPr>
              <w:t>。</w:t>
            </w:r>
          </w:p>
          <w:p w14:paraId="4A16A901">
            <w:pPr>
              <w:widowControl/>
              <w:contextualSpacing/>
              <w:jc w:val="center"/>
              <w:rPr>
                <w:rFonts w:hint="eastAsia"/>
                <w:color w:val="000000" w:themeColor="text1"/>
                <w:sz w:val="24"/>
                <w:u w:val="none"/>
                <w14:textFill>
                  <w14:solidFill>
                    <w14:schemeClr w14:val="tx1"/>
                  </w14:solidFill>
                </w14:textFill>
              </w:rPr>
            </w:pPr>
            <w:r>
              <w:rPr>
                <w:rFonts w:hint="eastAsia" w:eastAsiaTheme="minorEastAsia"/>
                <w:lang w:eastAsia="zh-CN"/>
              </w:rPr>
              <w:drawing>
                <wp:anchor distT="0" distB="0" distL="114300" distR="114300" simplePos="0" relativeHeight="251677696" behindDoc="1" locked="0" layoutInCell="1" allowOverlap="1">
                  <wp:simplePos x="0" y="0"/>
                  <wp:positionH relativeFrom="column">
                    <wp:posOffset>579120</wp:posOffset>
                  </wp:positionH>
                  <wp:positionV relativeFrom="paragraph">
                    <wp:posOffset>50165</wp:posOffset>
                  </wp:positionV>
                  <wp:extent cx="3636645" cy="2539365"/>
                  <wp:effectExtent l="0" t="0" r="1905" b="13335"/>
                  <wp:wrapNone/>
                  <wp:docPr id="32" name="图片 32" descr="91db71a80b950ddd2494e6472b674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91db71a80b950ddd2494e6472b674bc"/>
                          <pic:cNvPicPr>
                            <a:picLocks noChangeAspect="1"/>
                          </pic:cNvPicPr>
                        </pic:nvPicPr>
                        <pic:blipFill>
                          <a:blip r:embed="rId40"/>
                          <a:srcRect l="6159" t="31360" r="5709" b="46993"/>
                          <a:stretch>
                            <a:fillRect/>
                          </a:stretch>
                        </pic:blipFill>
                        <pic:spPr>
                          <a:xfrm>
                            <a:off x="0" y="0"/>
                            <a:ext cx="3636645" cy="2539365"/>
                          </a:xfrm>
                          <a:prstGeom prst="rect">
                            <a:avLst/>
                          </a:prstGeom>
                        </pic:spPr>
                      </pic:pic>
                    </a:graphicData>
                  </a:graphic>
                </wp:anchor>
              </w:drawing>
            </w:r>
          </w:p>
          <w:p w14:paraId="520D92F7">
            <w:pPr>
              <w:widowControl/>
              <w:contextualSpacing/>
              <w:jc w:val="center"/>
              <w:rPr>
                <w:rFonts w:hint="eastAsia"/>
                <w:color w:val="000000" w:themeColor="text1"/>
                <w:sz w:val="24"/>
                <w:u w:val="none"/>
                <w14:textFill>
                  <w14:solidFill>
                    <w14:schemeClr w14:val="tx1"/>
                  </w14:solidFill>
                </w14:textFill>
              </w:rPr>
            </w:pPr>
          </w:p>
          <w:p w14:paraId="6924F5E1">
            <w:pPr>
              <w:widowControl/>
              <w:contextualSpacing/>
              <w:jc w:val="center"/>
              <w:rPr>
                <w:rFonts w:hint="eastAsia"/>
                <w:color w:val="000000" w:themeColor="text1"/>
                <w:sz w:val="24"/>
                <w:u w:val="none"/>
                <w14:textFill>
                  <w14:solidFill>
                    <w14:schemeClr w14:val="tx1"/>
                  </w14:solidFill>
                </w14:textFill>
              </w:rPr>
            </w:pPr>
          </w:p>
          <w:p w14:paraId="1346C432">
            <w:pPr>
              <w:widowControl/>
              <w:contextualSpacing/>
              <w:jc w:val="center"/>
              <w:rPr>
                <w:rFonts w:hint="eastAsia"/>
                <w:color w:val="000000" w:themeColor="text1"/>
                <w:sz w:val="24"/>
                <w:u w:val="none"/>
                <w14:textFill>
                  <w14:solidFill>
                    <w14:schemeClr w14:val="tx1"/>
                  </w14:solidFill>
                </w14:textFill>
              </w:rPr>
            </w:pPr>
          </w:p>
          <w:p w14:paraId="01D4D6D4">
            <w:pPr>
              <w:widowControl/>
              <w:contextualSpacing/>
              <w:jc w:val="center"/>
              <w:rPr>
                <w:rFonts w:hint="eastAsia"/>
                <w:color w:val="000000" w:themeColor="text1"/>
                <w:sz w:val="24"/>
                <w:u w:val="none"/>
                <w14:textFill>
                  <w14:solidFill>
                    <w14:schemeClr w14:val="tx1"/>
                  </w14:solidFill>
                </w14:textFill>
              </w:rPr>
            </w:pPr>
          </w:p>
          <w:p w14:paraId="1FC21972">
            <w:pPr>
              <w:widowControl/>
              <w:contextualSpacing/>
              <w:jc w:val="center"/>
              <w:rPr>
                <w:rFonts w:hint="eastAsia"/>
                <w:color w:val="000000" w:themeColor="text1"/>
                <w:sz w:val="24"/>
                <w:u w:val="none"/>
                <w14:textFill>
                  <w14:solidFill>
                    <w14:schemeClr w14:val="tx1"/>
                  </w14:solidFill>
                </w14:textFill>
              </w:rPr>
            </w:pPr>
          </w:p>
          <w:p w14:paraId="2D071727">
            <w:pPr>
              <w:widowControl/>
              <w:contextualSpacing/>
              <w:jc w:val="center"/>
              <w:rPr>
                <w:rFonts w:hint="eastAsia"/>
                <w:color w:val="000000" w:themeColor="text1"/>
                <w:sz w:val="24"/>
                <w:u w:val="none"/>
                <w14:textFill>
                  <w14:solidFill>
                    <w14:schemeClr w14:val="tx1"/>
                  </w14:solidFill>
                </w14:textFill>
              </w:rPr>
            </w:pPr>
          </w:p>
          <w:p w14:paraId="4DE6D59B">
            <w:pPr>
              <w:widowControl/>
              <w:contextualSpacing/>
              <w:jc w:val="center"/>
              <w:rPr>
                <w:rFonts w:hint="eastAsia"/>
                <w:color w:val="000000" w:themeColor="text1"/>
                <w:sz w:val="24"/>
                <w:u w:val="none"/>
                <w14:textFill>
                  <w14:solidFill>
                    <w14:schemeClr w14:val="tx1"/>
                  </w14:solidFill>
                </w14:textFill>
              </w:rPr>
            </w:pPr>
          </w:p>
          <w:p w14:paraId="4B29C50C">
            <w:pPr>
              <w:widowControl/>
              <w:jc w:val="center"/>
              <w:rPr>
                <w:rFonts w:hint="eastAsia" w:ascii="Times New Roman" w:hAnsi="Times New Roman" w:eastAsia="宋体" w:cs="Times New Roman"/>
                <w:b/>
                <w:color w:val="000000" w:themeColor="text1"/>
                <w:kern w:val="0"/>
                <w:sz w:val="20"/>
                <w:szCs w:val="21"/>
                <w:u w:val="none"/>
                <w14:textFill>
                  <w14:solidFill>
                    <w14:schemeClr w14:val="tx1"/>
                  </w14:solidFill>
                </w14:textFill>
              </w:rPr>
            </w:pPr>
          </w:p>
          <w:p w14:paraId="746E5277">
            <w:pPr>
              <w:widowControl/>
              <w:jc w:val="center"/>
              <w:rPr>
                <w:rFonts w:hint="eastAsia" w:ascii="Times New Roman" w:hAnsi="Times New Roman" w:eastAsia="宋体" w:cs="Times New Roman"/>
                <w:b/>
                <w:color w:val="000000" w:themeColor="text1"/>
                <w:kern w:val="0"/>
                <w:sz w:val="20"/>
                <w:szCs w:val="21"/>
                <w:u w:val="none"/>
                <w14:textFill>
                  <w14:solidFill>
                    <w14:schemeClr w14:val="tx1"/>
                  </w14:solidFill>
                </w14:textFill>
              </w:rPr>
            </w:pPr>
          </w:p>
          <w:p w14:paraId="2FADFF36">
            <w:pPr>
              <w:widowControl/>
              <w:jc w:val="center"/>
              <w:rPr>
                <w:rFonts w:hint="eastAsia" w:ascii="Times New Roman" w:hAnsi="Times New Roman" w:eastAsia="宋体" w:cs="Times New Roman"/>
                <w:b/>
                <w:color w:val="000000" w:themeColor="text1"/>
                <w:kern w:val="0"/>
                <w:sz w:val="20"/>
                <w:szCs w:val="21"/>
                <w:u w:val="none"/>
                <w14:textFill>
                  <w14:solidFill>
                    <w14:schemeClr w14:val="tx1"/>
                  </w14:solidFill>
                </w14:textFill>
              </w:rPr>
            </w:pPr>
          </w:p>
          <w:p w14:paraId="13907099">
            <w:pPr>
              <w:widowControl/>
              <w:ind w:firstLine="3614" w:firstLineChars="1800"/>
              <w:jc w:val="both"/>
              <w:rPr>
                <w:rFonts w:hint="eastAsia" w:ascii="Times New Roman" w:hAnsi="Times New Roman" w:eastAsia="宋体" w:cs="Times New Roman"/>
                <w:b/>
                <w:color w:val="000000" w:themeColor="text1"/>
                <w:kern w:val="0"/>
                <w:sz w:val="20"/>
                <w:szCs w:val="21"/>
                <w:u w:val="none"/>
                <w14:textFill>
                  <w14:solidFill>
                    <w14:schemeClr w14:val="tx1"/>
                  </w14:solidFill>
                </w14:textFill>
              </w:rPr>
            </w:pPr>
            <w:r>
              <w:rPr>
                <w:rFonts w:hint="eastAsia" w:ascii="Times New Roman" w:hAnsi="Times New Roman" w:eastAsia="宋体" w:cs="Times New Roman"/>
                <w:b/>
                <w:color w:val="000000" w:themeColor="text1"/>
                <w:kern w:val="0"/>
                <w:sz w:val="20"/>
                <w:szCs w:val="21"/>
                <w:u w:val="none"/>
                <w14:textFill>
                  <w14:solidFill>
                    <w14:schemeClr w14:val="tx1"/>
                  </w14:solidFill>
                </w14:textFill>
              </w:rPr>
              <w:t>卫矛灌丛</w:t>
            </w:r>
          </w:p>
          <w:p w14:paraId="66DB2AB2">
            <w:pPr>
              <w:pStyle w:val="87"/>
              <w:numPr>
                <w:ilvl w:val="0"/>
                <w:numId w:val="4"/>
              </w:numPr>
              <w:spacing w:line="360" w:lineRule="auto"/>
              <w:ind w:firstLineChars="0"/>
              <w:rPr>
                <w:rFonts w:hint="eastAsia" w:ascii="Times New Roman" w:hAnsi="Times New Roman"/>
                <w:b/>
                <w:color w:val="000000" w:themeColor="text1"/>
                <w:sz w:val="24"/>
                <w:szCs w:val="24"/>
                <w:u w:val="none"/>
                <w14:textFill>
                  <w14:solidFill>
                    <w14:schemeClr w14:val="tx1"/>
                  </w14:solidFill>
                </w14:textFill>
              </w:rPr>
            </w:pPr>
            <w:r>
              <w:rPr>
                <w:rFonts w:hint="eastAsia" w:ascii="Times New Roman" w:hAnsi="Times New Roman"/>
                <w:b/>
                <w:color w:val="000000" w:themeColor="text1"/>
                <w:sz w:val="24"/>
                <w:szCs w:val="24"/>
                <w:u w:val="none"/>
                <w14:textFill>
                  <w14:solidFill>
                    <w14:schemeClr w14:val="tx1"/>
                  </w14:solidFill>
                </w14:textFill>
              </w:rPr>
              <w:t>灌草丛</w:t>
            </w:r>
          </w:p>
          <w:p w14:paraId="59E3E88B">
            <w:pPr>
              <w:pStyle w:val="87"/>
              <w:spacing w:line="360" w:lineRule="auto"/>
              <w:ind w:left="482" w:firstLine="0" w:firstLineChars="0"/>
              <w:contextualSpacing/>
              <w:rPr>
                <w:rFonts w:hint="eastAsia" w:ascii="Times New Roman" w:hAnsi="Times New Roman" w:eastAsia="华文楷体"/>
                <w:b/>
                <w:color w:val="000000" w:themeColor="text1"/>
                <w:sz w:val="24"/>
                <w:u w:val="none"/>
                <w14:textFill>
                  <w14:solidFill>
                    <w14:schemeClr w14:val="tx1"/>
                  </w14:solidFill>
                </w14:textFill>
              </w:rPr>
            </w:pPr>
            <w:bookmarkStart w:id="72" w:name="_Toc85103249"/>
            <w:bookmarkStart w:id="73" w:name="_Toc464734895"/>
            <w:bookmarkStart w:id="74" w:name="_Toc2813"/>
            <w:r>
              <w:rPr>
                <w:rFonts w:hint="eastAsia" w:ascii="宋体" w:hAnsi="宋体" w:eastAsia="宋体" w:cs="宋体"/>
                <w:b/>
                <w:color w:val="000000" w:themeColor="text1"/>
                <w:sz w:val="24"/>
                <w:u w:val="none"/>
                <w14:textFill>
                  <w14:solidFill>
                    <w14:schemeClr w14:val="tx1"/>
                  </w14:solidFill>
                </w14:textFill>
              </w:rPr>
              <w:t>⑨</w:t>
            </w:r>
            <w:r>
              <w:rPr>
                <w:rFonts w:hint="eastAsia" w:ascii="Times New Roman" w:hAnsi="Times New Roman" w:eastAsia="华文楷体"/>
                <w:b/>
                <w:color w:val="000000" w:themeColor="text1"/>
                <w:sz w:val="24"/>
                <w:u w:val="none"/>
                <w14:textFill>
                  <w14:solidFill>
                    <w14:schemeClr w14:val="tx1"/>
                  </w14:solidFill>
                </w14:textFill>
              </w:rPr>
              <w:t>五节芒灌草丛(Form. Miscanthus floridulus)</w:t>
            </w:r>
          </w:p>
          <w:p w14:paraId="3707D08F">
            <w:pPr>
              <w:ind w:firstLine="480" w:firstLineChars="200"/>
              <w:contextualSpacing/>
              <w:rPr>
                <w:color w:val="000000" w:themeColor="text1"/>
                <w:sz w:val="24"/>
                <w:szCs w:val="24"/>
                <w:u w:val="none"/>
                <w14:textFill>
                  <w14:solidFill>
                    <w14:schemeClr w14:val="tx1"/>
                  </w14:solidFill>
                </w14:textFill>
              </w:rPr>
            </w:pPr>
            <w:r>
              <w:rPr>
                <w:rFonts w:hint="eastAsia"/>
                <w:color w:val="000000" w:themeColor="text1"/>
                <w:sz w:val="24"/>
                <w:szCs w:val="21"/>
                <w:u w:val="none"/>
                <w14:textFill>
                  <w14:solidFill>
                    <w14:schemeClr w14:val="tx1"/>
                  </w14:solidFill>
                </w14:textFill>
              </w:rPr>
              <w:t>层均高1.2m，优势种为五节芒(Miscanthus floridulus)，高约1.2m，盖度85%，主要伴生种为蕨(Pteridium aquilinum var. latiusculum)、黄背草(Themeda japonica)、狗牙根(Cynodon dactylon)、白茅(Imperata cylindrica)、全叶马兰(Kalimeris integrifolia)等。</w:t>
            </w:r>
          </w:p>
          <w:tbl>
            <w:tblPr>
              <w:tblStyle w:val="26"/>
              <w:tblW w:w="7888" w:type="dxa"/>
              <w:tblInd w:w="0" w:type="dxa"/>
              <w:tblLayout w:type="autofit"/>
              <w:tblCellMar>
                <w:top w:w="0" w:type="dxa"/>
                <w:left w:w="108" w:type="dxa"/>
                <w:bottom w:w="0" w:type="dxa"/>
                <w:right w:w="108" w:type="dxa"/>
              </w:tblCellMar>
            </w:tblPr>
            <w:tblGrid>
              <w:gridCol w:w="7888"/>
            </w:tblGrid>
            <w:tr w14:paraId="79DB7A7E">
              <w:tblPrEx>
                <w:tblCellMar>
                  <w:top w:w="0" w:type="dxa"/>
                  <w:left w:w="108" w:type="dxa"/>
                  <w:bottom w:w="0" w:type="dxa"/>
                  <w:right w:w="108" w:type="dxa"/>
                </w:tblCellMar>
              </w:tblPrEx>
              <w:tc>
                <w:tcPr>
                  <w:tcW w:w="7888" w:type="dxa"/>
                  <w:noWrap w:val="0"/>
                  <w:vAlign w:val="top"/>
                </w:tcPr>
                <w:p w14:paraId="18805223">
                  <w:pPr>
                    <w:widowControl/>
                    <w:ind w:firstLine="482" w:firstLineChars="200"/>
                    <w:contextualSpacing/>
                    <w:rPr>
                      <w:color w:val="000000" w:themeColor="text1"/>
                      <w:sz w:val="24"/>
                      <w:u w:val="none"/>
                      <w14:textFill>
                        <w14:solidFill>
                          <w14:schemeClr w14:val="tx1"/>
                        </w14:solidFill>
                      </w14:textFill>
                    </w:rPr>
                  </w:pPr>
                  <w:r>
                    <w:rPr>
                      <w:rFonts w:hint="eastAsia"/>
                      <w:b/>
                      <w:color w:val="000000" w:themeColor="text1"/>
                      <w:sz w:val="24"/>
                      <w:u w:val="none"/>
                      <w14:textFill>
                        <w14:solidFill>
                          <w14:schemeClr w14:val="tx1"/>
                        </w14:solidFill>
                      </w14:textFill>
                    </w:rPr>
                    <w:t>调查点位：</w:t>
                  </w:r>
                  <w:r>
                    <w:rPr>
                      <w:rFonts w:hint="eastAsia"/>
                      <w:color w:val="000000" w:themeColor="text1"/>
                      <w:sz w:val="24"/>
                      <w:u w:val="none"/>
                      <w:lang w:val="en-US" w:eastAsia="zh-CN"/>
                      <w14:textFill>
                        <w14:solidFill>
                          <w14:schemeClr w14:val="tx1"/>
                        </w14:solidFill>
                      </w14:textFill>
                    </w:rPr>
                    <w:t>6</w:t>
                  </w:r>
                  <w:r>
                    <w:rPr>
                      <w:rFonts w:hint="eastAsia"/>
                      <w:color w:val="000000" w:themeColor="text1"/>
                      <w:sz w:val="24"/>
                      <w:u w:val="none"/>
                      <w14:textFill>
                        <w14:solidFill>
                          <w14:schemeClr w14:val="tx1"/>
                        </w14:solidFill>
                      </w14:textFill>
                    </w:rPr>
                    <w:t>，</w:t>
                  </w:r>
                  <w:r>
                    <w:rPr>
                      <w:color w:val="000000" w:themeColor="text1"/>
                      <w:sz w:val="24"/>
                      <w:u w:val="none"/>
                      <w14:textFill>
                        <w14:solidFill>
                          <w14:schemeClr w14:val="tx1"/>
                        </w14:solidFill>
                      </w14:textFill>
                    </w:rPr>
                    <w:t>GPS</w:t>
                  </w:r>
                  <w:r>
                    <w:rPr>
                      <w:rFonts w:hint="eastAsia"/>
                      <w:color w:val="000000" w:themeColor="text1"/>
                      <w:sz w:val="24"/>
                      <w:u w:val="none"/>
                      <w14:textFill>
                        <w14:solidFill>
                          <w14:schemeClr w14:val="tx1"/>
                        </w14:solidFill>
                      </w14:textFill>
                    </w:rPr>
                    <w:t>：</w:t>
                  </w:r>
                  <w:r>
                    <w:rPr>
                      <w:rFonts w:hint="eastAsia"/>
                      <w:color w:val="000000" w:themeColor="text1"/>
                      <w:sz w:val="24"/>
                      <w:u w:val="none"/>
                      <w:lang w:val="en-US" w:eastAsia="zh-CN"/>
                      <w14:textFill>
                        <w14:solidFill>
                          <w14:schemeClr w14:val="tx1"/>
                        </w14:solidFill>
                      </w14:textFill>
                    </w:rPr>
                    <w:t>E：109°74′75.532″、N：26°17′05.593″</w:t>
                  </w:r>
                  <w:r>
                    <w:rPr>
                      <w:rFonts w:hint="eastAsia"/>
                      <w:color w:val="000000" w:themeColor="text1"/>
                      <w:sz w:val="24"/>
                      <w:u w:val="none"/>
                      <w14:textFill>
                        <w14:solidFill>
                          <w14:schemeClr w14:val="tx1"/>
                        </w14:solidFill>
                      </w14:textFill>
                    </w:rPr>
                    <w:t>，</w:t>
                  </w:r>
                  <w:r>
                    <w:rPr>
                      <w:color w:val="000000" w:themeColor="text1"/>
                      <w:sz w:val="24"/>
                      <w:u w:val="none"/>
                      <w14:textFill>
                        <w14:solidFill>
                          <w14:schemeClr w14:val="tx1"/>
                        </w14:solidFill>
                      </w14:textFill>
                    </w:rPr>
                    <w:t>H</w:t>
                  </w:r>
                  <w:r>
                    <w:rPr>
                      <w:rFonts w:hint="eastAsia"/>
                      <w:color w:val="000000" w:themeColor="text1"/>
                      <w:sz w:val="24"/>
                      <w:u w:val="none"/>
                      <w14:textFill>
                        <w14:solidFill>
                          <w14:schemeClr w14:val="tx1"/>
                        </w14:solidFill>
                      </w14:textFill>
                    </w:rPr>
                    <w:t>：</w:t>
                  </w:r>
                  <w:r>
                    <w:rPr>
                      <w:rFonts w:hint="eastAsia"/>
                      <w:color w:val="000000" w:themeColor="text1"/>
                      <w:sz w:val="24"/>
                      <w:u w:val="none"/>
                      <w:lang w:val="en-US" w:eastAsia="zh-CN"/>
                      <w14:textFill>
                        <w14:solidFill>
                          <w14:schemeClr w14:val="tx1"/>
                        </w14:solidFill>
                      </w14:textFill>
                    </w:rPr>
                    <w:t>520</w:t>
                  </w:r>
                  <w:r>
                    <w:rPr>
                      <w:color w:val="000000" w:themeColor="text1"/>
                      <w:sz w:val="24"/>
                      <w:u w:val="none"/>
                      <w14:textFill>
                        <w14:solidFill>
                          <w14:schemeClr w14:val="tx1"/>
                        </w14:solidFill>
                      </w14:textFill>
                    </w:rPr>
                    <w:t>m</w:t>
                  </w:r>
                  <w:r>
                    <w:rPr>
                      <w:rFonts w:hint="eastAsia"/>
                      <w:color w:val="000000" w:themeColor="text1"/>
                      <w:sz w:val="24"/>
                      <w:u w:val="none"/>
                      <w14:textFill>
                        <w14:solidFill>
                          <w14:schemeClr w14:val="tx1"/>
                        </w14:solidFill>
                      </w14:textFill>
                    </w:rPr>
                    <w:t>。</w:t>
                  </w:r>
                </w:p>
                <w:p w14:paraId="6BD26956">
                  <w:pPr>
                    <w:widowControl/>
                    <w:ind w:firstLine="480"/>
                    <w:contextualSpacing/>
                    <w:jc w:val="center"/>
                    <w:rPr>
                      <w:rFonts w:hint="eastAsia" w:eastAsia="宋体"/>
                      <w:color w:val="000000" w:themeColor="text1"/>
                      <w:sz w:val="24"/>
                      <w:u w:val="none"/>
                      <w:lang w:eastAsia="zh-CN"/>
                      <w14:textFill>
                        <w14:solidFill>
                          <w14:schemeClr w14:val="tx1"/>
                        </w14:solidFill>
                      </w14:textFill>
                    </w:rPr>
                  </w:pPr>
                  <w:r>
                    <w:rPr>
                      <w:rFonts w:hint="eastAsia" w:eastAsia="宋体"/>
                      <w:color w:val="000000" w:themeColor="text1"/>
                      <w:sz w:val="24"/>
                      <w:u w:val="none"/>
                      <w:lang w:eastAsia="zh-CN"/>
                      <w14:textFill>
                        <w14:solidFill>
                          <w14:schemeClr w14:val="tx1"/>
                        </w14:solidFill>
                      </w14:textFill>
                    </w:rPr>
                    <w:drawing>
                      <wp:inline distT="0" distB="0" distL="114300" distR="114300">
                        <wp:extent cx="3945890" cy="2958465"/>
                        <wp:effectExtent l="0" t="0" r="16510" b="13335"/>
                        <wp:docPr id="25" name="图片 25" descr="1d850f0c5e5cbb2295494c27db41f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d850f0c5e5cbb2295494c27db41f11"/>
                                <pic:cNvPicPr>
                                  <a:picLocks noChangeAspect="1"/>
                                </pic:cNvPicPr>
                              </pic:nvPicPr>
                              <pic:blipFill>
                                <a:blip r:embed="rId41"/>
                                <a:stretch>
                                  <a:fillRect/>
                                </a:stretch>
                              </pic:blipFill>
                              <pic:spPr>
                                <a:xfrm>
                                  <a:off x="0" y="0"/>
                                  <a:ext cx="3945890" cy="2958465"/>
                                </a:xfrm>
                                <a:prstGeom prst="rect">
                                  <a:avLst/>
                                </a:prstGeom>
                              </pic:spPr>
                            </pic:pic>
                          </a:graphicData>
                        </a:graphic>
                      </wp:inline>
                    </w:drawing>
                  </w:r>
                </w:p>
              </w:tc>
            </w:tr>
            <w:tr w14:paraId="43E213C3">
              <w:tblPrEx>
                <w:tblCellMar>
                  <w:top w:w="0" w:type="dxa"/>
                  <w:left w:w="108" w:type="dxa"/>
                  <w:bottom w:w="0" w:type="dxa"/>
                  <w:right w:w="108" w:type="dxa"/>
                </w:tblCellMar>
              </w:tblPrEx>
              <w:tc>
                <w:tcPr>
                  <w:tcW w:w="7888" w:type="dxa"/>
                  <w:noWrap w:val="0"/>
                  <w:vAlign w:val="top"/>
                </w:tcPr>
                <w:p w14:paraId="70D6DD2F">
                  <w:pPr>
                    <w:widowControl/>
                    <w:ind w:firstLine="422"/>
                    <w:jc w:val="center"/>
                    <w:rPr>
                      <w:b/>
                      <w:color w:val="FF0000"/>
                      <w:sz w:val="24"/>
                      <w:u w:val="none"/>
                    </w:rPr>
                  </w:pPr>
                  <w:r>
                    <w:rPr>
                      <w:rFonts w:hint="eastAsia"/>
                      <w:b/>
                      <w:color w:val="000000" w:themeColor="text1"/>
                      <w:kern w:val="0"/>
                      <w:sz w:val="20"/>
                      <w:szCs w:val="21"/>
                      <w:u w:val="none"/>
                      <w14:textFill>
                        <w14:solidFill>
                          <w14:schemeClr w14:val="tx1"/>
                        </w14:solidFill>
                      </w14:textFill>
                    </w:rPr>
                    <w:t xml:space="preserve"> 五节芒灌草丛</w:t>
                  </w:r>
                </w:p>
              </w:tc>
            </w:tr>
            <w:bookmarkEnd w:id="72"/>
            <w:bookmarkEnd w:id="73"/>
            <w:bookmarkEnd w:id="74"/>
          </w:tbl>
          <w:p w14:paraId="4D2ABB95">
            <w:pPr>
              <w:pStyle w:val="4"/>
              <w:rPr>
                <w:rFonts w:hint="eastAsia" w:cs="Times New Roman"/>
                <w:color w:val="000000" w:themeColor="text1"/>
                <w:highlight w:val="none"/>
                <w:u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u w:val="none"/>
                <w:lang w:val="en-US" w:eastAsia="zh-CN"/>
                <w14:textFill>
                  <w14:solidFill>
                    <w14:schemeClr w14:val="tx1"/>
                  </w14:solidFill>
                </w14:textFill>
              </w:rPr>
              <w:t>3.5.</w:t>
            </w:r>
            <w:r>
              <w:rPr>
                <w:rFonts w:hint="eastAsia" w:cs="Times New Roman"/>
                <w:color w:val="000000" w:themeColor="text1"/>
                <w:highlight w:val="none"/>
                <w:u w:val="none"/>
                <w:lang w:val="en-US" w:eastAsia="zh-CN"/>
                <w14:textFill>
                  <w14:solidFill>
                    <w14:schemeClr w14:val="tx1"/>
                  </w14:solidFill>
                </w14:textFill>
              </w:rPr>
              <w:t>7区域内存在的主要生态问题</w:t>
            </w:r>
          </w:p>
          <w:p w14:paraId="05155F1D">
            <w:pPr>
              <w:ind w:firstLine="480" w:firstLineChars="200"/>
              <w:rPr>
                <w:rFonts w:hint="default" w:ascii="Times New Roman" w:hAnsi="Times New Roman" w:eastAsia="宋体" w:cs="Times New Roman"/>
                <w:color w:val="000000" w:themeColor="text1"/>
                <w:kern w:val="0"/>
                <w:sz w:val="24"/>
                <w:szCs w:val="24"/>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4"/>
                <w:szCs w:val="24"/>
                <w:u w:val="none"/>
                <w:lang w:val="en-US" w:eastAsia="zh-CN" w:bidi="ar-SA"/>
                <w14:textFill>
                  <w14:solidFill>
                    <w14:schemeClr w14:val="tx1"/>
                  </w14:solidFill>
                </w14:textFill>
              </w:rPr>
              <w:t>自然森林破坏严重，次生林和人工林面积大，水源涵养和土壤保持功能较弱，以崩塌、滑坡和山洪为主的环境灾害时有发生，自然灾害风险大</w:t>
            </w:r>
            <w:r>
              <w:rPr>
                <w:rFonts w:hint="eastAsia" w:cs="Times New Roman"/>
                <w:color w:val="000000" w:themeColor="text1"/>
                <w:kern w:val="0"/>
                <w:sz w:val="24"/>
                <w:szCs w:val="24"/>
                <w:u w:val="none"/>
                <w:lang w:val="en-US" w:eastAsia="zh-CN" w:bidi="ar-SA"/>
                <w14:textFill>
                  <w14:solidFill>
                    <w14:schemeClr w14:val="tx1"/>
                  </w14:solidFill>
                </w14:textFill>
              </w:rPr>
              <w:t>，周边暂无工业企业，无相关污染。区域内山体暂未出现石漠化现象。</w:t>
            </w:r>
          </w:p>
          <w:p w14:paraId="061F4DD3">
            <w:pPr>
              <w:pStyle w:val="4"/>
              <w:rPr>
                <w:rFonts w:hint="eastAsia" w:ascii="Times New Roman" w:hAnsi="Times New Roman" w:eastAsia="宋体" w:cs="Times New Roman"/>
                <w:color w:val="000000" w:themeColor="text1"/>
                <w:highlight w:val="none"/>
                <w:u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u w:val="none"/>
                <w:lang w:val="en-US" w:eastAsia="zh-CN"/>
                <w14:textFill>
                  <w14:solidFill>
                    <w14:schemeClr w14:val="tx1"/>
                  </w14:solidFill>
                </w14:textFill>
              </w:rPr>
              <w:t>3.5.</w:t>
            </w:r>
            <w:r>
              <w:rPr>
                <w:rFonts w:hint="eastAsia" w:cs="Times New Roman"/>
                <w:color w:val="000000" w:themeColor="text1"/>
                <w:highlight w:val="none"/>
                <w:u w:val="none"/>
                <w:lang w:val="en-US" w:eastAsia="zh-CN"/>
                <w14:textFill>
                  <w14:solidFill>
                    <w14:schemeClr w14:val="tx1"/>
                  </w14:solidFill>
                </w14:textFill>
              </w:rPr>
              <w:t>8</w:t>
            </w:r>
            <w:r>
              <w:rPr>
                <w:rFonts w:hint="eastAsia" w:ascii="Times New Roman" w:hAnsi="Times New Roman" w:eastAsia="宋体" w:cs="Times New Roman"/>
                <w:color w:val="000000" w:themeColor="text1"/>
                <w:highlight w:val="none"/>
                <w:u w:val="none"/>
                <w:lang w:val="en-US" w:eastAsia="zh-CN"/>
                <w14:textFill>
                  <w14:solidFill>
                    <w14:schemeClr w14:val="tx1"/>
                  </w14:solidFill>
                </w14:textFill>
              </w:rPr>
              <w:t>水土流失现状</w:t>
            </w:r>
          </w:p>
          <w:p w14:paraId="365A42E8">
            <w:pPr>
              <w:pStyle w:val="34"/>
              <w:numPr>
                <w:ilvl w:val="0"/>
                <w:numId w:val="0"/>
              </w:numPr>
              <w:ind w:firstLine="480" w:firstLineChars="200"/>
              <w:jc w:val="both"/>
              <w:rPr>
                <w:rFonts w:hint="eastAsia" w:cs="Times New Roman"/>
                <w:color w:val="000000" w:themeColor="text1"/>
                <w:szCs w:val="24"/>
                <w:u w:val="none"/>
                <w14:textFill>
                  <w14:solidFill>
                    <w14:schemeClr w14:val="tx1"/>
                  </w14:solidFill>
                </w14:textFill>
              </w:rPr>
            </w:pPr>
            <w:r>
              <w:rPr>
                <w:rFonts w:hint="eastAsia" w:cs="Times New Roman"/>
                <w:color w:val="000000" w:themeColor="text1"/>
                <w:szCs w:val="24"/>
                <w:u w:val="none"/>
                <w14:textFill>
                  <w14:solidFill>
                    <w14:schemeClr w14:val="tx1"/>
                  </w14:solidFill>
                </w14:textFill>
              </w:rPr>
              <w:t>根据《全国水土保持规划国家级水土流失重点预防区和重点治理区复核划分成果》（办水保〔2013〕188 号）以及《湖南省水利厅关于湖南省水土流失重点预防区和重点治理区划定公告》（湖南省水利厅，2017 年 1 月 22 日），项目区所在的</w:t>
            </w:r>
            <w:r>
              <w:rPr>
                <w:rFonts w:hint="eastAsia" w:cs="Times New Roman"/>
                <w:color w:val="000000" w:themeColor="text1"/>
                <w:szCs w:val="24"/>
                <w:u w:val="none"/>
                <w:lang w:eastAsia="zh-CN"/>
                <w14:textFill>
                  <w14:solidFill>
                    <w14:schemeClr w14:val="tx1"/>
                  </w14:solidFill>
                </w14:textFill>
              </w:rPr>
              <w:t>通道县</w:t>
            </w:r>
            <w:r>
              <w:rPr>
                <w:rFonts w:hint="eastAsia" w:cs="Times New Roman"/>
                <w:color w:val="000000" w:themeColor="text1"/>
                <w:szCs w:val="24"/>
                <w:u w:val="none"/>
                <w14:textFill>
                  <w14:solidFill>
                    <w14:schemeClr w14:val="tx1"/>
                  </w14:solidFill>
                </w14:textFill>
              </w:rPr>
              <w:t>属于湘西南天雷山～雪峰山省级水土流失重点预防区（SY3）。按照《生产建设项目水土流失防治标准》的要求，本工程水土流失防治执行南方红壤区一级防治标准。应在一级防治标准基础上，提高林草覆盖率防治目标值，同时提高截排水工程、拦挡工程的工程等级，减少对水土流失重点防治区的影响。</w:t>
            </w:r>
          </w:p>
          <w:p w14:paraId="660826F3">
            <w:pPr>
              <w:pStyle w:val="34"/>
              <w:numPr>
                <w:ilvl w:val="0"/>
                <w:numId w:val="0"/>
              </w:numPr>
              <w:ind w:firstLine="480" w:firstLineChars="200"/>
              <w:jc w:val="both"/>
              <w:rPr>
                <w:rFonts w:hint="eastAsia" w:cs="Times New Roman"/>
                <w:color w:val="000000" w:themeColor="text1"/>
                <w:szCs w:val="24"/>
                <w:u w:val="none"/>
                <w14:textFill>
                  <w14:solidFill>
                    <w14:schemeClr w14:val="tx1"/>
                  </w14:solidFill>
                </w14:textFill>
              </w:rPr>
            </w:pPr>
            <w:r>
              <w:rPr>
                <w:rFonts w:hint="eastAsia" w:cs="Times New Roman"/>
                <w:color w:val="000000" w:themeColor="text1"/>
                <w:szCs w:val="24"/>
                <w:u w:val="none"/>
                <w14:textFill>
                  <w14:solidFill>
                    <w14:schemeClr w14:val="tx1"/>
                  </w14:solidFill>
                </w14:textFill>
              </w:rPr>
              <w:t>项目区以板岩为主，土层厚薄不均，山脊土层薄，植被破坏后，不利于植被恢复。项目区主要占地类型为林地、草地等，山脊、山脚等区域的地面坡度相对较缓，部分山坡地的地面坡度较陡。场内冲沟发育，宏观地形切割强烈，完整性差，沟谷较发育，少量冲沟常年有水流，大部分为干沟。根据现场调查，本项目大部分占地区域自然植被覆盖度较好，水土流失强度以微度为主。但项目区范围内荒地、冲沟及道路用地两侧地表植被稀少区域，流失相对较大，以中强度为主。</w:t>
            </w:r>
          </w:p>
          <w:p w14:paraId="53AA089C">
            <w:pPr>
              <w:pStyle w:val="34"/>
              <w:numPr>
                <w:ilvl w:val="0"/>
                <w:numId w:val="0"/>
              </w:numPr>
              <w:ind w:firstLine="480" w:firstLineChars="200"/>
              <w:jc w:val="both"/>
              <w:rPr>
                <w:rFonts w:hint="eastAsia" w:cs="Times New Roman"/>
                <w:color w:val="000000" w:themeColor="text1"/>
                <w:szCs w:val="24"/>
                <w:u w:val="none"/>
                <w14:textFill>
                  <w14:solidFill>
                    <w14:schemeClr w14:val="tx1"/>
                  </w14:solidFill>
                </w14:textFill>
              </w:rPr>
            </w:pPr>
            <w:r>
              <w:rPr>
                <w:rFonts w:hint="eastAsia" w:cs="Times New Roman"/>
                <w:color w:val="000000" w:themeColor="text1"/>
                <w:szCs w:val="24"/>
                <w:u w:val="none"/>
                <w14:textFill>
                  <w14:solidFill>
                    <w14:schemeClr w14:val="tx1"/>
                  </w14:solidFill>
                </w14:textFill>
              </w:rPr>
              <w:t>项目区不属于县人民政府公布的泥石流易发区、崩塌滑坡危险区、生态脆弱区；不涉及公共设施、基础设施、工业企业、居民集中区等有重大影响的区域；不在</w:t>
            </w:r>
            <w:r>
              <w:rPr>
                <w:rFonts w:hint="eastAsia" w:cs="Times New Roman"/>
                <w:color w:val="000000" w:themeColor="text1"/>
                <w:szCs w:val="24"/>
                <w:u w:val="none"/>
                <w:lang w:eastAsia="zh-CN"/>
                <w14:textFill>
                  <w14:solidFill>
                    <w14:schemeClr w14:val="tx1"/>
                  </w14:solidFill>
                </w14:textFill>
              </w:rPr>
              <w:t>通道县</w:t>
            </w:r>
            <w:r>
              <w:rPr>
                <w:rFonts w:hint="eastAsia" w:cs="Times New Roman"/>
                <w:color w:val="000000" w:themeColor="text1"/>
                <w:szCs w:val="24"/>
                <w:u w:val="none"/>
                <w14:textFill>
                  <w14:solidFill>
                    <w14:schemeClr w14:val="tx1"/>
                  </w14:solidFill>
                </w14:textFill>
              </w:rPr>
              <w:t>生态红线范围内；不涉及自然保护区、世界文化和自然遗产地、风景名胜区、地质公园、森林公园、重要湿地，没有重要江河、湖泊以及跨省（自治区、直辖市）的其他江河；不涉及湖泊的水功能一级区的保护区和保留区，不影响防洪安全和水资源安全；不涉及全国水土保持监测网络中的水土保持监测站点、重点试验区，无重要基础设施、重要民生工程、国防工程；不涉及项目区河流、湖泊、水库周边的植物保护带；工程建设不存在水土保持制约性因素。</w:t>
            </w:r>
          </w:p>
          <w:p w14:paraId="0280E2AC">
            <w:pPr>
              <w:pStyle w:val="34"/>
              <w:numPr>
                <w:ilvl w:val="0"/>
                <w:numId w:val="0"/>
              </w:numPr>
              <w:ind w:firstLine="480" w:firstLineChars="200"/>
              <w:jc w:val="both"/>
              <w:rPr>
                <w:rFonts w:hint="default" w:cs="Times New Roman"/>
                <w:color w:val="FF0000"/>
                <w:szCs w:val="24"/>
                <w:u w:val="single"/>
                <w:lang w:val="en-US" w:eastAsia="zh-CN"/>
              </w:rPr>
            </w:pPr>
            <w:r>
              <w:rPr>
                <w:rFonts w:hint="eastAsia" w:cs="Times New Roman"/>
                <w:color w:val="000000" w:themeColor="text1"/>
                <w:szCs w:val="24"/>
                <w:u w:val="none"/>
                <w:lang w:val="en-US" w:eastAsia="zh-CN"/>
                <w14:textFill>
                  <w14:solidFill>
                    <w14:schemeClr w14:val="tx1"/>
                  </w14:solidFill>
                </w14:textFill>
              </w:rPr>
              <w:t>根据建设用地项目压覆重要矿产资源查询结果表（见附件15）项目不涉及压覆矿。</w:t>
            </w:r>
          </w:p>
        </w:tc>
      </w:tr>
      <w:tr w14:paraId="34AF8D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15" w:type="dxa"/>
            <w:vAlign w:val="center"/>
          </w:tcPr>
          <w:p w14:paraId="1F384F56">
            <w:pPr>
              <w:adjustRightInd w:val="0"/>
              <w:snapToGrid w:val="0"/>
              <w:spacing w:line="240" w:lineRule="auto"/>
              <w:jc w:val="center"/>
              <w:rPr>
                <w:color w:val="000000" w:themeColor="text1"/>
                <w:kern w:val="0"/>
                <w:highlight w:val="none"/>
                <w14:textFill>
                  <w14:solidFill>
                    <w14:schemeClr w14:val="tx1"/>
                  </w14:solidFill>
                </w14:textFill>
              </w:rPr>
            </w:pPr>
            <w:r>
              <w:rPr>
                <w:bCs/>
                <w:color w:val="000000" w:themeColor="text1"/>
                <w:highlight w:val="none"/>
                <w14:textFill>
                  <w14:solidFill>
                    <w14:schemeClr w14:val="tx1"/>
                  </w14:solidFill>
                </w14:textFill>
              </w:rPr>
              <w:t>与项目有关的原有环境污染和生态破坏问题</w:t>
            </w:r>
          </w:p>
        </w:tc>
        <w:tc>
          <w:tcPr>
            <w:tcW w:w="7804" w:type="dxa"/>
            <w:vAlign w:val="center"/>
          </w:tcPr>
          <w:p w14:paraId="6D573688">
            <w:pPr>
              <w:autoSpaceDE w:val="0"/>
              <w:adjustRightInd w:val="0"/>
              <w:ind w:firstLine="4080" w:firstLineChars="1700"/>
              <w:rPr>
                <w:color w:val="000000" w:themeColor="text1"/>
                <w:kern w:val="0"/>
                <w:highlight w:val="none"/>
                <w14:textFill>
                  <w14:solidFill>
                    <w14:schemeClr w14:val="tx1"/>
                  </w14:solidFill>
                </w14:textFill>
              </w:rPr>
            </w:pPr>
            <w:r>
              <w:rPr>
                <w:color w:val="000000" w:themeColor="text1"/>
                <w:kern w:val="0"/>
                <w:highlight w:val="none"/>
                <w14:textFill>
                  <w14:solidFill>
                    <w14:schemeClr w14:val="tx1"/>
                  </w14:solidFill>
                </w14:textFill>
              </w:rPr>
              <w:t>无</w:t>
            </w:r>
          </w:p>
        </w:tc>
      </w:tr>
      <w:tr w14:paraId="561855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715" w:type="dxa"/>
            <w:vAlign w:val="center"/>
          </w:tcPr>
          <w:p w14:paraId="5AC93F18">
            <w:pPr>
              <w:adjustRightInd w:val="0"/>
              <w:snapToGrid w:val="0"/>
              <w:jc w:val="center"/>
              <w:rPr>
                <w:color w:val="000000" w:themeColor="text1"/>
                <w:kern w:val="0"/>
                <w:highlight w:val="none"/>
                <w14:textFill>
                  <w14:solidFill>
                    <w14:schemeClr w14:val="tx1"/>
                  </w14:solidFill>
                </w14:textFill>
              </w:rPr>
            </w:pPr>
            <w:r>
              <w:rPr>
                <w:color w:val="000000" w:themeColor="text1"/>
                <w:kern w:val="0"/>
                <w:highlight w:val="none"/>
                <w14:textFill>
                  <w14:solidFill>
                    <w14:schemeClr w14:val="tx1"/>
                  </w14:solidFill>
                </w14:textFill>
              </w:rPr>
              <w:t>生态环境保护目标</w:t>
            </w:r>
          </w:p>
        </w:tc>
        <w:tc>
          <w:tcPr>
            <w:tcW w:w="7804" w:type="dxa"/>
            <w:vAlign w:val="center"/>
          </w:tcPr>
          <w:p w14:paraId="4CF3C354">
            <w:pPr>
              <w:spacing w:before="120" w:beforeLines="5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（一）环境敏感区</w:t>
            </w:r>
          </w:p>
          <w:p w14:paraId="64276B6F">
            <w:pPr>
              <w:ind w:firstLine="588" w:firstLineChars="24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经调查，本项工程不涉及自然保护区、风景名胜区、世界自然和文化遗产地、饮用水源保护区等环境敏感区，也不涉及生态保护红线和鸟类迁徙通道及迁徙地。</w:t>
            </w:r>
          </w:p>
          <w:p w14:paraId="5C59D0C2">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（二）环境保护目标</w:t>
            </w:r>
          </w:p>
          <w:p w14:paraId="057DC071">
            <w:pPr>
              <w:ind w:firstLine="480" w:firstLineChars="200"/>
              <w:rPr>
                <w:rFonts w:hint="default" w:eastAsia="宋体"/>
                <w:color w:val="FF0000"/>
                <w:highlight w:val="none"/>
                <w:u w:val="none"/>
                <w:lang w:val="en-US" w:eastAsia="zh-CN"/>
              </w:rPr>
            </w:pPr>
            <w:r>
              <w:rPr>
                <w:rFonts w:hint="eastAsia"/>
                <w:color w:val="000000" w:themeColor="text1"/>
                <w:highlight w:val="none"/>
                <w:u w:val="none"/>
                <w:lang w:val="en-US" w:eastAsia="zh-CN"/>
                <w14:textFill>
                  <w14:solidFill>
                    <w14:schemeClr w14:val="tx1"/>
                  </w14:solidFill>
                </w14:textFill>
              </w:rPr>
              <w:t>根据现场查勘，风电场场区风机布置较为分散。升压站周边500米无居民点。距离本项目最近永久农田为1号风机位，距离1号风机位南面660m；距离本项目最近生态保护红线为15风机位，距离15号风机位东面2200米。</w:t>
            </w:r>
          </w:p>
          <w:p w14:paraId="00E792C2">
            <w:pPr>
              <w:ind w:firstLine="588" w:firstLineChars="245"/>
              <w:rPr>
                <w:color w:val="000000" w:themeColor="text1"/>
                <w:highlight w:val="none"/>
                <w:u w:val="none"/>
                <w14:textFill>
                  <w14:solidFill>
                    <w14:schemeClr w14:val="tx1"/>
                  </w14:solidFill>
                </w14:textFill>
              </w:rPr>
            </w:pPr>
            <w:r>
              <w:rPr>
                <w:color w:val="000000" w:themeColor="text1"/>
                <w:highlight w:val="none"/>
                <w:u w:val="none"/>
                <w14:textFill>
                  <w14:solidFill>
                    <w14:schemeClr w14:val="tx1"/>
                  </w14:solidFill>
                </w14:textFill>
              </w:rPr>
              <w:t>本工程环境保护敏感目标详见表3-</w:t>
            </w:r>
            <w:r>
              <w:rPr>
                <w:rFonts w:hint="eastAsia"/>
                <w:color w:val="000000" w:themeColor="text1"/>
                <w:highlight w:val="none"/>
                <w:u w:val="none"/>
                <w14:textFill>
                  <w14:solidFill>
                    <w14:schemeClr w14:val="tx1"/>
                  </w14:solidFill>
                </w14:textFill>
              </w:rPr>
              <w:t>6</w:t>
            </w:r>
            <w:r>
              <w:rPr>
                <w:color w:val="000000" w:themeColor="text1"/>
                <w:highlight w:val="none"/>
                <w:u w:val="none"/>
                <w14:textFill>
                  <w14:solidFill>
                    <w14:schemeClr w14:val="tx1"/>
                  </w14:solidFill>
                </w14:textFill>
              </w:rPr>
              <w:t>和3-</w:t>
            </w:r>
            <w:r>
              <w:rPr>
                <w:rFonts w:hint="eastAsia"/>
                <w:color w:val="000000" w:themeColor="text1"/>
                <w:highlight w:val="none"/>
                <w:u w:val="none"/>
                <w14:textFill>
                  <w14:solidFill>
                    <w14:schemeClr w14:val="tx1"/>
                  </w14:solidFill>
                </w14:textFill>
              </w:rPr>
              <w:t>7</w:t>
            </w:r>
            <w:r>
              <w:rPr>
                <w:color w:val="000000" w:themeColor="text1"/>
                <w:highlight w:val="none"/>
                <w:u w:val="none"/>
                <w14:textFill>
                  <w14:solidFill>
                    <w14:schemeClr w14:val="tx1"/>
                  </w14:solidFill>
                </w14:textFill>
              </w:rPr>
              <w:t>，环境保护目标示意图见附图</w:t>
            </w:r>
            <w:r>
              <w:rPr>
                <w:rFonts w:hint="eastAsia"/>
                <w:color w:val="000000" w:themeColor="text1"/>
                <w:highlight w:val="none"/>
                <w:u w:val="none"/>
                <w:lang w:val="en-US" w:eastAsia="zh-CN"/>
                <w14:textFill>
                  <w14:solidFill>
                    <w14:schemeClr w14:val="tx1"/>
                  </w14:solidFill>
                </w14:textFill>
              </w:rPr>
              <w:t>7</w:t>
            </w:r>
            <w:r>
              <w:rPr>
                <w:color w:val="000000" w:themeColor="text1"/>
                <w:highlight w:val="none"/>
                <w:u w:val="none"/>
                <w14:textFill>
                  <w14:solidFill>
                    <w14:schemeClr w14:val="tx1"/>
                  </w14:solidFill>
                </w14:textFill>
              </w:rPr>
              <w:t>。</w:t>
            </w:r>
          </w:p>
          <w:p w14:paraId="2E973FB8">
            <w:pPr>
              <w:pStyle w:val="89"/>
              <w:ind w:firstLine="1054" w:firstLineChars="500"/>
              <w:jc w:val="both"/>
              <w:rPr>
                <w:color w:val="000000" w:themeColor="text1"/>
                <w:highlight w:val="none"/>
                <w:u w:val="none"/>
                <w14:textFill>
                  <w14:solidFill>
                    <w14:schemeClr w14:val="tx1"/>
                  </w14:solidFill>
                </w14:textFill>
              </w:rPr>
            </w:pPr>
            <w:r>
              <w:rPr>
                <w:color w:val="000000" w:themeColor="text1"/>
                <w:highlight w:val="none"/>
                <w:u w:val="none"/>
                <w14:textFill>
                  <w14:solidFill>
                    <w14:schemeClr w14:val="tx1"/>
                  </w14:solidFill>
                </w14:textFill>
              </w:rPr>
              <w:t>表3-</w:t>
            </w:r>
            <w:r>
              <w:rPr>
                <w:rFonts w:hint="eastAsia"/>
                <w:color w:val="000000" w:themeColor="text1"/>
                <w:highlight w:val="none"/>
                <w:u w:val="none"/>
                <w14:textFill>
                  <w14:solidFill>
                    <w14:schemeClr w14:val="tx1"/>
                  </w14:solidFill>
                </w14:textFill>
              </w:rPr>
              <w:t>6</w:t>
            </w:r>
            <w:r>
              <w:rPr>
                <w:color w:val="000000" w:themeColor="text1"/>
                <w:highlight w:val="none"/>
                <w:u w:val="none"/>
                <w14:textFill>
                  <w14:solidFill>
                    <w14:schemeClr w14:val="tx1"/>
                  </w14:solidFill>
                </w14:textFill>
              </w:rPr>
              <w:t xml:space="preserve"> </w:t>
            </w:r>
            <w:r>
              <w:rPr>
                <w:rFonts w:hint="eastAsia"/>
                <w:color w:val="000000" w:themeColor="text1"/>
                <w:highlight w:val="none"/>
                <w:u w:val="none"/>
                <w14:textFill>
                  <w14:solidFill>
                    <w14:schemeClr w14:val="tx1"/>
                  </w14:solidFill>
                </w14:textFill>
              </w:rPr>
              <w:t>本</w:t>
            </w:r>
            <w:r>
              <w:rPr>
                <w:color w:val="000000" w:themeColor="text1"/>
                <w:highlight w:val="none"/>
                <w:u w:val="none"/>
                <w14:textFill>
                  <w14:solidFill>
                    <w14:schemeClr w14:val="tx1"/>
                  </w14:solidFill>
                </w14:textFill>
              </w:rPr>
              <w:t>风电场</w:t>
            </w:r>
            <w:r>
              <w:rPr>
                <w:rFonts w:hint="eastAsia"/>
                <w:color w:val="000000" w:themeColor="text1"/>
                <w:highlight w:val="none"/>
                <w:u w:val="none"/>
                <w14:textFill>
                  <w14:solidFill>
                    <w14:schemeClr w14:val="tx1"/>
                  </w14:solidFill>
                </w14:textFill>
              </w:rPr>
              <w:t>项目</w:t>
            </w:r>
            <w:r>
              <w:rPr>
                <w:color w:val="000000" w:themeColor="text1"/>
                <w:highlight w:val="none"/>
                <w:u w:val="none"/>
                <w14:textFill>
                  <w14:solidFill>
                    <w14:schemeClr w14:val="tx1"/>
                  </w14:solidFill>
                </w14:textFill>
              </w:rPr>
              <w:t>工程生态、地表水、社会保护目标一览表</w:t>
            </w:r>
          </w:p>
          <w:tbl>
            <w:tblPr>
              <w:tblStyle w:val="26"/>
              <w:tblW w:w="7543"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1" w:type="dxa"/>
                <w:bottom w:w="0" w:type="dxa"/>
                <w:right w:w="11" w:type="dxa"/>
              </w:tblCellMar>
            </w:tblPr>
            <w:tblGrid>
              <w:gridCol w:w="565"/>
              <w:gridCol w:w="790"/>
              <w:gridCol w:w="2129"/>
              <w:gridCol w:w="1929"/>
              <w:gridCol w:w="865"/>
              <w:gridCol w:w="1265"/>
            </w:tblGrid>
            <w:tr w14:paraId="71C123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 w:type="dxa"/>
                  <w:bottom w:w="0" w:type="dxa"/>
                  <w:right w:w="11" w:type="dxa"/>
                </w:tblCellMar>
              </w:tblPrEx>
              <w:trPr>
                <w:cantSplit/>
                <w:trHeight w:val="397" w:hRule="atLeast"/>
                <w:jc w:val="center"/>
              </w:trPr>
              <w:tc>
                <w:tcPr>
                  <w:tcW w:w="565" w:type="dxa"/>
                  <w:tcBorders>
                    <w:tl2br w:val="nil"/>
                    <w:tr2bl w:val="nil"/>
                  </w:tcBorders>
                  <w:vAlign w:val="center"/>
                </w:tcPr>
                <w:p w14:paraId="5C5DD001">
                  <w:pPr>
                    <w:pStyle w:val="63"/>
                    <w:spacing w:before="24" w:after="24"/>
                    <w:rPr>
                      <w:b/>
                      <w:bCs/>
                      <w:color w:val="000000" w:themeColor="text1"/>
                      <w:sz w:val="21"/>
                      <w:highlight w:val="none"/>
                      <w:u w:val="none"/>
                      <w14:textFill>
                        <w14:solidFill>
                          <w14:schemeClr w14:val="tx1"/>
                        </w14:solidFill>
                      </w14:textFill>
                    </w:rPr>
                  </w:pPr>
                  <w:r>
                    <w:rPr>
                      <w:b/>
                      <w:bCs/>
                      <w:color w:val="000000" w:themeColor="text1"/>
                      <w:sz w:val="21"/>
                      <w:highlight w:val="none"/>
                      <w:u w:val="none"/>
                      <w14:textFill>
                        <w14:solidFill>
                          <w14:schemeClr w14:val="tx1"/>
                        </w14:solidFill>
                      </w14:textFill>
                    </w:rPr>
                    <w:t>环境</w:t>
                  </w:r>
                </w:p>
                <w:p w14:paraId="3D2BE5D3">
                  <w:pPr>
                    <w:pStyle w:val="63"/>
                    <w:spacing w:before="24" w:after="24"/>
                    <w:rPr>
                      <w:b/>
                      <w:bCs/>
                      <w:color w:val="000000" w:themeColor="text1"/>
                      <w:sz w:val="21"/>
                      <w:highlight w:val="none"/>
                      <w:u w:val="none"/>
                      <w14:textFill>
                        <w14:solidFill>
                          <w14:schemeClr w14:val="tx1"/>
                        </w14:solidFill>
                      </w14:textFill>
                    </w:rPr>
                  </w:pPr>
                  <w:r>
                    <w:rPr>
                      <w:b/>
                      <w:bCs/>
                      <w:color w:val="000000" w:themeColor="text1"/>
                      <w:sz w:val="21"/>
                      <w:highlight w:val="none"/>
                      <w:u w:val="none"/>
                      <w14:textFill>
                        <w14:solidFill>
                          <w14:schemeClr w14:val="tx1"/>
                        </w14:solidFill>
                      </w14:textFill>
                    </w:rPr>
                    <w:t>要素</w:t>
                  </w:r>
                </w:p>
              </w:tc>
              <w:tc>
                <w:tcPr>
                  <w:tcW w:w="790" w:type="dxa"/>
                  <w:tcBorders>
                    <w:tl2br w:val="nil"/>
                    <w:tr2bl w:val="nil"/>
                  </w:tcBorders>
                  <w:vAlign w:val="center"/>
                </w:tcPr>
                <w:p w14:paraId="053D7DC4">
                  <w:pPr>
                    <w:pStyle w:val="63"/>
                    <w:spacing w:before="24" w:after="24"/>
                    <w:rPr>
                      <w:b/>
                      <w:bCs/>
                      <w:color w:val="000000" w:themeColor="text1"/>
                      <w:sz w:val="21"/>
                      <w:highlight w:val="none"/>
                      <w:u w:val="none"/>
                      <w14:textFill>
                        <w14:solidFill>
                          <w14:schemeClr w14:val="tx1"/>
                        </w14:solidFill>
                      </w14:textFill>
                    </w:rPr>
                  </w:pPr>
                  <w:r>
                    <w:rPr>
                      <w:b/>
                      <w:bCs/>
                      <w:color w:val="000000" w:themeColor="text1"/>
                      <w:sz w:val="21"/>
                      <w:highlight w:val="none"/>
                      <w:u w:val="none"/>
                      <w14:textFill>
                        <w14:solidFill>
                          <w14:schemeClr w14:val="tx1"/>
                        </w14:solidFill>
                      </w14:textFill>
                    </w:rPr>
                    <w:t>敏感保护目标</w:t>
                  </w:r>
                </w:p>
              </w:tc>
              <w:tc>
                <w:tcPr>
                  <w:tcW w:w="2129" w:type="dxa"/>
                  <w:tcBorders>
                    <w:tl2br w:val="nil"/>
                    <w:tr2bl w:val="nil"/>
                  </w:tcBorders>
                  <w:vAlign w:val="center"/>
                </w:tcPr>
                <w:p w14:paraId="56DD31EF">
                  <w:pPr>
                    <w:pStyle w:val="63"/>
                    <w:spacing w:before="24" w:after="24"/>
                    <w:rPr>
                      <w:b/>
                      <w:bCs/>
                      <w:color w:val="000000" w:themeColor="text1"/>
                      <w:sz w:val="21"/>
                      <w:highlight w:val="none"/>
                      <w:u w:val="none"/>
                      <w14:textFill>
                        <w14:solidFill>
                          <w14:schemeClr w14:val="tx1"/>
                        </w14:solidFill>
                      </w14:textFill>
                    </w:rPr>
                  </w:pPr>
                  <w:r>
                    <w:rPr>
                      <w:b/>
                      <w:bCs/>
                      <w:color w:val="000000" w:themeColor="text1"/>
                      <w:sz w:val="21"/>
                      <w:highlight w:val="none"/>
                      <w:u w:val="none"/>
                      <w14:textFill>
                        <w14:solidFill>
                          <w14:schemeClr w14:val="tx1"/>
                        </w14:solidFill>
                      </w14:textFill>
                    </w:rPr>
                    <w:t>规模及特征</w:t>
                  </w:r>
                </w:p>
              </w:tc>
              <w:tc>
                <w:tcPr>
                  <w:tcW w:w="1929" w:type="dxa"/>
                  <w:tcBorders>
                    <w:tl2br w:val="nil"/>
                    <w:tr2bl w:val="nil"/>
                  </w:tcBorders>
                  <w:vAlign w:val="center"/>
                </w:tcPr>
                <w:p w14:paraId="4F95F951">
                  <w:pPr>
                    <w:pStyle w:val="63"/>
                    <w:spacing w:before="24" w:after="24"/>
                    <w:rPr>
                      <w:b/>
                      <w:bCs/>
                      <w:color w:val="000000" w:themeColor="text1"/>
                      <w:sz w:val="21"/>
                      <w:highlight w:val="none"/>
                      <w:u w:val="none"/>
                      <w14:textFill>
                        <w14:solidFill>
                          <w14:schemeClr w14:val="tx1"/>
                        </w14:solidFill>
                      </w14:textFill>
                    </w:rPr>
                  </w:pPr>
                  <w:r>
                    <w:rPr>
                      <w:b/>
                      <w:bCs/>
                      <w:color w:val="000000" w:themeColor="text1"/>
                      <w:sz w:val="21"/>
                      <w:highlight w:val="none"/>
                      <w:u w:val="none"/>
                      <w14:textFill>
                        <w14:solidFill>
                          <w14:schemeClr w14:val="tx1"/>
                        </w14:solidFill>
                      </w14:textFill>
                    </w:rPr>
                    <w:t>与工程关系</w:t>
                  </w:r>
                </w:p>
                <w:p w14:paraId="0EC89D3F">
                  <w:pPr>
                    <w:pStyle w:val="63"/>
                    <w:spacing w:before="24" w:after="24"/>
                    <w:rPr>
                      <w:b/>
                      <w:bCs/>
                      <w:color w:val="000000" w:themeColor="text1"/>
                      <w:sz w:val="21"/>
                      <w:highlight w:val="none"/>
                      <w:u w:val="none"/>
                      <w14:textFill>
                        <w14:solidFill>
                          <w14:schemeClr w14:val="tx1"/>
                        </w14:solidFill>
                      </w14:textFill>
                    </w:rPr>
                  </w:pPr>
                  <w:r>
                    <w:rPr>
                      <w:b/>
                      <w:bCs/>
                      <w:color w:val="000000" w:themeColor="text1"/>
                      <w:sz w:val="21"/>
                      <w:highlight w:val="none"/>
                      <w:u w:val="none"/>
                      <w14:textFill>
                        <w14:solidFill>
                          <w14:schemeClr w14:val="tx1"/>
                        </w14:solidFill>
                      </w14:textFill>
                    </w:rPr>
                    <w:t>及特性</w:t>
                  </w:r>
                </w:p>
              </w:tc>
              <w:tc>
                <w:tcPr>
                  <w:tcW w:w="865" w:type="dxa"/>
                  <w:tcBorders>
                    <w:tl2br w:val="nil"/>
                    <w:tr2bl w:val="nil"/>
                  </w:tcBorders>
                  <w:vAlign w:val="center"/>
                </w:tcPr>
                <w:p w14:paraId="72F9248B">
                  <w:pPr>
                    <w:pStyle w:val="63"/>
                    <w:spacing w:before="24" w:after="24"/>
                    <w:rPr>
                      <w:b/>
                      <w:bCs/>
                      <w:color w:val="000000" w:themeColor="text1"/>
                      <w:sz w:val="21"/>
                      <w:highlight w:val="none"/>
                      <w:u w:val="none"/>
                      <w14:textFill>
                        <w14:solidFill>
                          <w14:schemeClr w14:val="tx1"/>
                        </w14:solidFill>
                      </w14:textFill>
                    </w:rPr>
                  </w:pPr>
                  <w:r>
                    <w:rPr>
                      <w:b/>
                      <w:bCs/>
                      <w:color w:val="000000" w:themeColor="text1"/>
                      <w:sz w:val="21"/>
                      <w:highlight w:val="none"/>
                      <w:u w:val="none"/>
                      <w14:textFill>
                        <w14:solidFill>
                          <w14:schemeClr w14:val="tx1"/>
                        </w14:solidFill>
                      </w14:textFill>
                    </w:rPr>
                    <w:t>影响源</w:t>
                  </w:r>
                </w:p>
                <w:p w14:paraId="3DB0538B">
                  <w:pPr>
                    <w:pStyle w:val="63"/>
                    <w:spacing w:before="24" w:after="24"/>
                    <w:rPr>
                      <w:b/>
                      <w:bCs/>
                      <w:color w:val="000000" w:themeColor="text1"/>
                      <w:sz w:val="21"/>
                      <w:highlight w:val="none"/>
                      <w:u w:val="none"/>
                      <w14:textFill>
                        <w14:solidFill>
                          <w14:schemeClr w14:val="tx1"/>
                        </w14:solidFill>
                      </w14:textFill>
                    </w:rPr>
                  </w:pPr>
                  <w:r>
                    <w:rPr>
                      <w:b/>
                      <w:bCs/>
                      <w:color w:val="000000" w:themeColor="text1"/>
                      <w:sz w:val="21"/>
                      <w:highlight w:val="none"/>
                      <w:u w:val="none"/>
                      <w14:textFill>
                        <w14:solidFill>
                          <w14:schemeClr w14:val="tx1"/>
                        </w14:solidFill>
                      </w14:textFill>
                    </w:rPr>
                    <w:t>和时段</w:t>
                  </w:r>
                </w:p>
              </w:tc>
              <w:tc>
                <w:tcPr>
                  <w:tcW w:w="1265" w:type="dxa"/>
                  <w:tcBorders>
                    <w:tl2br w:val="nil"/>
                    <w:tr2bl w:val="nil"/>
                  </w:tcBorders>
                  <w:vAlign w:val="center"/>
                </w:tcPr>
                <w:p w14:paraId="68149AA1">
                  <w:pPr>
                    <w:pStyle w:val="63"/>
                    <w:spacing w:before="24" w:after="24"/>
                    <w:rPr>
                      <w:b/>
                      <w:bCs/>
                      <w:color w:val="000000" w:themeColor="text1"/>
                      <w:sz w:val="21"/>
                      <w:highlight w:val="none"/>
                      <w:u w:val="none"/>
                      <w14:textFill>
                        <w14:solidFill>
                          <w14:schemeClr w14:val="tx1"/>
                        </w14:solidFill>
                      </w14:textFill>
                    </w:rPr>
                  </w:pPr>
                  <w:r>
                    <w:rPr>
                      <w:b/>
                      <w:bCs/>
                      <w:color w:val="000000" w:themeColor="text1"/>
                      <w:sz w:val="21"/>
                      <w:highlight w:val="none"/>
                      <w:u w:val="none"/>
                      <w14:textFill>
                        <w14:solidFill>
                          <w14:schemeClr w14:val="tx1"/>
                        </w14:solidFill>
                      </w14:textFill>
                    </w:rPr>
                    <w:t>保护要求</w:t>
                  </w:r>
                </w:p>
              </w:tc>
            </w:tr>
            <w:tr w14:paraId="0371CC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 w:type="dxa"/>
                  <w:bottom w:w="0" w:type="dxa"/>
                  <w:right w:w="11" w:type="dxa"/>
                </w:tblCellMar>
              </w:tblPrEx>
              <w:trPr>
                <w:cantSplit/>
                <w:trHeight w:val="397" w:hRule="atLeast"/>
                <w:jc w:val="center"/>
              </w:trPr>
              <w:tc>
                <w:tcPr>
                  <w:tcW w:w="565" w:type="dxa"/>
                  <w:vMerge w:val="restart"/>
                  <w:tcBorders>
                    <w:tl2br w:val="nil"/>
                    <w:tr2bl w:val="nil"/>
                  </w:tcBorders>
                  <w:vAlign w:val="center"/>
                </w:tcPr>
                <w:p w14:paraId="269E455B">
                  <w:pPr>
                    <w:pStyle w:val="63"/>
                    <w:spacing w:before="24" w:after="24"/>
                    <w:rPr>
                      <w:color w:val="000000" w:themeColor="text1"/>
                      <w:sz w:val="21"/>
                      <w:highlight w:val="none"/>
                      <w:u w:val="none"/>
                      <w14:textFill>
                        <w14:solidFill>
                          <w14:schemeClr w14:val="tx1"/>
                        </w14:solidFill>
                      </w14:textFill>
                    </w:rPr>
                  </w:pPr>
                  <w:r>
                    <w:rPr>
                      <w:color w:val="000000" w:themeColor="text1"/>
                      <w:sz w:val="21"/>
                      <w:highlight w:val="none"/>
                      <w:u w:val="none"/>
                      <w14:textFill>
                        <w14:solidFill>
                          <w14:schemeClr w14:val="tx1"/>
                        </w14:solidFill>
                      </w14:textFill>
                    </w:rPr>
                    <w:t>生态环境</w:t>
                  </w:r>
                </w:p>
              </w:tc>
              <w:tc>
                <w:tcPr>
                  <w:tcW w:w="790" w:type="dxa"/>
                  <w:tcBorders>
                    <w:tl2br w:val="nil"/>
                    <w:tr2bl w:val="nil"/>
                  </w:tcBorders>
                  <w:vAlign w:val="center"/>
                </w:tcPr>
                <w:p w14:paraId="793BA6EB">
                  <w:pPr>
                    <w:pStyle w:val="63"/>
                    <w:spacing w:before="24" w:after="24"/>
                    <w:rPr>
                      <w:color w:val="000000" w:themeColor="text1"/>
                      <w:sz w:val="21"/>
                      <w:highlight w:val="none"/>
                      <w:u w:val="none"/>
                      <w14:textFill>
                        <w14:solidFill>
                          <w14:schemeClr w14:val="tx1"/>
                        </w14:solidFill>
                      </w14:textFill>
                    </w:rPr>
                  </w:pPr>
                  <w:r>
                    <w:rPr>
                      <w:color w:val="000000" w:themeColor="text1"/>
                      <w:sz w:val="21"/>
                      <w:highlight w:val="none"/>
                      <w:u w:val="none"/>
                      <w14:textFill>
                        <w14:solidFill>
                          <w14:schemeClr w14:val="tx1"/>
                        </w14:solidFill>
                      </w14:textFill>
                    </w:rPr>
                    <w:t>土地资源</w:t>
                  </w:r>
                </w:p>
              </w:tc>
              <w:tc>
                <w:tcPr>
                  <w:tcW w:w="2129" w:type="dxa"/>
                  <w:tcBorders>
                    <w:tl2br w:val="nil"/>
                    <w:tr2bl w:val="nil"/>
                  </w:tcBorders>
                  <w:vAlign w:val="center"/>
                </w:tcPr>
                <w:p w14:paraId="2A0741DF">
                  <w:pPr>
                    <w:pStyle w:val="63"/>
                    <w:spacing w:before="24" w:after="24"/>
                    <w:rPr>
                      <w:color w:val="000000" w:themeColor="text1"/>
                      <w:sz w:val="21"/>
                      <w:highlight w:val="none"/>
                      <w:u w:val="none"/>
                      <w14:textFill>
                        <w14:solidFill>
                          <w14:schemeClr w14:val="tx1"/>
                        </w14:solidFill>
                      </w14:textFill>
                    </w:rPr>
                  </w:pPr>
                  <w:r>
                    <w:rPr>
                      <w:rFonts w:hint="default" w:ascii="Times New Roman" w:hAnsi="Times New Roman" w:cs="Times New Roman"/>
                      <w:color w:val="000000" w:themeColor="text1"/>
                      <w:sz w:val="21"/>
                      <w:highlight w:val="none"/>
                      <w:u w:val="none"/>
                      <w14:textFill>
                        <w14:solidFill>
                          <w14:schemeClr w14:val="tx1"/>
                        </w14:solidFill>
                      </w14:textFill>
                    </w:rPr>
                    <w:t>项目占地面积为</w:t>
                  </w:r>
                  <w:r>
                    <w:rPr>
                      <w:rFonts w:hint="eastAsia" w:ascii="Times New Roman" w:hAnsi="Times New Roman" w:cs="Times New Roman"/>
                      <w:color w:val="000000" w:themeColor="text1"/>
                      <w:sz w:val="21"/>
                      <w:highlight w:val="none"/>
                      <w:u w:val="none"/>
                      <w:lang w:val="en-US" w:eastAsia="zh-CN"/>
                      <w14:textFill>
                        <w14:solidFill>
                          <w14:schemeClr w14:val="tx1"/>
                        </w14:solidFill>
                      </w14:textFill>
                    </w:rPr>
                    <w:t>44.01</w:t>
                  </w:r>
                  <w:r>
                    <w:rPr>
                      <w:rFonts w:hint="default" w:ascii="Times New Roman" w:hAnsi="Times New Roman" w:cs="Times New Roman"/>
                      <w:color w:val="000000" w:themeColor="text1"/>
                      <w:sz w:val="21"/>
                      <w:highlight w:val="none"/>
                      <w:u w:val="none"/>
                      <w14:textFill>
                        <w14:solidFill>
                          <w14:schemeClr w14:val="tx1"/>
                        </w14:solidFill>
                      </w14:textFill>
                    </w:rPr>
                    <w:t>hm</w:t>
                  </w:r>
                  <w:r>
                    <w:rPr>
                      <w:rFonts w:hint="default" w:ascii="Times New Roman" w:hAnsi="Times New Roman" w:cs="Times New Roman"/>
                      <w:color w:val="000000" w:themeColor="text1"/>
                      <w:sz w:val="21"/>
                      <w:highlight w:val="none"/>
                      <w:u w:val="none"/>
                      <w:vertAlign w:val="superscript"/>
                      <w14:textFill>
                        <w14:solidFill>
                          <w14:schemeClr w14:val="tx1"/>
                        </w14:solidFill>
                      </w14:textFill>
                    </w:rPr>
                    <w:t>2</w:t>
                  </w:r>
                  <w:r>
                    <w:rPr>
                      <w:rFonts w:hint="default" w:ascii="Times New Roman" w:hAnsi="Times New Roman" w:cs="Times New Roman"/>
                      <w:color w:val="000000" w:themeColor="text1"/>
                      <w:sz w:val="21"/>
                      <w:highlight w:val="none"/>
                      <w:u w:val="none"/>
                      <w14:textFill>
                        <w14:solidFill>
                          <w14:schemeClr w14:val="tx1"/>
                        </w14:solidFill>
                      </w14:textFill>
                    </w:rPr>
                    <w:t>，其中永久占地</w:t>
                  </w:r>
                  <w:r>
                    <w:rPr>
                      <w:rFonts w:hint="eastAsia" w:ascii="Times New Roman" w:hAnsi="Times New Roman" w:cs="Times New Roman"/>
                      <w:color w:val="000000" w:themeColor="text1"/>
                      <w:sz w:val="21"/>
                      <w:highlight w:val="none"/>
                      <w:u w:val="none"/>
                      <w:lang w:val="en-US" w:eastAsia="zh-CN"/>
                      <w14:textFill>
                        <w14:solidFill>
                          <w14:schemeClr w14:val="tx1"/>
                        </w14:solidFill>
                      </w14:textFill>
                    </w:rPr>
                    <w:t>1.61</w:t>
                  </w:r>
                  <w:r>
                    <w:rPr>
                      <w:rFonts w:hint="default" w:ascii="Times New Roman" w:hAnsi="Times New Roman" w:cs="Times New Roman"/>
                      <w:color w:val="000000" w:themeColor="text1"/>
                      <w:sz w:val="21"/>
                      <w:highlight w:val="none"/>
                      <w:u w:val="none"/>
                      <w14:textFill>
                        <w14:solidFill>
                          <w14:schemeClr w14:val="tx1"/>
                        </w14:solidFill>
                      </w14:textFill>
                    </w:rPr>
                    <w:t>hm</w:t>
                  </w:r>
                  <w:r>
                    <w:rPr>
                      <w:rFonts w:hint="default" w:ascii="Times New Roman" w:hAnsi="Times New Roman" w:cs="Times New Roman"/>
                      <w:color w:val="000000" w:themeColor="text1"/>
                      <w:sz w:val="21"/>
                      <w:highlight w:val="none"/>
                      <w:u w:val="none"/>
                      <w:vertAlign w:val="superscript"/>
                      <w14:textFill>
                        <w14:solidFill>
                          <w14:schemeClr w14:val="tx1"/>
                        </w14:solidFill>
                      </w14:textFill>
                    </w:rPr>
                    <w:t>2</w:t>
                  </w:r>
                  <w:r>
                    <w:rPr>
                      <w:rFonts w:hint="default" w:ascii="Times New Roman" w:hAnsi="Times New Roman" w:cs="Times New Roman"/>
                      <w:color w:val="000000" w:themeColor="text1"/>
                      <w:sz w:val="21"/>
                      <w:highlight w:val="none"/>
                      <w:u w:val="none"/>
                      <w14:textFill>
                        <w14:solidFill>
                          <w14:schemeClr w14:val="tx1"/>
                        </w14:solidFill>
                      </w14:textFill>
                    </w:rPr>
                    <w:t>，临时占地</w:t>
                  </w:r>
                  <w:r>
                    <w:rPr>
                      <w:rFonts w:hint="eastAsia" w:ascii="Times New Roman" w:hAnsi="Times New Roman" w:cs="Times New Roman"/>
                      <w:color w:val="000000" w:themeColor="text1"/>
                      <w:sz w:val="21"/>
                      <w:highlight w:val="none"/>
                      <w:u w:val="none"/>
                      <w:lang w:val="en-US" w:eastAsia="zh-CN"/>
                      <w14:textFill>
                        <w14:solidFill>
                          <w14:schemeClr w14:val="tx1"/>
                        </w14:solidFill>
                      </w14:textFill>
                    </w:rPr>
                    <w:t>42.4</w:t>
                  </w:r>
                  <w:r>
                    <w:rPr>
                      <w:rFonts w:hint="default" w:ascii="Times New Roman" w:hAnsi="Times New Roman" w:cs="Times New Roman"/>
                      <w:color w:val="000000" w:themeColor="text1"/>
                      <w:sz w:val="21"/>
                      <w:highlight w:val="none"/>
                      <w:u w:val="none"/>
                      <w14:textFill>
                        <w14:solidFill>
                          <w14:schemeClr w14:val="tx1"/>
                        </w14:solidFill>
                      </w14:textFill>
                    </w:rPr>
                    <w:t>hm</w:t>
                  </w:r>
                  <w:r>
                    <w:rPr>
                      <w:rFonts w:hint="default" w:ascii="Times New Roman" w:hAnsi="Times New Roman" w:cs="Times New Roman"/>
                      <w:color w:val="000000" w:themeColor="text1"/>
                      <w:sz w:val="21"/>
                      <w:highlight w:val="none"/>
                      <w:u w:val="none"/>
                      <w:vertAlign w:val="superscript"/>
                      <w14:textFill>
                        <w14:solidFill>
                          <w14:schemeClr w14:val="tx1"/>
                        </w14:solidFill>
                      </w14:textFill>
                    </w:rPr>
                    <w:t>2</w:t>
                  </w:r>
                  <w:r>
                    <w:rPr>
                      <w:rFonts w:hint="default" w:ascii="Times New Roman" w:hAnsi="Times New Roman" w:cs="Times New Roman"/>
                      <w:color w:val="000000" w:themeColor="text1"/>
                      <w:sz w:val="21"/>
                      <w:highlight w:val="none"/>
                      <w:u w:val="none"/>
                      <w14:textFill>
                        <w14:solidFill>
                          <w14:schemeClr w14:val="tx1"/>
                        </w14:solidFill>
                      </w14:textFill>
                    </w:rPr>
                    <w:t>。</w:t>
                  </w:r>
                </w:p>
              </w:tc>
              <w:tc>
                <w:tcPr>
                  <w:tcW w:w="1929" w:type="dxa"/>
                  <w:tcBorders>
                    <w:tl2br w:val="nil"/>
                    <w:tr2bl w:val="nil"/>
                  </w:tcBorders>
                  <w:vAlign w:val="center"/>
                </w:tcPr>
                <w:p w14:paraId="17DFF1B0">
                  <w:pPr>
                    <w:pStyle w:val="63"/>
                    <w:spacing w:before="24" w:after="24"/>
                    <w:rPr>
                      <w:color w:val="000000" w:themeColor="text1"/>
                      <w:sz w:val="21"/>
                      <w:highlight w:val="none"/>
                      <w:u w:val="none"/>
                      <w14:textFill>
                        <w14:solidFill>
                          <w14:schemeClr w14:val="tx1"/>
                        </w14:solidFill>
                      </w14:textFill>
                    </w:rPr>
                  </w:pPr>
                  <w:r>
                    <w:rPr>
                      <w:color w:val="000000" w:themeColor="text1"/>
                      <w:sz w:val="21"/>
                      <w:highlight w:val="none"/>
                      <w:u w:val="none"/>
                      <w14:textFill>
                        <w14:solidFill>
                          <w14:schemeClr w14:val="tx1"/>
                        </w14:solidFill>
                      </w14:textFill>
                    </w:rPr>
                    <w:t>工程占地</w:t>
                  </w:r>
                </w:p>
              </w:tc>
              <w:tc>
                <w:tcPr>
                  <w:tcW w:w="865" w:type="dxa"/>
                  <w:tcBorders>
                    <w:tl2br w:val="nil"/>
                    <w:tr2bl w:val="nil"/>
                  </w:tcBorders>
                  <w:vAlign w:val="center"/>
                </w:tcPr>
                <w:p w14:paraId="68B61F41">
                  <w:pPr>
                    <w:pStyle w:val="63"/>
                    <w:spacing w:before="24" w:after="24"/>
                    <w:rPr>
                      <w:color w:val="000000" w:themeColor="text1"/>
                      <w:sz w:val="21"/>
                      <w:highlight w:val="none"/>
                      <w:u w:val="none"/>
                      <w14:textFill>
                        <w14:solidFill>
                          <w14:schemeClr w14:val="tx1"/>
                        </w14:solidFill>
                      </w14:textFill>
                    </w:rPr>
                  </w:pPr>
                  <w:r>
                    <w:rPr>
                      <w:color w:val="000000" w:themeColor="text1"/>
                      <w:sz w:val="21"/>
                      <w:highlight w:val="none"/>
                      <w:u w:val="none"/>
                      <w14:textFill>
                        <w14:solidFill>
                          <w14:schemeClr w14:val="tx1"/>
                        </w14:solidFill>
                      </w14:textFill>
                    </w:rPr>
                    <w:t>施工期及营运期</w:t>
                  </w:r>
                </w:p>
              </w:tc>
              <w:tc>
                <w:tcPr>
                  <w:tcW w:w="1265" w:type="dxa"/>
                  <w:tcBorders>
                    <w:tl2br w:val="nil"/>
                    <w:tr2bl w:val="nil"/>
                  </w:tcBorders>
                  <w:vAlign w:val="center"/>
                </w:tcPr>
                <w:p w14:paraId="10EE7E0F">
                  <w:pPr>
                    <w:pStyle w:val="63"/>
                    <w:spacing w:before="24" w:after="24"/>
                    <w:rPr>
                      <w:color w:val="000000" w:themeColor="text1"/>
                      <w:sz w:val="21"/>
                      <w:highlight w:val="none"/>
                      <w:u w:val="none"/>
                      <w14:textFill>
                        <w14:solidFill>
                          <w14:schemeClr w14:val="tx1"/>
                        </w14:solidFill>
                      </w14:textFill>
                    </w:rPr>
                  </w:pPr>
                  <w:r>
                    <w:rPr>
                      <w:color w:val="000000" w:themeColor="text1"/>
                      <w:sz w:val="21"/>
                      <w:highlight w:val="none"/>
                      <w:u w:val="none"/>
                      <w14:textFill>
                        <w14:solidFill>
                          <w14:schemeClr w14:val="tx1"/>
                        </w14:solidFill>
                      </w14:textFill>
                    </w:rPr>
                    <w:t>合理利用土地</w:t>
                  </w:r>
                </w:p>
              </w:tc>
            </w:tr>
            <w:tr w14:paraId="14789C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 w:type="dxa"/>
                  <w:bottom w:w="0" w:type="dxa"/>
                  <w:right w:w="11" w:type="dxa"/>
                </w:tblCellMar>
              </w:tblPrEx>
              <w:trPr>
                <w:cantSplit/>
                <w:trHeight w:val="397" w:hRule="atLeast"/>
                <w:jc w:val="center"/>
              </w:trPr>
              <w:tc>
                <w:tcPr>
                  <w:tcW w:w="565" w:type="dxa"/>
                  <w:vMerge w:val="continue"/>
                  <w:tcBorders>
                    <w:tl2br w:val="nil"/>
                    <w:tr2bl w:val="nil"/>
                  </w:tcBorders>
                  <w:vAlign w:val="center"/>
                </w:tcPr>
                <w:p w14:paraId="66A27F03">
                  <w:pPr>
                    <w:pStyle w:val="63"/>
                    <w:spacing w:before="24" w:after="24"/>
                    <w:rPr>
                      <w:color w:val="000000" w:themeColor="text1"/>
                      <w:sz w:val="21"/>
                      <w:highlight w:val="none"/>
                      <w:u w:val="none"/>
                      <w14:textFill>
                        <w14:solidFill>
                          <w14:schemeClr w14:val="tx1"/>
                        </w14:solidFill>
                      </w14:textFill>
                    </w:rPr>
                  </w:pPr>
                </w:p>
              </w:tc>
              <w:tc>
                <w:tcPr>
                  <w:tcW w:w="790" w:type="dxa"/>
                  <w:tcBorders>
                    <w:tl2br w:val="nil"/>
                    <w:tr2bl w:val="nil"/>
                  </w:tcBorders>
                  <w:vAlign w:val="center"/>
                </w:tcPr>
                <w:p w14:paraId="026EF57E">
                  <w:pPr>
                    <w:pStyle w:val="63"/>
                    <w:spacing w:before="24" w:after="24"/>
                    <w:rPr>
                      <w:color w:val="000000" w:themeColor="text1"/>
                      <w:sz w:val="21"/>
                      <w:highlight w:val="none"/>
                      <w:u w:val="none"/>
                      <w14:textFill>
                        <w14:solidFill>
                          <w14:schemeClr w14:val="tx1"/>
                        </w14:solidFill>
                      </w14:textFill>
                    </w:rPr>
                  </w:pPr>
                  <w:r>
                    <w:rPr>
                      <w:color w:val="000000" w:themeColor="text1"/>
                      <w:sz w:val="21"/>
                      <w:highlight w:val="none"/>
                      <w:u w:val="none"/>
                      <w14:textFill>
                        <w14:solidFill>
                          <w14:schemeClr w14:val="tx1"/>
                        </w14:solidFill>
                      </w14:textFill>
                    </w:rPr>
                    <w:t>动物资源</w:t>
                  </w:r>
                </w:p>
              </w:tc>
              <w:tc>
                <w:tcPr>
                  <w:tcW w:w="2129" w:type="dxa"/>
                  <w:tcBorders>
                    <w:tl2br w:val="nil"/>
                    <w:tr2bl w:val="nil"/>
                  </w:tcBorders>
                  <w:vAlign w:val="center"/>
                </w:tcPr>
                <w:p w14:paraId="7BD7F1F2">
                  <w:pPr>
                    <w:pStyle w:val="63"/>
                    <w:spacing w:before="24" w:after="24"/>
                    <w:rPr>
                      <w:color w:val="000000" w:themeColor="text1"/>
                      <w:sz w:val="21"/>
                      <w:highlight w:val="none"/>
                      <w:u w:val="none"/>
                      <w14:textFill>
                        <w14:solidFill>
                          <w14:schemeClr w14:val="tx1"/>
                        </w14:solidFill>
                      </w14:textFill>
                    </w:rPr>
                  </w:pPr>
                  <w:r>
                    <w:rPr>
                      <w:color w:val="000000" w:themeColor="text1"/>
                      <w:sz w:val="21"/>
                      <w:highlight w:val="none"/>
                      <w:u w:val="none"/>
                      <w14:textFill>
                        <w14:solidFill>
                          <w14:schemeClr w14:val="tx1"/>
                        </w14:solidFill>
                      </w14:textFill>
                    </w:rPr>
                    <w:t>工程施工范围</w:t>
                  </w:r>
                </w:p>
              </w:tc>
              <w:tc>
                <w:tcPr>
                  <w:tcW w:w="1929" w:type="dxa"/>
                  <w:tcBorders>
                    <w:tl2br w:val="nil"/>
                    <w:tr2bl w:val="nil"/>
                  </w:tcBorders>
                  <w:vAlign w:val="center"/>
                </w:tcPr>
                <w:p w14:paraId="391DCE64">
                  <w:pPr>
                    <w:pStyle w:val="63"/>
                    <w:spacing w:before="24" w:after="24"/>
                    <w:rPr>
                      <w:color w:val="000000" w:themeColor="text1"/>
                      <w:sz w:val="21"/>
                      <w:highlight w:val="none"/>
                      <w:u w:val="none"/>
                      <w14:textFill>
                        <w14:solidFill>
                          <w14:schemeClr w14:val="tx1"/>
                        </w14:solidFill>
                      </w14:textFill>
                    </w:rPr>
                  </w:pPr>
                  <w:r>
                    <w:rPr>
                      <w:color w:val="000000" w:themeColor="text1"/>
                      <w:sz w:val="21"/>
                      <w:highlight w:val="none"/>
                      <w:u w:val="none"/>
                      <w14:textFill>
                        <w14:solidFill>
                          <w14:schemeClr w14:val="tx1"/>
                        </w14:solidFill>
                      </w14:textFill>
                    </w:rPr>
                    <w:t>/</w:t>
                  </w:r>
                </w:p>
              </w:tc>
              <w:tc>
                <w:tcPr>
                  <w:tcW w:w="865" w:type="dxa"/>
                  <w:tcBorders>
                    <w:tl2br w:val="nil"/>
                    <w:tr2bl w:val="nil"/>
                  </w:tcBorders>
                  <w:vAlign w:val="center"/>
                </w:tcPr>
                <w:p w14:paraId="1E824A53">
                  <w:pPr>
                    <w:pStyle w:val="63"/>
                    <w:spacing w:before="24" w:after="24"/>
                    <w:rPr>
                      <w:color w:val="000000" w:themeColor="text1"/>
                      <w:sz w:val="21"/>
                      <w:highlight w:val="none"/>
                      <w:u w:val="none"/>
                      <w14:textFill>
                        <w14:solidFill>
                          <w14:schemeClr w14:val="tx1"/>
                        </w14:solidFill>
                      </w14:textFill>
                    </w:rPr>
                  </w:pPr>
                  <w:r>
                    <w:rPr>
                      <w:color w:val="000000" w:themeColor="text1"/>
                      <w:sz w:val="21"/>
                      <w:highlight w:val="none"/>
                      <w:u w:val="none"/>
                      <w14:textFill>
                        <w14:solidFill>
                          <w14:schemeClr w14:val="tx1"/>
                        </w14:solidFill>
                      </w14:textFill>
                    </w:rPr>
                    <w:t>施工期及营运期</w:t>
                  </w:r>
                </w:p>
              </w:tc>
              <w:tc>
                <w:tcPr>
                  <w:tcW w:w="1265" w:type="dxa"/>
                  <w:tcBorders>
                    <w:tl2br w:val="nil"/>
                    <w:tr2bl w:val="nil"/>
                  </w:tcBorders>
                  <w:vAlign w:val="center"/>
                </w:tcPr>
                <w:p w14:paraId="7D7134D6">
                  <w:pPr>
                    <w:pStyle w:val="63"/>
                    <w:spacing w:before="24" w:after="24"/>
                    <w:rPr>
                      <w:color w:val="000000" w:themeColor="text1"/>
                      <w:sz w:val="21"/>
                      <w:highlight w:val="none"/>
                      <w:u w:val="none"/>
                      <w14:textFill>
                        <w14:solidFill>
                          <w14:schemeClr w14:val="tx1"/>
                        </w14:solidFill>
                      </w14:textFill>
                    </w:rPr>
                  </w:pPr>
                  <w:r>
                    <w:rPr>
                      <w:color w:val="000000" w:themeColor="text1"/>
                      <w:sz w:val="21"/>
                      <w:highlight w:val="none"/>
                      <w:u w:val="none"/>
                      <w14:textFill>
                        <w14:solidFill>
                          <w14:schemeClr w14:val="tx1"/>
                        </w14:solidFill>
                      </w14:textFill>
                    </w:rPr>
                    <w:t>减少影响</w:t>
                  </w:r>
                </w:p>
              </w:tc>
            </w:tr>
            <w:tr w14:paraId="49587B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 w:type="dxa"/>
                  <w:bottom w:w="0" w:type="dxa"/>
                  <w:right w:w="11" w:type="dxa"/>
                </w:tblCellMar>
              </w:tblPrEx>
              <w:trPr>
                <w:cantSplit/>
                <w:trHeight w:val="397" w:hRule="atLeast"/>
                <w:jc w:val="center"/>
              </w:trPr>
              <w:tc>
                <w:tcPr>
                  <w:tcW w:w="565" w:type="dxa"/>
                  <w:vMerge w:val="continue"/>
                  <w:tcBorders>
                    <w:tl2br w:val="nil"/>
                    <w:tr2bl w:val="nil"/>
                  </w:tcBorders>
                  <w:vAlign w:val="center"/>
                </w:tcPr>
                <w:p w14:paraId="73920989">
                  <w:pPr>
                    <w:pStyle w:val="63"/>
                    <w:spacing w:before="24" w:after="24"/>
                    <w:rPr>
                      <w:color w:val="000000" w:themeColor="text1"/>
                      <w:sz w:val="21"/>
                      <w:highlight w:val="none"/>
                      <w:u w:val="none"/>
                      <w14:textFill>
                        <w14:solidFill>
                          <w14:schemeClr w14:val="tx1"/>
                        </w14:solidFill>
                      </w14:textFill>
                    </w:rPr>
                  </w:pPr>
                </w:p>
              </w:tc>
              <w:tc>
                <w:tcPr>
                  <w:tcW w:w="790" w:type="dxa"/>
                  <w:tcBorders>
                    <w:tl2br w:val="nil"/>
                    <w:tr2bl w:val="nil"/>
                  </w:tcBorders>
                  <w:vAlign w:val="center"/>
                </w:tcPr>
                <w:p w14:paraId="7A73DE7A">
                  <w:pPr>
                    <w:pStyle w:val="63"/>
                    <w:spacing w:before="24" w:after="24"/>
                    <w:rPr>
                      <w:color w:val="000000" w:themeColor="text1"/>
                      <w:sz w:val="21"/>
                      <w:highlight w:val="none"/>
                      <w:u w:val="wave"/>
                      <w14:textFill>
                        <w14:solidFill>
                          <w14:schemeClr w14:val="tx1"/>
                        </w14:solidFill>
                      </w14:textFill>
                    </w:rPr>
                  </w:pPr>
                  <w:r>
                    <w:rPr>
                      <w:rFonts w:hint="eastAsia"/>
                      <w:color w:val="000000" w:themeColor="text1"/>
                      <w:sz w:val="21"/>
                      <w:highlight w:val="none"/>
                      <w:u w:val="wave"/>
                      <w14:textFill>
                        <w14:solidFill>
                          <w14:schemeClr w14:val="tx1"/>
                        </w14:solidFill>
                      </w14:textFill>
                    </w:rPr>
                    <w:t>鸟类迁徙通道</w:t>
                  </w:r>
                </w:p>
              </w:tc>
              <w:tc>
                <w:tcPr>
                  <w:tcW w:w="2129" w:type="dxa"/>
                  <w:tcBorders>
                    <w:tl2br w:val="nil"/>
                    <w:tr2bl w:val="nil"/>
                  </w:tcBorders>
                  <w:vAlign w:val="center"/>
                </w:tcPr>
                <w:p w14:paraId="385B8AED">
                  <w:pPr>
                    <w:pStyle w:val="63"/>
                    <w:spacing w:before="24" w:after="24"/>
                    <w:rPr>
                      <w:rFonts w:hint="eastAsia"/>
                      <w:color w:val="000000" w:themeColor="text1"/>
                      <w:sz w:val="21"/>
                      <w:highlight w:val="none"/>
                      <w:u w:val="wave"/>
                      <w14:textFill>
                        <w14:solidFill>
                          <w14:schemeClr w14:val="tx1"/>
                        </w14:solidFill>
                      </w14:textFill>
                    </w:rPr>
                  </w:pPr>
                  <w:r>
                    <w:rPr>
                      <w:rFonts w:hint="eastAsia"/>
                      <w:color w:val="000000" w:themeColor="text1"/>
                      <w:sz w:val="21"/>
                      <w:highlight w:val="none"/>
                      <w:u w:val="wave"/>
                      <w14:textFill>
                        <w14:solidFill>
                          <w14:schemeClr w14:val="tx1"/>
                        </w14:solidFill>
                      </w14:textFill>
                    </w:rPr>
                    <w:t>项目周边无鸟类迁徙</w:t>
                  </w:r>
                </w:p>
                <w:p w14:paraId="246B04AD">
                  <w:pPr>
                    <w:pStyle w:val="63"/>
                    <w:spacing w:before="24" w:after="24"/>
                    <w:rPr>
                      <w:color w:val="000000" w:themeColor="text1"/>
                      <w:sz w:val="21"/>
                      <w:highlight w:val="none"/>
                      <w:u w:val="wave"/>
                      <w14:textFill>
                        <w14:solidFill>
                          <w14:schemeClr w14:val="tx1"/>
                        </w14:solidFill>
                      </w14:textFill>
                    </w:rPr>
                  </w:pPr>
                  <w:r>
                    <w:rPr>
                      <w:rFonts w:hint="eastAsia"/>
                      <w:color w:val="000000" w:themeColor="text1"/>
                      <w:sz w:val="21"/>
                      <w:highlight w:val="none"/>
                      <w:u w:val="wave"/>
                      <w14:textFill>
                        <w14:solidFill>
                          <w14:schemeClr w14:val="tx1"/>
                        </w14:solidFill>
                      </w14:textFill>
                    </w:rPr>
                    <w:t>通道</w:t>
                  </w:r>
                </w:p>
              </w:tc>
              <w:tc>
                <w:tcPr>
                  <w:tcW w:w="1929" w:type="dxa"/>
                  <w:tcBorders>
                    <w:tl2br w:val="nil"/>
                    <w:tr2bl w:val="nil"/>
                  </w:tcBorders>
                  <w:vAlign w:val="center"/>
                </w:tcPr>
                <w:p w14:paraId="58FE510D">
                  <w:pPr>
                    <w:pStyle w:val="63"/>
                    <w:spacing w:before="24" w:after="24"/>
                    <w:rPr>
                      <w:rFonts w:hint="eastAsia" w:eastAsia="宋体"/>
                      <w:color w:val="000000" w:themeColor="text1"/>
                      <w:sz w:val="21"/>
                      <w:highlight w:val="none"/>
                      <w:u w:val="wave"/>
                      <w:lang w:val="en-US" w:eastAsia="zh-CN"/>
                      <w14:textFill>
                        <w14:solidFill>
                          <w14:schemeClr w14:val="tx1"/>
                        </w14:solidFill>
                      </w14:textFill>
                    </w:rPr>
                  </w:pPr>
                  <w:r>
                    <w:rPr>
                      <w:rFonts w:hint="eastAsia"/>
                      <w:color w:val="000000" w:themeColor="text1"/>
                      <w:sz w:val="21"/>
                      <w:highlight w:val="none"/>
                      <w:u w:val="wave"/>
                      <w:lang w:val="en-US" w:eastAsia="zh-CN"/>
                      <w14:textFill>
                        <w14:solidFill>
                          <w14:schemeClr w14:val="tx1"/>
                        </w14:solidFill>
                      </w14:textFill>
                    </w:rPr>
                    <w:t>/</w:t>
                  </w:r>
                </w:p>
              </w:tc>
              <w:tc>
                <w:tcPr>
                  <w:tcW w:w="865" w:type="dxa"/>
                  <w:tcBorders>
                    <w:tl2br w:val="nil"/>
                    <w:tr2bl w:val="nil"/>
                  </w:tcBorders>
                  <w:vAlign w:val="center"/>
                </w:tcPr>
                <w:p w14:paraId="7B9B2E89">
                  <w:pPr>
                    <w:pStyle w:val="63"/>
                    <w:spacing w:before="24" w:after="24"/>
                    <w:rPr>
                      <w:rFonts w:hint="default" w:eastAsia="宋体"/>
                      <w:color w:val="000000" w:themeColor="text1"/>
                      <w:sz w:val="21"/>
                      <w:highlight w:val="none"/>
                      <w:u w:val="wave"/>
                      <w:lang w:val="en-US" w:eastAsia="zh-CN"/>
                      <w14:textFill>
                        <w14:solidFill>
                          <w14:schemeClr w14:val="tx1"/>
                        </w14:solidFill>
                      </w14:textFill>
                    </w:rPr>
                  </w:pPr>
                  <w:r>
                    <w:rPr>
                      <w:rFonts w:hint="eastAsia"/>
                      <w:color w:val="000000" w:themeColor="text1"/>
                      <w:sz w:val="21"/>
                      <w:highlight w:val="none"/>
                      <w:u w:val="wave"/>
                      <w:lang w:val="en-US" w:eastAsia="zh-CN"/>
                      <w14:textFill>
                        <w14:solidFill>
                          <w14:schemeClr w14:val="tx1"/>
                        </w14:solidFill>
                      </w14:textFill>
                    </w:rPr>
                    <w:t>营运期</w:t>
                  </w:r>
                </w:p>
              </w:tc>
              <w:tc>
                <w:tcPr>
                  <w:tcW w:w="1265" w:type="dxa"/>
                  <w:tcBorders>
                    <w:tl2br w:val="nil"/>
                    <w:tr2bl w:val="nil"/>
                  </w:tcBorders>
                  <w:vAlign w:val="center"/>
                </w:tcPr>
                <w:p w14:paraId="75D06E1E">
                  <w:pPr>
                    <w:pStyle w:val="63"/>
                    <w:spacing w:before="24" w:after="24"/>
                    <w:rPr>
                      <w:color w:val="000000" w:themeColor="text1"/>
                      <w:sz w:val="21"/>
                      <w:highlight w:val="none"/>
                      <w:u w:val="wave"/>
                      <w14:textFill>
                        <w14:solidFill>
                          <w14:schemeClr w14:val="tx1"/>
                        </w14:solidFill>
                      </w14:textFill>
                    </w:rPr>
                  </w:pPr>
                  <w:r>
                    <w:rPr>
                      <w:rFonts w:hint="eastAsia"/>
                      <w:color w:val="000000" w:themeColor="text1"/>
                      <w:sz w:val="21"/>
                      <w:highlight w:val="none"/>
                      <w:u w:val="wave"/>
                      <w14:textFill>
                        <w14:solidFill>
                          <w14:schemeClr w14:val="tx1"/>
                        </w14:solidFill>
                      </w14:textFill>
                    </w:rPr>
                    <w:t>艳化叶片、红外监控管理</w:t>
                  </w:r>
                </w:p>
              </w:tc>
            </w:tr>
            <w:tr w14:paraId="186D27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 w:type="dxa"/>
                  <w:bottom w:w="0" w:type="dxa"/>
                  <w:right w:w="11" w:type="dxa"/>
                </w:tblCellMar>
              </w:tblPrEx>
              <w:trPr>
                <w:cantSplit/>
                <w:trHeight w:val="397" w:hRule="atLeast"/>
                <w:jc w:val="center"/>
              </w:trPr>
              <w:tc>
                <w:tcPr>
                  <w:tcW w:w="565" w:type="dxa"/>
                  <w:vMerge w:val="continue"/>
                  <w:tcBorders>
                    <w:tl2br w:val="nil"/>
                    <w:tr2bl w:val="nil"/>
                  </w:tcBorders>
                  <w:vAlign w:val="center"/>
                </w:tcPr>
                <w:p w14:paraId="7E7CDA0C">
                  <w:pPr>
                    <w:pStyle w:val="63"/>
                    <w:spacing w:before="24" w:after="24"/>
                    <w:rPr>
                      <w:color w:val="000000" w:themeColor="text1"/>
                      <w:sz w:val="21"/>
                      <w:highlight w:val="none"/>
                      <w:u w:val="none"/>
                      <w14:textFill>
                        <w14:solidFill>
                          <w14:schemeClr w14:val="tx1"/>
                        </w14:solidFill>
                      </w14:textFill>
                    </w:rPr>
                  </w:pPr>
                </w:p>
              </w:tc>
              <w:tc>
                <w:tcPr>
                  <w:tcW w:w="790" w:type="dxa"/>
                  <w:tcBorders>
                    <w:tl2br w:val="nil"/>
                    <w:tr2bl w:val="nil"/>
                  </w:tcBorders>
                  <w:vAlign w:val="center"/>
                </w:tcPr>
                <w:p w14:paraId="46EB493B">
                  <w:pPr>
                    <w:pStyle w:val="63"/>
                    <w:spacing w:before="24" w:after="24"/>
                    <w:rPr>
                      <w:color w:val="000000" w:themeColor="text1"/>
                      <w:sz w:val="21"/>
                      <w:highlight w:val="none"/>
                      <w:u w:val="none"/>
                      <w14:textFill>
                        <w14:solidFill>
                          <w14:schemeClr w14:val="tx1"/>
                        </w14:solidFill>
                      </w14:textFill>
                    </w:rPr>
                  </w:pPr>
                  <w:r>
                    <w:rPr>
                      <w:color w:val="000000" w:themeColor="text1"/>
                      <w:sz w:val="21"/>
                      <w:highlight w:val="none"/>
                      <w:u w:val="none"/>
                      <w14:textFill>
                        <w14:solidFill>
                          <w14:schemeClr w14:val="tx1"/>
                        </w14:solidFill>
                      </w14:textFill>
                    </w:rPr>
                    <w:t>植物资源</w:t>
                  </w:r>
                </w:p>
              </w:tc>
              <w:tc>
                <w:tcPr>
                  <w:tcW w:w="2129" w:type="dxa"/>
                  <w:tcBorders>
                    <w:tl2br w:val="nil"/>
                    <w:tr2bl w:val="nil"/>
                  </w:tcBorders>
                  <w:vAlign w:val="center"/>
                </w:tcPr>
                <w:p w14:paraId="6D0D7CBF">
                  <w:pPr>
                    <w:pStyle w:val="63"/>
                    <w:spacing w:before="24" w:after="24"/>
                    <w:rPr>
                      <w:color w:val="000000" w:themeColor="text1"/>
                      <w:sz w:val="21"/>
                      <w:highlight w:val="none"/>
                      <w:u w:val="none"/>
                      <w14:textFill>
                        <w14:solidFill>
                          <w14:schemeClr w14:val="tx1"/>
                        </w14:solidFill>
                      </w14:textFill>
                    </w:rPr>
                  </w:pPr>
                  <w:r>
                    <w:rPr>
                      <w:color w:val="000000" w:themeColor="text1"/>
                      <w:sz w:val="21"/>
                      <w:highlight w:val="none"/>
                      <w:u w:val="none"/>
                      <w14:textFill>
                        <w14:solidFill>
                          <w14:schemeClr w14:val="tx1"/>
                        </w14:solidFill>
                      </w14:textFill>
                    </w:rPr>
                    <w:t>工程施工范围</w:t>
                  </w:r>
                </w:p>
              </w:tc>
              <w:tc>
                <w:tcPr>
                  <w:tcW w:w="1929" w:type="dxa"/>
                  <w:tcBorders>
                    <w:tl2br w:val="nil"/>
                    <w:tr2bl w:val="nil"/>
                  </w:tcBorders>
                  <w:vAlign w:val="center"/>
                </w:tcPr>
                <w:p w14:paraId="02025F70">
                  <w:pPr>
                    <w:pStyle w:val="63"/>
                    <w:spacing w:before="24" w:after="24"/>
                    <w:rPr>
                      <w:color w:val="000000" w:themeColor="text1"/>
                      <w:sz w:val="21"/>
                      <w:highlight w:val="none"/>
                      <w:u w:val="none"/>
                      <w14:textFill>
                        <w14:solidFill>
                          <w14:schemeClr w14:val="tx1"/>
                        </w14:solidFill>
                      </w14:textFill>
                    </w:rPr>
                  </w:pPr>
                  <w:r>
                    <w:rPr>
                      <w:color w:val="000000" w:themeColor="text1"/>
                      <w:sz w:val="21"/>
                      <w:highlight w:val="none"/>
                      <w:u w:val="none"/>
                      <w14:textFill>
                        <w14:solidFill>
                          <w14:schemeClr w14:val="tx1"/>
                        </w14:solidFill>
                      </w14:textFill>
                    </w:rPr>
                    <w:t>工程破坏地表植被</w:t>
                  </w:r>
                </w:p>
              </w:tc>
              <w:tc>
                <w:tcPr>
                  <w:tcW w:w="865" w:type="dxa"/>
                  <w:tcBorders>
                    <w:tl2br w:val="nil"/>
                    <w:tr2bl w:val="nil"/>
                  </w:tcBorders>
                  <w:vAlign w:val="center"/>
                </w:tcPr>
                <w:p w14:paraId="34D4BF5D">
                  <w:pPr>
                    <w:pStyle w:val="63"/>
                    <w:spacing w:before="24" w:after="24"/>
                    <w:rPr>
                      <w:color w:val="000000" w:themeColor="text1"/>
                      <w:sz w:val="21"/>
                      <w:highlight w:val="none"/>
                      <w:u w:val="none"/>
                      <w14:textFill>
                        <w14:solidFill>
                          <w14:schemeClr w14:val="tx1"/>
                        </w14:solidFill>
                      </w14:textFill>
                    </w:rPr>
                  </w:pPr>
                  <w:r>
                    <w:rPr>
                      <w:color w:val="000000" w:themeColor="text1"/>
                      <w:sz w:val="21"/>
                      <w:highlight w:val="none"/>
                      <w:u w:val="none"/>
                      <w14:textFill>
                        <w14:solidFill>
                          <w14:schemeClr w14:val="tx1"/>
                        </w14:solidFill>
                      </w14:textFill>
                    </w:rPr>
                    <w:t>施工期</w:t>
                  </w:r>
                </w:p>
              </w:tc>
              <w:tc>
                <w:tcPr>
                  <w:tcW w:w="1265" w:type="dxa"/>
                  <w:tcBorders>
                    <w:tl2br w:val="nil"/>
                    <w:tr2bl w:val="nil"/>
                  </w:tcBorders>
                  <w:vAlign w:val="center"/>
                </w:tcPr>
                <w:p w14:paraId="6128AEAA">
                  <w:pPr>
                    <w:pStyle w:val="63"/>
                    <w:spacing w:before="24" w:after="24"/>
                    <w:rPr>
                      <w:color w:val="000000" w:themeColor="text1"/>
                      <w:sz w:val="21"/>
                      <w:highlight w:val="none"/>
                      <w:u w:val="none"/>
                      <w14:textFill>
                        <w14:solidFill>
                          <w14:schemeClr w14:val="tx1"/>
                        </w14:solidFill>
                      </w14:textFill>
                    </w:rPr>
                  </w:pPr>
                  <w:r>
                    <w:rPr>
                      <w:color w:val="000000" w:themeColor="text1"/>
                      <w:sz w:val="21"/>
                      <w:highlight w:val="none"/>
                      <w:u w:val="none"/>
                      <w14:textFill>
                        <w14:solidFill>
                          <w14:schemeClr w14:val="tx1"/>
                        </w14:solidFill>
                      </w14:textFill>
                    </w:rPr>
                    <w:t>减少破坏</w:t>
                  </w:r>
                </w:p>
              </w:tc>
            </w:tr>
            <w:tr w14:paraId="45A491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 w:type="dxa"/>
                  <w:bottom w:w="0" w:type="dxa"/>
                  <w:right w:w="11" w:type="dxa"/>
                </w:tblCellMar>
              </w:tblPrEx>
              <w:trPr>
                <w:cantSplit/>
                <w:trHeight w:val="397" w:hRule="atLeast"/>
                <w:jc w:val="center"/>
              </w:trPr>
              <w:tc>
                <w:tcPr>
                  <w:tcW w:w="565" w:type="dxa"/>
                  <w:vMerge w:val="continue"/>
                  <w:tcBorders>
                    <w:tl2br w:val="nil"/>
                    <w:tr2bl w:val="nil"/>
                  </w:tcBorders>
                  <w:vAlign w:val="center"/>
                </w:tcPr>
                <w:p w14:paraId="6FF747E8">
                  <w:pPr>
                    <w:pStyle w:val="63"/>
                    <w:spacing w:before="24" w:after="24"/>
                    <w:rPr>
                      <w:color w:val="000000" w:themeColor="text1"/>
                      <w:sz w:val="21"/>
                      <w:highlight w:val="none"/>
                      <w:u w:val="none"/>
                      <w14:textFill>
                        <w14:solidFill>
                          <w14:schemeClr w14:val="tx1"/>
                        </w14:solidFill>
                      </w14:textFill>
                    </w:rPr>
                  </w:pPr>
                </w:p>
              </w:tc>
              <w:tc>
                <w:tcPr>
                  <w:tcW w:w="790" w:type="dxa"/>
                  <w:tcBorders>
                    <w:tl2br w:val="nil"/>
                    <w:tr2bl w:val="nil"/>
                  </w:tcBorders>
                  <w:vAlign w:val="center"/>
                </w:tcPr>
                <w:p w14:paraId="1E2E3C9B">
                  <w:pPr>
                    <w:pStyle w:val="63"/>
                    <w:spacing w:before="24" w:after="24"/>
                    <w:rPr>
                      <w:color w:val="000000" w:themeColor="text1"/>
                      <w:sz w:val="21"/>
                      <w:highlight w:val="none"/>
                      <w:u w:val="none"/>
                      <w14:textFill>
                        <w14:solidFill>
                          <w14:schemeClr w14:val="tx1"/>
                        </w14:solidFill>
                      </w14:textFill>
                    </w:rPr>
                  </w:pPr>
                  <w:r>
                    <w:rPr>
                      <w:color w:val="000000" w:themeColor="text1"/>
                      <w:sz w:val="21"/>
                      <w:highlight w:val="none"/>
                      <w:u w:val="none"/>
                      <w14:textFill>
                        <w14:solidFill>
                          <w14:schemeClr w14:val="tx1"/>
                        </w14:solidFill>
                      </w14:textFill>
                    </w:rPr>
                    <w:t>生态景观</w:t>
                  </w:r>
                </w:p>
              </w:tc>
              <w:tc>
                <w:tcPr>
                  <w:tcW w:w="2129" w:type="dxa"/>
                  <w:tcBorders>
                    <w:tl2br w:val="nil"/>
                    <w:tr2bl w:val="nil"/>
                  </w:tcBorders>
                  <w:vAlign w:val="center"/>
                </w:tcPr>
                <w:p w14:paraId="32F7E3F5">
                  <w:pPr>
                    <w:pStyle w:val="63"/>
                    <w:spacing w:before="24" w:after="24"/>
                    <w:rPr>
                      <w:color w:val="000000" w:themeColor="text1"/>
                      <w:sz w:val="21"/>
                      <w:highlight w:val="none"/>
                      <w:u w:val="none"/>
                      <w14:textFill>
                        <w14:solidFill>
                          <w14:schemeClr w14:val="tx1"/>
                        </w14:solidFill>
                      </w14:textFill>
                    </w:rPr>
                  </w:pPr>
                  <w:r>
                    <w:rPr>
                      <w:color w:val="000000" w:themeColor="text1"/>
                      <w:sz w:val="21"/>
                      <w:highlight w:val="none"/>
                      <w:u w:val="none"/>
                      <w14:textFill>
                        <w14:solidFill>
                          <w14:schemeClr w14:val="tx1"/>
                        </w14:solidFill>
                      </w14:textFill>
                    </w:rPr>
                    <w:t>生态评价范围内</w:t>
                  </w:r>
                </w:p>
              </w:tc>
              <w:tc>
                <w:tcPr>
                  <w:tcW w:w="1929" w:type="dxa"/>
                  <w:tcBorders>
                    <w:tl2br w:val="nil"/>
                    <w:tr2bl w:val="nil"/>
                  </w:tcBorders>
                  <w:vAlign w:val="center"/>
                </w:tcPr>
                <w:p w14:paraId="183C7913">
                  <w:pPr>
                    <w:pStyle w:val="63"/>
                    <w:spacing w:before="24" w:after="24"/>
                    <w:rPr>
                      <w:color w:val="000000" w:themeColor="text1"/>
                      <w:sz w:val="21"/>
                      <w:highlight w:val="none"/>
                      <w:u w:val="none"/>
                      <w14:textFill>
                        <w14:solidFill>
                          <w14:schemeClr w14:val="tx1"/>
                        </w14:solidFill>
                      </w14:textFill>
                    </w:rPr>
                  </w:pPr>
                  <w:r>
                    <w:rPr>
                      <w:rFonts w:hint="eastAsia"/>
                      <w:color w:val="000000" w:themeColor="text1"/>
                      <w:sz w:val="21"/>
                      <w:highlight w:val="none"/>
                      <w:u w:val="none"/>
                      <w14:textFill>
                        <w14:solidFill>
                          <w14:schemeClr w14:val="tx1"/>
                        </w14:solidFill>
                      </w14:textFill>
                    </w:rPr>
                    <w:t>/</w:t>
                  </w:r>
                </w:p>
              </w:tc>
              <w:tc>
                <w:tcPr>
                  <w:tcW w:w="865" w:type="dxa"/>
                  <w:tcBorders>
                    <w:tl2br w:val="nil"/>
                    <w:tr2bl w:val="nil"/>
                  </w:tcBorders>
                  <w:vAlign w:val="center"/>
                </w:tcPr>
                <w:p w14:paraId="3F7AA330">
                  <w:pPr>
                    <w:pStyle w:val="63"/>
                    <w:spacing w:before="24" w:after="24"/>
                    <w:rPr>
                      <w:color w:val="000000" w:themeColor="text1"/>
                      <w:sz w:val="21"/>
                      <w:highlight w:val="none"/>
                      <w:u w:val="none"/>
                      <w14:textFill>
                        <w14:solidFill>
                          <w14:schemeClr w14:val="tx1"/>
                        </w14:solidFill>
                      </w14:textFill>
                    </w:rPr>
                  </w:pPr>
                  <w:r>
                    <w:rPr>
                      <w:color w:val="000000" w:themeColor="text1"/>
                      <w:sz w:val="21"/>
                      <w:highlight w:val="none"/>
                      <w:u w:val="none"/>
                      <w14:textFill>
                        <w14:solidFill>
                          <w14:schemeClr w14:val="tx1"/>
                        </w14:solidFill>
                      </w14:textFill>
                    </w:rPr>
                    <w:t>施工期及营运期</w:t>
                  </w:r>
                </w:p>
              </w:tc>
              <w:tc>
                <w:tcPr>
                  <w:tcW w:w="1265" w:type="dxa"/>
                  <w:tcBorders>
                    <w:tl2br w:val="nil"/>
                    <w:tr2bl w:val="nil"/>
                  </w:tcBorders>
                  <w:vAlign w:val="center"/>
                </w:tcPr>
                <w:p w14:paraId="6C7EA7ED">
                  <w:pPr>
                    <w:pStyle w:val="63"/>
                    <w:spacing w:before="24" w:after="24"/>
                    <w:rPr>
                      <w:color w:val="000000" w:themeColor="text1"/>
                      <w:sz w:val="21"/>
                      <w:highlight w:val="none"/>
                      <w:u w:val="none"/>
                      <w14:textFill>
                        <w14:solidFill>
                          <w14:schemeClr w14:val="tx1"/>
                        </w14:solidFill>
                      </w14:textFill>
                    </w:rPr>
                  </w:pPr>
                  <w:r>
                    <w:rPr>
                      <w:color w:val="000000" w:themeColor="text1"/>
                      <w:sz w:val="21"/>
                      <w:highlight w:val="none"/>
                      <w:u w:val="none"/>
                      <w14:textFill>
                        <w14:solidFill>
                          <w14:schemeClr w14:val="tx1"/>
                        </w14:solidFill>
                      </w14:textFill>
                    </w:rPr>
                    <w:t>保持与周边景观协调一致</w:t>
                  </w:r>
                </w:p>
              </w:tc>
            </w:tr>
            <w:tr w14:paraId="2BAEB5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 w:type="dxa"/>
                  <w:bottom w:w="0" w:type="dxa"/>
                  <w:right w:w="11" w:type="dxa"/>
                </w:tblCellMar>
              </w:tblPrEx>
              <w:trPr>
                <w:cantSplit/>
                <w:trHeight w:val="397" w:hRule="atLeast"/>
                <w:jc w:val="center"/>
              </w:trPr>
              <w:tc>
                <w:tcPr>
                  <w:tcW w:w="565" w:type="dxa"/>
                  <w:vMerge w:val="continue"/>
                  <w:tcBorders>
                    <w:tl2br w:val="nil"/>
                    <w:tr2bl w:val="nil"/>
                  </w:tcBorders>
                  <w:vAlign w:val="center"/>
                </w:tcPr>
                <w:p w14:paraId="4492D165">
                  <w:pPr>
                    <w:pStyle w:val="63"/>
                    <w:spacing w:before="24" w:after="24"/>
                    <w:rPr>
                      <w:color w:val="000000" w:themeColor="text1"/>
                      <w:sz w:val="21"/>
                      <w:highlight w:val="none"/>
                      <w:u w:val="none"/>
                      <w14:textFill>
                        <w14:solidFill>
                          <w14:schemeClr w14:val="tx1"/>
                        </w14:solidFill>
                      </w14:textFill>
                    </w:rPr>
                  </w:pPr>
                </w:p>
              </w:tc>
              <w:tc>
                <w:tcPr>
                  <w:tcW w:w="790" w:type="dxa"/>
                  <w:tcBorders>
                    <w:tl2br w:val="nil"/>
                    <w:tr2bl w:val="nil"/>
                  </w:tcBorders>
                  <w:vAlign w:val="center"/>
                </w:tcPr>
                <w:p w14:paraId="3701B9FF">
                  <w:pPr>
                    <w:pStyle w:val="63"/>
                    <w:spacing w:before="24" w:after="24"/>
                    <w:rPr>
                      <w:color w:val="000000" w:themeColor="text1"/>
                      <w:sz w:val="21"/>
                      <w:highlight w:val="none"/>
                      <w:u w:val="none"/>
                      <w14:textFill>
                        <w14:solidFill>
                          <w14:schemeClr w14:val="tx1"/>
                        </w14:solidFill>
                      </w14:textFill>
                    </w:rPr>
                  </w:pPr>
                  <w:r>
                    <w:rPr>
                      <w:color w:val="000000" w:themeColor="text1"/>
                      <w:sz w:val="21"/>
                      <w:highlight w:val="none"/>
                      <w:u w:val="none"/>
                      <w14:textFill>
                        <w14:solidFill>
                          <w14:schemeClr w14:val="tx1"/>
                        </w14:solidFill>
                      </w14:textFill>
                    </w:rPr>
                    <w:t>生态敏感区</w:t>
                  </w:r>
                </w:p>
              </w:tc>
              <w:tc>
                <w:tcPr>
                  <w:tcW w:w="6188" w:type="dxa"/>
                  <w:gridSpan w:val="4"/>
                  <w:tcBorders>
                    <w:tl2br w:val="nil"/>
                    <w:tr2bl w:val="nil"/>
                  </w:tcBorders>
                  <w:vAlign w:val="center"/>
                </w:tcPr>
                <w:p w14:paraId="4899CBE6">
                  <w:pPr>
                    <w:pStyle w:val="63"/>
                    <w:spacing w:before="24" w:after="24"/>
                    <w:rPr>
                      <w:color w:val="000000" w:themeColor="text1"/>
                      <w:sz w:val="21"/>
                      <w:highlight w:val="none"/>
                      <w:u w:val="none"/>
                      <w14:textFill>
                        <w14:solidFill>
                          <w14:schemeClr w14:val="tx1"/>
                        </w14:solidFill>
                      </w14:textFill>
                    </w:rPr>
                  </w:pPr>
                  <w:r>
                    <w:rPr>
                      <w:color w:val="000000" w:themeColor="text1"/>
                      <w:sz w:val="21"/>
                      <w:highlight w:val="none"/>
                      <w:u w:val="none"/>
                      <w14:textFill>
                        <w14:solidFill>
                          <w14:schemeClr w14:val="tx1"/>
                        </w14:solidFill>
                      </w14:textFill>
                    </w:rPr>
                    <w:t>项目不涉及生态敏感区</w:t>
                  </w:r>
                </w:p>
              </w:tc>
            </w:tr>
            <w:tr w14:paraId="48F1D8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 w:type="dxa"/>
                  <w:bottom w:w="0" w:type="dxa"/>
                  <w:right w:w="11" w:type="dxa"/>
                </w:tblCellMar>
              </w:tblPrEx>
              <w:trPr>
                <w:cantSplit/>
                <w:trHeight w:val="397" w:hRule="atLeast"/>
                <w:jc w:val="center"/>
              </w:trPr>
              <w:tc>
                <w:tcPr>
                  <w:tcW w:w="565" w:type="dxa"/>
                  <w:vMerge w:val="restart"/>
                  <w:tcBorders>
                    <w:tl2br w:val="nil"/>
                    <w:tr2bl w:val="nil"/>
                  </w:tcBorders>
                  <w:vAlign w:val="center"/>
                </w:tcPr>
                <w:p w14:paraId="715B190E">
                  <w:pPr>
                    <w:pStyle w:val="63"/>
                    <w:spacing w:before="24" w:after="24"/>
                    <w:rPr>
                      <w:color w:val="000000" w:themeColor="text1"/>
                      <w:sz w:val="21"/>
                      <w:highlight w:val="none"/>
                      <w:u w:val="wave"/>
                      <w14:textFill>
                        <w14:solidFill>
                          <w14:schemeClr w14:val="tx1"/>
                        </w14:solidFill>
                      </w14:textFill>
                    </w:rPr>
                  </w:pPr>
                  <w:r>
                    <w:rPr>
                      <w:color w:val="000000" w:themeColor="text1"/>
                      <w:sz w:val="21"/>
                      <w:highlight w:val="none"/>
                      <w:u w:val="wave"/>
                      <w14:textFill>
                        <w14:solidFill>
                          <w14:schemeClr w14:val="tx1"/>
                        </w14:solidFill>
                      </w14:textFill>
                    </w:rPr>
                    <w:t>水环境</w:t>
                  </w:r>
                </w:p>
              </w:tc>
              <w:tc>
                <w:tcPr>
                  <w:tcW w:w="790" w:type="dxa"/>
                  <w:tcBorders>
                    <w:right w:val="single" w:color="auto" w:sz="4" w:space="0"/>
                    <w:tl2br w:val="nil"/>
                    <w:tr2bl w:val="nil"/>
                  </w:tcBorders>
                  <w:vAlign w:val="center"/>
                </w:tcPr>
                <w:p w14:paraId="7996BA9D">
                  <w:pPr>
                    <w:pStyle w:val="63"/>
                    <w:spacing w:before="24" w:after="24"/>
                    <w:rPr>
                      <w:rFonts w:hint="default" w:eastAsia="宋体"/>
                      <w:color w:val="000000" w:themeColor="text1"/>
                      <w:sz w:val="21"/>
                      <w:highlight w:val="none"/>
                      <w:u w:val="wave"/>
                      <w:lang w:val="en-US" w:eastAsia="zh-CN"/>
                      <w14:textFill>
                        <w14:solidFill>
                          <w14:schemeClr w14:val="tx1"/>
                        </w14:solidFill>
                      </w14:textFill>
                    </w:rPr>
                  </w:pPr>
                  <w:r>
                    <w:rPr>
                      <w:rFonts w:hint="eastAsia"/>
                      <w:color w:val="000000" w:themeColor="text1"/>
                      <w:sz w:val="21"/>
                      <w:highlight w:val="none"/>
                      <w:u w:val="wave"/>
                      <w:lang w:val="en-US" w:eastAsia="zh-CN"/>
                      <w14:textFill>
                        <w14:solidFill>
                          <w14:schemeClr w14:val="tx1"/>
                        </w14:solidFill>
                      </w14:textFill>
                    </w:rPr>
                    <w:t>渠水</w:t>
                  </w:r>
                </w:p>
              </w:tc>
              <w:tc>
                <w:tcPr>
                  <w:tcW w:w="2129" w:type="dxa"/>
                  <w:tcBorders>
                    <w:left w:val="single" w:color="auto" w:sz="4" w:space="0"/>
                    <w:right w:val="single" w:color="auto" w:sz="4" w:space="0"/>
                    <w:tl2br w:val="nil"/>
                    <w:tr2bl w:val="nil"/>
                  </w:tcBorders>
                  <w:vAlign w:val="center"/>
                </w:tcPr>
                <w:p w14:paraId="0D7C56FD">
                  <w:pPr>
                    <w:pStyle w:val="63"/>
                    <w:spacing w:before="24" w:after="24"/>
                    <w:rPr>
                      <w:rFonts w:hint="eastAsia"/>
                      <w:color w:val="000000" w:themeColor="text1"/>
                      <w:sz w:val="21"/>
                      <w:highlight w:val="none"/>
                      <w:u w:val="wave"/>
                      <w:lang w:val="en-US" w:eastAsia="zh-CN"/>
                      <w14:textFill>
                        <w14:solidFill>
                          <w14:schemeClr w14:val="tx1"/>
                        </w14:solidFill>
                      </w14:textFill>
                    </w:rPr>
                  </w:pPr>
                  <w:r>
                    <w:rPr>
                      <w:rFonts w:hint="eastAsia"/>
                      <w:color w:val="000000" w:themeColor="text1"/>
                      <w:sz w:val="21"/>
                      <w:highlight w:val="none"/>
                      <w:u w:val="wave"/>
                      <w:lang w:val="en-US" w:eastAsia="zh-CN"/>
                      <w14:textFill>
                        <w14:solidFill>
                          <w14:schemeClr w14:val="tx1"/>
                        </w14:solidFill>
                      </w14:textFill>
                    </w:rPr>
                    <w:t>渔业用水区</w:t>
                  </w:r>
                </w:p>
              </w:tc>
              <w:tc>
                <w:tcPr>
                  <w:tcW w:w="1929" w:type="dxa"/>
                  <w:tcBorders>
                    <w:left w:val="single" w:color="auto" w:sz="4" w:space="0"/>
                    <w:right w:val="single" w:color="auto" w:sz="4" w:space="0"/>
                    <w:tl2br w:val="nil"/>
                    <w:tr2bl w:val="nil"/>
                  </w:tcBorders>
                  <w:vAlign w:val="center"/>
                </w:tcPr>
                <w:p w14:paraId="7639C510">
                  <w:pPr>
                    <w:pStyle w:val="63"/>
                    <w:spacing w:before="24" w:after="24"/>
                    <w:rPr>
                      <w:rFonts w:hint="default"/>
                      <w:color w:val="000000" w:themeColor="text1"/>
                      <w:sz w:val="21"/>
                      <w:highlight w:val="none"/>
                      <w:u w:val="wave"/>
                      <w:lang w:val="en-US" w:eastAsia="zh-CN"/>
                      <w14:textFill>
                        <w14:solidFill>
                          <w14:schemeClr w14:val="tx1"/>
                        </w14:solidFill>
                      </w14:textFill>
                    </w:rPr>
                  </w:pPr>
                  <w:r>
                    <w:rPr>
                      <w:rFonts w:hint="eastAsia"/>
                      <w:color w:val="000000" w:themeColor="text1"/>
                      <w:sz w:val="21"/>
                      <w:highlight w:val="none"/>
                      <w:u w:val="wave"/>
                      <w:lang w:val="en-US" w:eastAsia="zh-CN"/>
                      <w14:textFill>
                        <w14:solidFill>
                          <w14:schemeClr w14:val="tx1"/>
                        </w14:solidFill>
                      </w14:textFill>
                    </w:rPr>
                    <w:t>东面</w:t>
                  </w:r>
                  <w:r>
                    <w:rPr>
                      <w:rFonts w:hint="default" w:ascii="Times New Roman" w:hAnsi="Times New Roman" w:cs="Times New Roman"/>
                      <w:color w:val="000000" w:themeColor="text1"/>
                      <w:sz w:val="21"/>
                      <w:highlight w:val="none"/>
                      <w:u w:val="wave"/>
                      <w:lang w:val="en-US" w:eastAsia="zh-CN"/>
                      <w14:textFill>
                        <w14:solidFill>
                          <w14:schemeClr w14:val="tx1"/>
                        </w14:solidFill>
                      </w14:textFill>
                    </w:rPr>
                    <w:t>3.</w:t>
                  </w:r>
                  <w:r>
                    <w:rPr>
                      <w:rFonts w:hint="eastAsia" w:ascii="Times New Roman" w:hAnsi="Times New Roman" w:cs="Times New Roman"/>
                      <w:color w:val="000000" w:themeColor="text1"/>
                      <w:sz w:val="21"/>
                      <w:highlight w:val="none"/>
                      <w:u w:val="wave"/>
                      <w:lang w:val="en-US" w:eastAsia="zh-CN"/>
                      <w14:textFill>
                        <w14:solidFill>
                          <w14:schemeClr w14:val="tx1"/>
                        </w14:solidFill>
                      </w14:textFill>
                    </w:rPr>
                    <w:t>2</w:t>
                  </w:r>
                  <w:r>
                    <w:rPr>
                      <w:rFonts w:hint="default" w:ascii="Times New Roman" w:hAnsi="Times New Roman" w:cs="Times New Roman"/>
                      <w:color w:val="000000" w:themeColor="text1"/>
                      <w:sz w:val="21"/>
                      <w:highlight w:val="none"/>
                      <w:u w:val="wave"/>
                      <w:lang w:val="en-US" w:eastAsia="zh-CN"/>
                      <w14:textFill>
                        <w14:solidFill>
                          <w14:schemeClr w14:val="tx1"/>
                        </w14:solidFill>
                      </w14:textFill>
                    </w:rPr>
                    <w:t>km</w:t>
                  </w:r>
                  <w:r>
                    <w:rPr>
                      <w:rFonts w:hint="eastAsia" w:ascii="Times New Roman" w:hAnsi="Times New Roman" w:cs="Times New Roman"/>
                      <w:color w:val="000000" w:themeColor="text1"/>
                      <w:sz w:val="21"/>
                      <w:highlight w:val="none"/>
                      <w:u w:val="wave"/>
                      <w:lang w:val="en-US" w:eastAsia="zh-CN"/>
                      <w14:textFill>
                        <w14:solidFill>
                          <w14:schemeClr w14:val="tx1"/>
                        </w14:solidFill>
                      </w14:textFill>
                    </w:rPr>
                    <w:t>，</w:t>
                  </w:r>
                  <w:r>
                    <w:rPr>
                      <w:rFonts w:hint="default" w:ascii="Times New Roman" w:hAnsi="Times New Roman" w:cs="Times New Roman"/>
                      <w:color w:val="000000" w:themeColor="text1"/>
                      <w:sz w:val="21"/>
                      <w:highlight w:val="none"/>
                      <w:u w:val="wave"/>
                      <w:lang w:val="en-US" w:eastAsia="zh-CN"/>
                      <w14:textFill>
                        <w14:solidFill>
                          <w14:schemeClr w14:val="tx1"/>
                        </w14:solidFill>
                      </w14:textFill>
                    </w:rPr>
                    <w:t>无</w:t>
                  </w:r>
                  <w:r>
                    <w:rPr>
                      <w:rFonts w:hint="eastAsia"/>
                      <w:color w:val="000000" w:themeColor="text1"/>
                      <w:sz w:val="21"/>
                      <w:highlight w:val="none"/>
                      <w:u w:val="wave"/>
                      <w:lang w:val="en-US" w:eastAsia="zh-CN"/>
                      <w14:textFill>
                        <w14:solidFill>
                          <w14:schemeClr w14:val="tx1"/>
                        </w14:solidFill>
                      </w14:textFill>
                    </w:rPr>
                    <w:t>水力联系</w:t>
                  </w:r>
                </w:p>
              </w:tc>
              <w:tc>
                <w:tcPr>
                  <w:tcW w:w="865" w:type="dxa"/>
                  <w:vMerge w:val="restart"/>
                  <w:tcBorders>
                    <w:left w:val="single" w:color="auto" w:sz="4" w:space="0"/>
                    <w:right w:val="single" w:color="auto" w:sz="4" w:space="0"/>
                    <w:tl2br w:val="nil"/>
                    <w:tr2bl w:val="nil"/>
                  </w:tcBorders>
                  <w:vAlign w:val="center"/>
                </w:tcPr>
                <w:p w14:paraId="2F16F43E">
                  <w:pPr>
                    <w:pStyle w:val="63"/>
                    <w:spacing w:before="24" w:after="24"/>
                    <w:rPr>
                      <w:rFonts w:hint="eastAsia"/>
                      <w:color w:val="000000" w:themeColor="text1"/>
                      <w:sz w:val="21"/>
                      <w:highlight w:val="none"/>
                      <w:u w:val="wave"/>
                      <w:lang w:val="en-US" w:eastAsia="zh-CN"/>
                      <w14:textFill>
                        <w14:solidFill>
                          <w14:schemeClr w14:val="tx1"/>
                        </w14:solidFill>
                      </w14:textFill>
                    </w:rPr>
                  </w:pPr>
                  <w:r>
                    <w:rPr>
                      <w:rFonts w:hint="default" w:ascii="Times New Roman" w:hAnsi="Times New Roman" w:cs="Times New Roman"/>
                      <w:color w:val="000000" w:themeColor="text1"/>
                      <w:sz w:val="21"/>
                      <w:highlight w:val="none"/>
                      <w:u w:val="wave"/>
                      <w14:textFill>
                        <w14:solidFill>
                          <w14:schemeClr w14:val="tx1"/>
                        </w14:solidFill>
                      </w14:textFill>
                    </w:rPr>
                    <w:t>施工期</w:t>
                  </w:r>
                </w:p>
              </w:tc>
              <w:tc>
                <w:tcPr>
                  <w:tcW w:w="1265" w:type="dxa"/>
                  <w:vMerge w:val="restart"/>
                  <w:tcBorders>
                    <w:left w:val="single" w:color="auto" w:sz="4" w:space="0"/>
                    <w:tl2br w:val="nil"/>
                    <w:tr2bl w:val="nil"/>
                  </w:tcBorders>
                  <w:vAlign w:val="center"/>
                </w:tcPr>
                <w:p w14:paraId="0442A7B8">
                  <w:pPr>
                    <w:pStyle w:val="63"/>
                    <w:spacing w:before="24" w:after="24"/>
                    <w:jc w:val="both"/>
                    <w:rPr>
                      <w:rFonts w:hint="eastAsia"/>
                      <w:color w:val="000000" w:themeColor="text1"/>
                      <w:sz w:val="21"/>
                      <w:highlight w:val="none"/>
                      <w:u w:val="wave"/>
                      <w:lang w:val="en-US" w:eastAsia="zh-CN"/>
                      <w14:textFill>
                        <w14:solidFill>
                          <w14:schemeClr w14:val="tx1"/>
                        </w14:solidFill>
                      </w14:textFill>
                    </w:rPr>
                  </w:pPr>
                  <w:r>
                    <w:rPr>
                      <w:rFonts w:hint="eastAsia"/>
                      <w:color w:val="000000" w:themeColor="text1"/>
                      <w:sz w:val="21"/>
                      <w:highlight w:val="none"/>
                      <w:u w:val="wave"/>
                      <w:lang w:val="en-US" w:eastAsia="zh-CN"/>
                      <w14:textFill>
                        <w14:solidFill>
                          <w14:schemeClr w14:val="tx1"/>
                        </w14:solidFill>
                      </w14:textFill>
                    </w:rPr>
                    <w:t>废污水处理后达标排放；做好水土保持</w:t>
                  </w:r>
                </w:p>
              </w:tc>
            </w:tr>
            <w:tr w14:paraId="16EB80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 w:type="dxa"/>
                  <w:bottom w:w="0" w:type="dxa"/>
                  <w:right w:w="11" w:type="dxa"/>
                </w:tblCellMar>
              </w:tblPrEx>
              <w:trPr>
                <w:cantSplit/>
                <w:trHeight w:val="397" w:hRule="atLeast"/>
                <w:jc w:val="center"/>
              </w:trPr>
              <w:tc>
                <w:tcPr>
                  <w:tcW w:w="565" w:type="dxa"/>
                  <w:vMerge w:val="continue"/>
                  <w:tcBorders>
                    <w:tl2br w:val="nil"/>
                    <w:tr2bl w:val="nil"/>
                  </w:tcBorders>
                  <w:vAlign w:val="center"/>
                </w:tcPr>
                <w:p w14:paraId="1466D474">
                  <w:pPr>
                    <w:pStyle w:val="63"/>
                    <w:spacing w:before="24" w:after="24"/>
                    <w:rPr>
                      <w:color w:val="000000" w:themeColor="text1"/>
                      <w:sz w:val="21"/>
                      <w:highlight w:val="none"/>
                      <w:u w:val="wave"/>
                      <w14:textFill>
                        <w14:solidFill>
                          <w14:schemeClr w14:val="tx1"/>
                        </w14:solidFill>
                      </w14:textFill>
                    </w:rPr>
                  </w:pPr>
                </w:p>
              </w:tc>
              <w:tc>
                <w:tcPr>
                  <w:tcW w:w="2919" w:type="dxa"/>
                  <w:gridSpan w:val="2"/>
                  <w:tcBorders>
                    <w:right w:val="single" w:color="auto" w:sz="4" w:space="0"/>
                    <w:tl2br w:val="nil"/>
                    <w:tr2bl w:val="nil"/>
                  </w:tcBorders>
                  <w:vAlign w:val="center"/>
                </w:tcPr>
                <w:p w14:paraId="198467F4">
                  <w:pPr>
                    <w:pStyle w:val="63"/>
                    <w:spacing w:before="24" w:after="24"/>
                    <w:rPr>
                      <w:rFonts w:hint="default" w:ascii="Times New Roman" w:hAnsi="Times New Roman" w:cs="Times New Roman"/>
                      <w:color w:val="000000" w:themeColor="text1"/>
                      <w:sz w:val="21"/>
                      <w:highlight w:val="none"/>
                      <w:u w:val="wave"/>
                      <w:lang w:val="en-US" w:eastAsia="zh-CN"/>
                      <w14:textFill>
                        <w14:solidFill>
                          <w14:schemeClr w14:val="tx1"/>
                        </w14:solidFill>
                      </w14:textFill>
                    </w:rPr>
                  </w:pPr>
                  <w:r>
                    <w:rPr>
                      <w:rFonts w:hint="default" w:ascii="Times New Roman" w:hAnsi="Times New Roman" w:cs="Times New Roman"/>
                      <w:color w:val="000000" w:themeColor="text1"/>
                      <w:sz w:val="21"/>
                      <w:highlight w:val="none"/>
                      <w:u w:val="wave"/>
                      <w:lang w:val="en-US" w:eastAsia="zh-CN"/>
                      <w14:textFill>
                        <w14:solidFill>
                          <w14:schemeClr w14:val="tx1"/>
                        </w14:solidFill>
                      </w14:textFill>
                    </w:rPr>
                    <w:t>牙屯堡镇甲田村山溪水饮用水水源二级</w:t>
                  </w:r>
                  <w:r>
                    <w:rPr>
                      <w:rFonts w:hint="eastAsia" w:ascii="Times New Roman" w:hAnsi="Times New Roman" w:cs="Times New Roman"/>
                      <w:color w:val="000000" w:themeColor="text1"/>
                      <w:sz w:val="21"/>
                      <w:highlight w:val="none"/>
                      <w:u w:val="wave"/>
                      <w:lang w:val="en-US" w:eastAsia="zh-CN"/>
                      <w14:textFill>
                        <w14:solidFill>
                          <w14:schemeClr w14:val="tx1"/>
                        </w14:solidFill>
                      </w14:textFill>
                    </w:rPr>
                    <w:t>、一级</w:t>
                  </w:r>
                  <w:r>
                    <w:rPr>
                      <w:rFonts w:hint="default" w:ascii="Times New Roman" w:hAnsi="Times New Roman" w:cs="Times New Roman"/>
                      <w:color w:val="000000" w:themeColor="text1"/>
                      <w:sz w:val="21"/>
                      <w:highlight w:val="none"/>
                      <w:u w:val="wave"/>
                      <w:lang w:val="en-US" w:eastAsia="zh-CN"/>
                      <w14:textFill>
                        <w14:solidFill>
                          <w14:schemeClr w14:val="tx1"/>
                        </w14:solidFill>
                      </w14:textFill>
                    </w:rPr>
                    <w:t>保护区</w:t>
                  </w:r>
                </w:p>
              </w:tc>
              <w:tc>
                <w:tcPr>
                  <w:tcW w:w="1929" w:type="dxa"/>
                  <w:tcBorders>
                    <w:left w:val="single" w:color="auto" w:sz="4" w:space="0"/>
                    <w:right w:val="single" w:color="auto" w:sz="4" w:space="0"/>
                    <w:tl2br w:val="nil"/>
                    <w:tr2bl w:val="nil"/>
                  </w:tcBorders>
                  <w:vAlign w:val="center"/>
                </w:tcPr>
                <w:p w14:paraId="17CB5413">
                  <w:pPr>
                    <w:pStyle w:val="63"/>
                    <w:spacing w:before="24" w:after="24"/>
                    <w:rPr>
                      <w:rFonts w:hint="default" w:ascii="Times New Roman" w:hAnsi="Times New Roman" w:cs="Times New Roman"/>
                      <w:color w:val="000000" w:themeColor="text1"/>
                      <w:sz w:val="21"/>
                      <w:highlight w:val="none"/>
                      <w:u w:val="wave"/>
                      <w:lang w:val="en-US" w:eastAsia="zh-CN"/>
                      <w14:textFill>
                        <w14:solidFill>
                          <w14:schemeClr w14:val="tx1"/>
                        </w14:solidFill>
                      </w14:textFill>
                    </w:rPr>
                  </w:pPr>
                  <w:r>
                    <w:rPr>
                      <w:rFonts w:hint="eastAsia" w:ascii="Times New Roman" w:hAnsi="Times New Roman" w:cs="Times New Roman"/>
                      <w:color w:val="000000" w:themeColor="text1"/>
                      <w:sz w:val="21"/>
                      <w:highlight w:val="none"/>
                      <w:u w:val="wave"/>
                      <w:lang w:val="en-US" w:eastAsia="zh-CN"/>
                      <w14:textFill>
                        <w14:solidFill>
                          <w14:schemeClr w14:val="tx1"/>
                        </w14:solidFill>
                      </w14:textFill>
                    </w:rPr>
                    <w:t>进场道路北面90m，</w:t>
                  </w:r>
                  <w:r>
                    <w:rPr>
                      <w:rFonts w:hint="default" w:ascii="Times New Roman" w:hAnsi="Times New Roman" w:cs="Times New Roman"/>
                      <w:color w:val="000000" w:themeColor="text1"/>
                      <w:sz w:val="21"/>
                      <w:highlight w:val="none"/>
                      <w:u w:val="wave"/>
                      <w:lang w:val="en-US" w:eastAsia="zh-CN"/>
                      <w14:textFill>
                        <w14:solidFill>
                          <w14:schemeClr w14:val="tx1"/>
                        </w14:solidFill>
                      </w14:textFill>
                    </w:rPr>
                    <w:t>5号风机北面130米</w:t>
                  </w:r>
                  <w:r>
                    <w:rPr>
                      <w:rFonts w:hint="eastAsia" w:ascii="Times New Roman" w:hAnsi="Times New Roman" w:cs="Times New Roman"/>
                      <w:color w:val="000000" w:themeColor="text1"/>
                      <w:sz w:val="21"/>
                      <w:highlight w:val="none"/>
                      <w:u w:val="wave"/>
                      <w:lang w:val="en-US" w:eastAsia="zh-CN"/>
                      <w14:textFill>
                        <w14:solidFill>
                          <w14:schemeClr w14:val="tx1"/>
                        </w14:solidFill>
                      </w14:textFill>
                    </w:rPr>
                    <w:t>,有水力联系（雨水漫流至保护区内）</w:t>
                  </w:r>
                </w:p>
              </w:tc>
              <w:tc>
                <w:tcPr>
                  <w:tcW w:w="865" w:type="dxa"/>
                  <w:vMerge w:val="continue"/>
                  <w:tcBorders>
                    <w:left w:val="single" w:color="auto" w:sz="4" w:space="0"/>
                    <w:right w:val="single" w:color="auto" w:sz="4" w:space="0"/>
                    <w:tl2br w:val="nil"/>
                    <w:tr2bl w:val="nil"/>
                  </w:tcBorders>
                  <w:vAlign w:val="center"/>
                </w:tcPr>
                <w:p w14:paraId="08FC4BCD">
                  <w:pPr>
                    <w:pStyle w:val="63"/>
                    <w:spacing w:before="24" w:after="24"/>
                    <w:rPr>
                      <w:rFonts w:hint="default" w:ascii="Times New Roman" w:hAnsi="Times New Roman" w:cs="Times New Roman"/>
                      <w:color w:val="000000" w:themeColor="text1"/>
                      <w:sz w:val="21"/>
                      <w:highlight w:val="none"/>
                      <w:u w:val="none"/>
                      <w14:textFill>
                        <w14:solidFill>
                          <w14:schemeClr w14:val="tx1"/>
                        </w14:solidFill>
                      </w14:textFill>
                    </w:rPr>
                  </w:pPr>
                </w:p>
              </w:tc>
              <w:tc>
                <w:tcPr>
                  <w:tcW w:w="1265" w:type="dxa"/>
                  <w:vMerge w:val="continue"/>
                  <w:tcBorders>
                    <w:left w:val="single" w:color="auto" w:sz="4" w:space="0"/>
                    <w:tl2br w:val="nil"/>
                    <w:tr2bl w:val="nil"/>
                  </w:tcBorders>
                  <w:vAlign w:val="center"/>
                </w:tcPr>
                <w:p w14:paraId="10AF86E9">
                  <w:pPr>
                    <w:pStyle w:val="63"/>
                    <w:spacing w:before="24" w:after="24"/>
                    <w:jc w:val="both"/>
                    <w:rPr>
                      <w:rFonts w:hint="eastAsia"/>
                      <w:color w:val="000000" w:themeColor="text1"/>
                      <w:sz w:val="21"/>
                      <w:highlight w:val="none"/>
                      <w:u w:val="none"/>
                      <w:lang w:val="en-US" w:eastAsia="zh-CN"/>
                      <w14:textFill>
                        <w14:solidFill>
                          <w14:schemeClr w14:val="tx1"/>
                        </w14:solidFill>
                      </w14:textFill>
                    </w:rPr>
                  </w:pPr>
                </w:p>
              </w:tc>
            </w:tr>
            <w:tr w14:paraId="510907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 w:type="dxa"/>
                  <w:bottom w:w="0" w:type="dxa"/>
                  <w:right w:w="11" w:type="dxa"/>
                </w:tblCellMar>
              </w:tblPrEx>
              <w:trPr>
                <w:cantSplit/>
                <w:trHeight w:val="397" w:hRule="atLeast"/>
                <w:jc w:val="center"/>
              </w:trPr>
              <w:tc>
                <w:tcPr>
                  <w:tcW w:w="565" w:type="dxa"/>
                  <w:vMerge w:val="continue"/>
                  <w:tcBorders>
                    <w:tl2br w:val="nil"/>
                    <w:tr2bl w:val="nil"/>
                  </w:tcBorders>
                  <w:vAlign w:val="center"/>
                </w:tcPr>
                <w:p w14:paraId="617B5692">
                  <w:pPr>
                    <w:pStyle w:val="63"/>
                    <w:spacing w:before="24" w:after="24"/>
                    <w:rPr>
                      <w:color w:val="000000" w:themeColor="text1"/>
                      <w:sz w:val="21"/>
                      <w:highlight w:val="none"/>
                      <w:u w:val="wave"/>
                      <w14:textFill>
                        <w14:solidFill>
                          <w14:schemeClr w14:val="tx1"/>
                        </w14:solidFill>
                      </w14:textFill>
                    </w:rPr>
                  </w:pPr>
                </w:p>
              </w:tc>
              <w:tc>
                <w:tcPr>
                  <w:tcW w:w="2919" w:type="dxa"/>
                  <w:gridSpan w:val="2"/>
                  <w:tcBorders>
                    <w:right w:val="single" w:color="auto" w:sz="4" w:space="0"/>
                    <w:tl2br w:val="nil"/>
                    <w:tr2bl w:val="nil"/>
                  </w:tcBorders>
                  <w:vAlign w:val="center"/>
                </w:tcPr>
                <w:p w14:paraId="37B3C60D">
                  <w:pPr>
                    <w:pStyle w:val="63"/>
                    <w:spacing w:before="24" w:after="24"/>
                    <w:rPr>
                      <w:rFonts w:hint="default"/>
                      <w:color w:val="000000" w:themeColor="text1"/>
                      <w:sz w:val="21"/>
                      <w:highlight w:val="none"/>
                      <w:u w:val="wave"/>
                      <w:lang w:val="en-US" w:eastAsia="zh-CN"/>
                      <w14:textFill>
                        <w14:solidFill>
                          <w14:schemeClr w14:val="tx1"/>
                        </w14:solidFill>
                      </w14:textFill>
                    </w:rPr>
                  </w:pPr>
                  <w:r>
                    <w:rPr>
                      <w:rFonts w:hint="eastAsia"/>
                      <w:color w:val="000000" w:themeColor="text1"/>
                      <w:sz w:val="21"/>
                      <w:highlight w:val="none"/>
                      <w:u w:val="wave"/>
                      <w:lang w:val="en-US" w:eastAsia="zh-CN"/>
                      <w14:textFill>
                        <w14:solidFill>
                          <w14:schemeClr w14:val="tx1"/>
                        </w14:solidFill>
                      </w14:textFill>
                    </w:rPr>
                    <w:t>双江镇芋头村山溪水饮用水水源二级、一级保护区</w:t>
                  </w:r>
                </w:p>
              </w:tc>
              <w:tc>
                <w:tcPr>
                  <w:tcW w:w="1929" w:type="dxa"/>
                  <w:tcBorders>
                    <w:left w:val="single" w:color="auto" w:sz="4" w:space="0"/>
                    <w:right w:val="single" w:color="auto" w:sz="4" w:space="0"/>
                    <w:tl2br w:val="nil"/>
                    <w:tr2bl w:val="nil"/>
                  </w:tcBorders>
                  <w:vAlign w:val="center"/>
                </w:tcPr>
                <w:p w14:paraId="2339CD9B">
                  <w:pPr>
                    <w:pStyle w:val="63"/>
                    <w:spacing w:before="24" w:after="24"/>
                    <w:rPr>
                      <w:rFonts w:hint="default"/>
                      <w:color w:val="000000" w:themeColor="text1"/>
                      <w:sz w:val="21"/>
                      <w:highlight w:val="none"/>
                      <w:u w:val="wave"/>
                      <w:lang w:val="en-US" w:eastAsia="zh-CN"/>
                      <w14:textFill>
                        <w14:solidFill>
                          <w14:schemeClr w14:val="tx1"/>
                        </w14:solidFill>
                      </w14:textFill>
                    </w:rPr>
                  </w:pPr>
                  <w:r>
                    <w:rPr>
                      <w:rFonts w:hint="default" w:ascii="Times New Roman" w:hAnsi="Times New Roman" w:cs="Times New Roman"/>
                      <w:color w:val="000000" w:themeColor="text1"/>
                      <w:sz w:val="21"/>
                      <w:highlight w:val="none"/>
                      <w:u w:val="wave"/>
                      <w:lang w:val="en-US" w:eastAsia="zh-CN"/>
                      <w14:textFill>
                        <w14:solidFill>
                          <w14:schemeClr w14:val="tx1"/>
                        </w14:solidFill>
                      </w14:textFill>
                    </w:rPr>
                    <w:t>8号风机进场道路</w:t>
                  </w:r>
                  <w:r>
                    <w:rPr>
                      <w:rFonts w:hint="eastAsia" w:ascii="Times New Roman" w:hAnsi="Times New Roman" w:cs="Times New Roman"/>
                      <w:color w:val="000000" w:themeColor="text1"/>
                      <w:sz w:val="21"/>
                      <w:highlight w:val="none"/>
                      <w:u w:val="wave"/>
                      <w:lang w:val="en-US" w:eastAsia="zh-CN"/>
                      <w14:textFill>
                        <w14:solidFill>
                          <w14:schemeClr w14:val="tx1"/>
                        </w14:solidFill>
                      </w14:textFill>
                    </w:rPr>
                    <w:t>东面</w:t>
                  </w:r>
                  <w:r>
                    <w:rPr>
                      <w:rFonts w:hint="default" w:ascii="Times New Roman" w:hAnsi="Times New Roman" w:cs="Times New Roman"/>
                      <w:color w:val="000000" w:themeColor="text1"/>
                      <w:sz w:val="21"/>
                      <w:highlight w:val="none"/>
                      <w:u w:val="wave"/>
                      <w:lang w:val="en-US" w:eastAsia="zh-CN"/>
                      <w14:textFill>
                        <w14:solidFill>
                          <w14:schemeClr w14:val="tx1"/>
                        </w14:solidFill>
                      </w14:textFill>
                    </w:rPr>
                    <w:t>65m</w:t>
                  </w:r>
                  <w:r>
                    <w:rPr>
                      <w:rFonts w:hint="eastAsia" w:ascii="Times New Roman" w:hAnsi="Times New Roman" w:cs="Times New Roman"/>
                      <w:color w:val="000000" w:themeColor="text1"/>
                      <w:sz w:val="21"/>
                      <w:highlight w:val="none"/>
                      <w:u w:val="wave"/>
                      <w:lang w:val="en-US" w:eastAsia="zh-CN"/>
                      <w14:textFill>
                        <w14:solidFill>
                          <w14:schemeClr w14:val="tx1"/>
                        </w14:solidFill>
                      </w14:textFill>
                    </w:rPr>
                    <w:t>，有水力联系（雨水漫流至保护区内）</w:t>
                  </w:r>
                </w:p>
              </w:tc>
              <w:tc>
                <w:tcPr>
                  <w:tcW w:w="865" w:type="dxa"/>
                  <w:vMerge w:val="continue"/>
                  <w:tcBorders>
                    <w:left w:val="single" w:color="auto" w:sz="4" w:space="0"/>
                    <w:right w:val="single" w:color="auto" w:sz="4" w:space="0"/>
                    <w:tl2br w:val="nil"/>
                    <w:tr2bl w:val="nil"/>
                  </w:tcBorders>
                  <w:vAlign w:val="center"/>
                </w:tcPr>
                <w:p w14:paraId="36A5DE83">
                  <w:pPr>
                    <w:pStyle w:val="63"/>
                    <w:spacing w:before="24" w:after="24"/>
                    <w:rPr>
                      <w:rFonts w:hint="default" w:ascii="Times New Roman" w:hAnsi="Times New Roman" w:cs="Times New Roman"/>
                      <w:color w:val="000000" w:themeColor="text1"/>
                      <w:sz w:val="21"/>
                      <w:highlight w:val="none"/>
                      <w:u w:val="none"/>
                      <w14:textFill>
                        <w14:solidFill>
                          <w14:schemeClr w14:val="tx1"/>
                        </w14:solidFill>
                      </w14:textFill>
                    </w:rPr>
                  </w:pPr>
                </w:p>
              </w:tc>
              <w:tc>
                <w:tcPr>
                  <w:tcW w:w="1265" w:type="dxa"/>
                  <w:vMerge w:val="continue"/>
                  <w:tcBorders>
                    <w:left w:val="single" w:color="auto" w:sz="4" w:space="0"/>
                    <w:tl2br w:val="nil"/>
                    <w:tr2bl w:val="nil"/>
                  </w:tcBorders>
                  <w:vAlign w:val="center"/>
                </w:tcPr>
                <w:p w14:paraId="417E9F66">
                  <w:pPr>
                    <w:pStyle w:val="63"/>
                    <w:spacing w:before="24" w:after="24"/>
                    <w:jc w:val="both"/>
                    <w:rPr>
                      <w:rFonts w:hint="eastAsia"/>
                      <w:color w:val="000000" w:themeColor="text1"/>
                      <w:sz w:val="21"/>
                      <w:highlight w:val="none"/>
                      <w:u w:val="none"/>
                      <w:lang w:val="en-US" w:eastAsia="zh-CN"/>
                      <w14:textFill>
                        <w14:solidFill>
                          <w14:schemeClr w14:val="tx1"/>
                        </w14:solidFill>
                      </w14:textFill>
                    </w:rPr>
                  </w:pPr>
                </w:p>
              </w:tc>
            </w:tr>
            <w:tr w14:paraId="37FD10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 w:type="dxa"/>
                  <w:bottom w:w="0" w:type="dxa"/>
                  <w:right w:w="11" w:type="dxa"/>
                </w:tblCellMar>
              </w:tblPrEx>
              <w:trPr>
                <w:cantSplit/>
                <w:trHeight w:val="397" w:hRule="atLeast"/>
                <w:jc w:val="center"/>
              </w:trPr>
              <w:tc>
                <w:tcPr>
                  <w:tcW w:w="565" w:type="dxa"/>
                  <w:vMerge w:val="continue"/>
                  <w:tcBorders>
                    <w:tl2br w:val="nil"/>
                    <w:tr2bl w:val="nil"/>
                  </w:tcBorders>
                  <w:vAlign w:val="center"/>
                </w:tcPr>
                <w:p w14:paraId="6C4F3BA4">
                  <w:pPr>
                    <w:pStyle w:val="63"/>
                    <w:spacing w:before="24" w:after="24"/>
                    <w:rPr>
                      <w:color w:val="000000" w:themeColor="text1"/>
                      <w:sz w:val="21"/>
                      <w:highlight w:val="none"/>
                      <w:u w:val="wave"/>
                      <w14:textFill>
                        <w14:solidFill>
                          <w14:schemeClr w14:val="tx1"/>
                        </w14:solidFill>
                      </w14:textFill>
                    </w:rPr>
                  </w:pPr>
                </w:p>
              </w:tc>
              <w:tc>
                <w:tcPr>
                  <w:tcW w:w="2919" w:type="dxa"/>
                  <w:gridSpan w:val="2"/>
                  <w:tcBorders>
                    <w:right w:val="single" w:color="auto" w:sz="4" w:space="0"/>
                    <w:tl2br w:val="nil"/>
                    <w:tr2bl w:val="nil"/>
                  </w:tcBorders>
                  <w:vAlign w:val="center"/>
                </w:tcPr>
                <w:p w14:paraId="761353F1">
                  <w:pPr>
                    <w:pStyle w:val="63"/>
                    <w:spacing w:before="24" w:after="24"/>
                    <w:rPr>
                      <w:rFonts w:hint="default"/>
                      <w:color w:val="000000" w:themeColor="text1"/>
                      <w:sz w:val="21"/>
                      <w:highlight w:val="none"/>
                      <w:u w:val="wave"/>
                      <w:lang w:val="en-US" w:eastAsia="zh-CN"/>
                      <w14:textFill>
                        <w14:solidFill>
                          <w14:schemeClr w14:val="tx1"/>
                        </w14:solidFill>
                      </w14:textFill>
                    </w:rPr>
                  </w:pPr>
                  <w:r>
                    <w:rPr>
                      <w:rFonts w:hint="eastAsia"/>
                      <w:color w:val="000000" w:themeColor="text1"/>
                      <w:sz w:val="21"/>
                      <w:highlight w:val="none"/>
                      <w:u w:val="wave"/>
                      <w:lang w:val="en-US" w:eastAsia="zh-CN"/>
                      <w14:textFill>
                        <w14:solidFill>
                          <w14:schemeClr w14:val="tx1"/>
                        </w14:solidFill>
                      </w14:textFill>
                    </w:rPr>
                    <w:t>双江镇琵琶村山溪水饮用水水源二级、一级保护区</w:t>
                  </w:r>
                </w:p>
              </w:tc>
              <w:tc>
                <w:tcPr>
                  <w:tcW w:w="1929" w:type="dxa"/>
                  <w:tcBorders>
                    <w:left w:val="single" w:color="auto" w:sz="4" w:space="0"/>
                    <w:right w:val="single" w:color="auto" w:sz="4" w:space="0"/>
                    <w:tl2br w:val="nil"/>
                    <w:tr2bl w:val="nil"/>
                  </w:tcBorders>
                  <w:vAlign w:val="center"/>
                </w:tcPr>
                <w:p w14:paraId="5335CA34">
                  <w:pPr>
                    <w:pStyle w:val="63"/>
                    <w:spacing w:before="24" w:after="24"/>
                    <w:rPr>
                      <w:rFonts w:hint="default" w:ascii="Times New Roman" w:hAnsi="Times New Roman" w:cs="Times New Roman"/>
                      <w:color w:val="000000" w:themeColor="text1"/>
                      <w:sz w:val="21"/>
                      <w:highlight w:val="none"/>
                      <w:u w:val="wave"/>
                      <w:lang w:val="en-US" w:eastAsia="zh-CN"/>
                      <w14:textFill>
                        <w14:solidFill>
                          <w14:schemeClr w14:val="tx1"/>
                        </w14:solidFill>
                      </w14:textFill>
                    </w:rPr>
                  </w:pPr>
                  <w:r>
                    <w:rPr>
                      <w:rFonts w:hint="eastAsia" w:ascii="Times New Roman" w:hAnsi="Times New Roman" w:cs="Times New Roman"/>
                      <w:color w:val="000000" w:themeColor="text1"/>
                      <w:sz w:val="21"/>
                      <w:highlight w:val="none"/>
                      <w:u w:val="wave"/>
                      <w:lang w:val="en-US" w:eastAsia="zh-CN"/>
                      <w14:textFill>
                        <w14:solidFill>
                          <w14:schemeClr w14:val="tx1"/>
                        </w14:solidFill>
                      </w14:textFill>
                    </w:rPr>
                    <w:t>升压站北面280m，有水力联系（雨水漫流至保护区内）</w:t>
                  </w:r>
                </w:p>
              </w:tc>
              <w:tc>
                <w:tcPr>
                  <w:tcW w:w="865" w:type="dxa"/>
                  <w:vMerge w:val="continue"/>
                  <w:tcBorders>
                    <w:left w:val="single" w:color="auto" w:sz="4" w:space="0"/>
                    <w:right w:val="single" w:color="auto" w:sz="4" w:space="0"/>
                    <w:tl2br w:val="nil"/>
                    <w:tr2bl w:val="nil"/>
                  </w:tcBorders>
                  <w:vAlign w:val="center"/>
                </w:tcPr>
                <w:p w14:paraId="60A1EEDB">
                  <w:pPr>
                    <w:pStyle w:val="63"/>
                    <w:spacing w:before="24" w:after="24"/>
                    <w:rPr>
                      <w:rFonts w:hint="default" w:ascii="Times New Roman" w:hAnsi="Times New Roman" w:cs="Times New Roman"/>
                      <w:color w:val="000000" w:themeColor="text1"/>
                      <w:sz w:val="21"/>
                      <w:highlight w:val="none"/>
                      <w:u w:val="none"/>
                      <w14:textFill>
                        <w14:solidFill>
                          <w14:schemeClr w14:val="tx1"/>
                        </w14:solidFill>
                      </w14:textFill>
                    </w:rPr>
                  </w:pPr>
                </w:p>
              </w:tc>
              <w:tc>
                <w:tcPr>
                  <w:tcW w:w="1265" w:type="dxa"/>
                  <w:vMerge w:val="continue"/>
                  <w:tcBorders>
                    <w:left w:val="single" w:color="auto" w:sz="4" w:space="0"/>
                    <w:tl2br w:val="nil"/>
                    <w:tr2bl w:val="nil"/>
                  </w:tcBorders>
                  <w:vAlign w:val="center"/>
                </w:tcPr>
                <w:p w14:paraId="7A5B4D6F">
                  <w:pPr>
                    <w:pStyle w:val="63"/>
                    <w:spacing w:before="24" w:after="24"/>
                    <w:jc w:val="both"/>
                    <w:rPr>
                      <w:rFonts w:hint="eastAsia"/>
                      <w:color w:val="000000" w:themeColor="text1"/>
                      <w:sz w:val="21"/>
                      <w:highlight w:val="none"/>
                      <w:u w:val="none"/>
                      <w:lang w:val="en-US" w:eastAsia="zh-CN"/>
                      <w14:textFill>
                        <w14:solidFill>
                          <w14:schemeClr w14:val="tx1"/>
                        </w14:solidFill>
                      </w14:textFill>
                    </w:rPr>
                  </w:pPr>
                </w:p>
              </w:tc>
            </w:tr>
            <w:tr w14:paraId="4351C3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 w:type="dxa"/>
                  <w:bottom w:w="0" w:type="dxa"/>
                  <w:right w:w="11" w:type="dxa"/>
                </w:tblCellMar>
              </w:tblPrEx>
              <w:trPr>
                <w:cantSplit/>
                <w:trHeight w:val="397" w:hRule="atLeast"/>
                <w:jc w:val="center"/>
              </w:trPr>
              <w:tc>
                <w:tcPr>
                  <w:tcW w:w="565" w:type="dxa"/>
                  <w:vMerge w:val="continue"/>
                  <w:tcBorders>
                    <w:tl2br w:val="nil"/>
                    <w:tr2bl w:val="nil"/>
                  </w:tcBorders>
                  <w:vAlign w:val="center"/>
                </w:tcPr>
                <w:p w14:paraId="7FDCA9A7">
                  <w:pPr>
                    <w:pStyle w:val="63"/>
                    <w:spacing w:before="24" w:after="24"/>
                    <w:rPr>
                      <w:color w:val="000000" w:themeColor="text1"/>
                      <w:sz w:val="21"/>
                      <w:highlight w:val="none"/>
                      <w:u w:val="wave"/>
                      <w14:textFill>
                        <w14:solidFill>
                          <w14:schemeClr w14:val="tx1"/>
                        </w14:solidFill>
                      </w14:textFill>
                    </w:rPr>
                  </w:pPr>
                </w:p>
              </w:tc>
              <w:tc>
                <w:tcPr>
                  <w:tcW w:w="2919" w:type="dxa"/>
                  <w:gridSpan w:val="2"/>
                  <w:tcBorders>
                    <w:right w:val="single" w:color="auto" w:sz="4" w:space="0"/>
                    <w:tl2br w:val="nil"/>
                    <w:tr2bl w:val="nil"/>
                  </w:tcBorders>
                  <w:vAlign w:val="center"/>
                </w:tcPr>
                <w:p w14:paraId="246F5941">
                  <w:pPr>
                    <w:pStyle w:val="63"/>
                    <w:spacing w:before="24" w:after="24"/>
                    <w:rPr>
                      <w:rFonts w:hint="default"/>
                      <w:color w:val="000000" w:themeColor="text1"/>
                      <w:sz w:val="21"/>
                      <w:highlight w:val="none"/>
                      <w:u w:val="wave"/>
                      <w:lang w:val="en-US" w:eastAsia="zh-CN"/>
                      <w14:textFill>
                        <w14:solidFill>
                          <w14:schemeClr w14:val="tx1"/>
                        </w14:solidFill>
                      </w14:textFill>
                    </w:rPr>
                  </w:pPr>
                  <w:r>
                    <w:rPr>
                      <w:rFonts w:hint="eastAsia"/>
                      <w:color w:val="000000" w:themeColor="text1"/>
                      <w:sz w:val="21"/>
                      <w:highlight w:val="none"/>
                      <w:u w:val="wave"/>
                      <w:lang w:val="en-US" w:eastAsia="zh-CN"/>
                      <w14:textFill>
                        <w14:solidFill>
                          <w14:schemeClr w14:val="tx1"/>
                        </w14:solidFill>
                      </w14:textFill>
                    </w:rPr>
                    <w:t>牙屯堡镇金殿村山溪水饮用水水源二级、一级保护区</w:t>
                  </w:r>
                </w:p>
              </w:tc>
              <w:tc>
                <w:tcPr>
                  <w:tcW w:w="1929" w:type="dxa"/>
                  <w:tcBorders>
                    <w:left w:val="single" w:color="auto" w:sz="4" w:space="0"/>
                    <w:right w:val="single" w:color="auto" w:sz="4" w:space="0"/>
                    <w:tl2br w:val="nil"/>
                    <w:tr2bl w:val="nil"/>
                  </w:tcBorders>
                  <w:vAlign w:val="center"/>
                </w:tcPr>
                <w:p w14:paraId="24634D48">
                  <w:pPr>
                    <w:pStyle w:val="63"/>
                    <w:spacing w:before="24" w:after="24"/>
                    <w:rPr>
                      <w:rFonts w:hint="default" w:ascii="Times New Roman" w:hAnsi="Times New Roman" w:cs="Times New Roman"/>
                      <w:color w:val="000000" w:themeColor="text1"/>
                      <w:sz w:val="21"/>
                      <w:highlight w:val="none"/>
                      <w:u w:val="wave"/>
                      <w:lang w:val="en-US" w:eastAsia="zh-CN"/>
                      <w14:textFill>
                        <w14:solidFill>
                          <w14:schemeClr w14:val="tx1"/>
                        </w14:solidFill>
                      </w14:textFill>
                    </w:rPr>
                  </w:pPr>
                  <w:r>
                    <w:rPr>
                      <w:rFonts w:hint="eastAsia" w:ascii="Times New Roman" w:hAnsi="Times New Roman" w:cs="Times New Roman"/>
                      <w:color w:val="000000" w:themeColor="text1"/>
                      <w:sz w:val="21"/>
                      <w:highlight w:val="none"/>
                      <w:u w:val="wave"/>
                      <w:lang w:val="en-US" w:eastAsia="zh-CN"/>
                      <w14:textFill>
                        <w14:solidFill>
                          <w14:schemeClr w14:val="tx1"/>
                        </w14:solidFill>
                      </w14:textFill>
                    </w:rPr>
                    <w:t>与</w:t>
                  </w:r>
                  <w:r>
                    <w:rPr>
                      <w:rFonts w:hint="default" w:ascii="Times New Roman" w:hAnsi="Times New Roman" w:cs="Times New Roman"/>
                      <w:color w:val="000000" w:themeColor="text1"/>
                      <w:sz w:val="21"/>
                      <w:highlight w:val="none"/>
                      <w:u w:val="wave"/>
                      <w:lang w:val="en-US" w:eastAsia="zh-CN"/>
                      <w14:textFill>
                        <w14:solidFill>
                          <w14:schemeClr w14:val="tx1"/>
                        </w14:solidFill>
                      </w14:textFill>
                    </w:rPr>
                    <w:t>8号风机进场道路</w:t>
                  </w:r>
                  <w:r>
                    <w:rPr>
                      <w:rFonts w:hint="eastAsia" w:ascii="Times New Roman" w:hAnsi="Times New Roman" w:cs="Times New Roman"/>
                      <w:color w:val="000000" w:themeColor="text1"/>
                      <w:sz w:val="21"/>
                      <w:highlight w:val="none"/>
                      <w:u w:val="wave"/>
                      <w:lang w:val="en-US" w:eastAsia="zh-CN"/>
                      <w14:textFill>
                        <w14:solidFill>
                          <w14:schemeClr w14:val="tx1"/>
                        </w14:solidFill>
                      </w14:textFill>
                    </w:rPr>
                    <w:t>相临，有水力联系（雨水漫流至保护区内）</w:t>
                  </w:r>
                </w:p>
              </w:tc>
              <w:tc>
                <w:tcPr>
                  <w:tcW w:w="865" w:type="dxa"/>
                  <w:vMerge w:val="continue"/>
                  <w:tcBorders>
                    <w:left w:val="single" w:color="auto" w:sz="4" w:space="0"/>
                    <w:right w:val="single" w:color="auto" w:sz="4" w:space="0"/>
                    <w:tl2br w:val="nil"/>
                    <w:tr2bl w:val="nil"/>
                  </w:tcBorders>
                  <w:vAlign w:val="center"/>
                </w:tcPr>
                <w:p w14:paraId="424741F6">
                  <w:pPr>
                    <w:pStyle w:val="63"/>
                    <w:spacing w:before="24" w:after="24"/>
                    <w:rPr>
                      <w:rFonts w:hint="default" w:ascii="Times New Roman" w:hAnsi="Times New Roman" w:cs="Times New Roman"/>
                      <w:color w:val="000000" w:themeColor="text1"/>
                      <w:sz w:val="21"/>
                      <w:highlight w:val="none"/>
                      <w:u w:val="none"/>
                      <w14:textFill>
                        <w14:solidFill>
                          <w14:schemeClr w14:val="tx1"/>
                        </w14:solidFill>
                      </w14:textFill>
                    </w:rPr>
                  </w:pPr>
                </w:p>
              </w:tc>
              <w:tc>
                <w:tcPr>
                  <w:tcW w:w="1265" w:type="dxa"/>
                  <w:vMerge w:val="continue"/>
                  <w:tcBorders>
                    <w:left w:val="single" w:color="auto" w:sz="4" w:space="0"/>
                    <w:tl2br w:val="nil"/>
                    <w:tr2bl w:val="nil"/>
                  </w:tcBorders>
                  <w:vAlign w:val="center"/>
                </w:tcPr>
                <w:p w14:paraId="46CE15D2">
                  <w:pPr>
                    <w:pStyle w:val="63"/>
                    <w:spacing w:before="24" w:after="24"/>
                    <w:jc w:val="both"/>
                    <w:rPr>
                      <w:rFonts w:hint="eastAsia"/>
                      <w:color w:val="000000" w:themeColor="text1"/>
                      <w:sz w:val="21"/>
                      <w:highlight w:val="none"/>
                      <w:u w:val="none"/>
                      <w:lang w:val="en-US" w:eastAsia="zh-CN"/>
                      <w14:textFill>
                        <w14:solidFill>
                          <w14:schemeClr w14:val="tx1"/>
                        </w14:solidFill>
                      </w14:textFill>
                    </w:rPr>
                  </w:pPr>
                </w:p>
              </w:tc>
            </w:tr>
            <w:tr w14:paraId="66E27B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 w:type="dxa"/>
                  <w:bottom w:w="0" w:type="dxa"/>
                  <w:right w:w="11" w:type="dxa"/>
                </w:tblCellMar>
              </w:tblPrEx>
              <w:trPr>
                <w:cantSplit/>
                <w:trHeight w:val="397" w:hRule="atLeast"/>
                <w:jc w:val="center"/>
              </w:trPr>
              <w:tc>
                <w:tcPr>
                  <w:tcW w:w="565" w:type="dxa"/>
                  <w:tcBorders>
                    <w:tl2br w:val="nil"/>
                    <w:tr2bl w:val="nil"/>
                  </w:tcBorders>
                  <w:vAlign w:val="center"/>
                </w:tcPr>
                <w:p w14:paraId="692D0AEE">
                  <w:pPr>
                    <w:pStyle w:val="63"/>
                    <w:spacing w:before="24" w:after="24"/>
                    <w:rPr>
                      <w:rFonts w:hint="eastAsia" w:eastAsia="宋体"/>
                      <w:color w:val="000000" w:themeColor="text1"/>
                      <w:sz w:val="21"/>
                      <w:highlight w:val="none"/>
                      <w:u w:val="none"/>
                      <w:lang w:val="en-US" w:eastAsia="zh-CN"/>
                      <w14:textFill>
                        <w14:solidFill>
                          <w14:schemeClr w14:val="tx1"/>
                        </w14:solidFill>
                      </w14:textFill>
                    </w:rPr>
                  </w:pPr>
                  <w:r>
                    <w:rPr>
                      <w:rFonts w:hint="eastAsia"/>
                      <w:color w:val="000000" w:themeColor="text1"/>
                      <w:sz w:val="21"/>
                      <w:highlight w:val="none"/>
                      <w:u w:val="none"/>
                      <w:lang w:val="en-US" w:eastAsia="zh-CN"/>
                      <w14:textFill>
                        <w14:solidFill>
                          <w14:schemeClr w14:val="tx1"/>
                        </w14:solidFill>
                      </w14:textFill>
                    </w:rPr>
                    <w:t>社会环境</w:t>
                  </w:r>
                </w:p>
              </w:tc>
              <w:tc>
                <w:tcPr>
                  <w:tcW w:w="790" w:type="dxa"/>
                  <w:tcBorders>
                    <w:tl2br w:val="nil"/>
                    <w:tr2bl w:val="nil"/>
                  </w:tcBorders>
                  <w:vAlign w:val="center"/>
                </w:tcPr>
                <w:p w14:paraId="6EBF1D3A">
                  <w:pPr>
                    <w:pStyle w:val="63"/>
                    <w:spacing w:before="24" w:after="24"/>
                    <w:rPr>
                      <w:rFonts w:hint="default" w:ascii="Times New Roman" w:hAnsi="Times New Roman" w:cs="Times New Roman"/>
                      <w:color w:val="000000" w:themeColor="text1"/>
                      <w:sz w:val="21"/>
                      <w:highlight w:val="none"/>
                      <w:u w:val="none"/>
                      <w14:textFill>
                        <w14:solidFill>
                          <w14:schemeClr w14:val="tx1"/>
                        </w14:solidFill>
                      </w14:textFill>
                    </w:rPr>
                  </w:pPr>
                  <w:r>
                    <w:rPr>
                      <w:rFonts w:hint="default" w:ascii="Times New Roman" w:hAnsi="Times New Roman" w:cs="Times New Roman"/>
                      <w:color w:val="000000" w:themeColor="text1"/>
                      <w:sz w:val="21"/>
                      <w:highlight w:val="none"/>
                      <w:u w:val="none"/>
                      <w14:textFill>
                        <w14:solidFill>
                          <w14:schemeClr w14:val="tx1"/>
                        </w14:solidFill>
                      </w14:textFill>
                    </w:rPr>
                    <w:t>附近乡村道路</w:t>
                  </w:r>
                </w:p>
              </w:tc>
              <w:tc>
                <w:tcPr>
                  <w:tcW w:w="2129" w:type="dxa"/>
                  <w:tcBorders>
                    <w:tl2br w:val="nil"/>
                    <w:tr2bl w:val="nil"/>
                  </w:tcBorders>
                  <w:vAlign w:val="center"/>
                </w:tcPr>
                <w:p w14:paraId="6952A109">
                  <w:pPr>
                    <w:pStyle w:val="63"/>
                    <w:spacing w:before="24" w:after="24"/>
                    <w:rPr>
                      <w:rFonts w:hint="default" w:ascii="Times New Roman" w:hAnsi="Times New Roman" w:cs="Times New Roman"/>
                      <w:color w:val="000000" w:themeColor="text1"/>
                      <w:sz w:val="21"/>
                      <w:highlight w:val="none"/>
                      <w:u w:val="none"/>
                      <w14:textFill>
                        <w14:solidFill>
                          <w14:schemeClr w14:val="tx1"/>
                        </w14:solidFill>
                      </w14:textFill>
                    </w:rPr>
                  </w:pPr>
                  <w:r>
                    <w:rPr>
                      <w:rFonts w:hint="default" w:ascii="Times New Roman" w:hAnsi="Times New Roman" w:cs="Times New Roman"/>
                      <w:color w:val="000000" w:themeColor="text1"/>
                      <w:sz w:val="21"/>
                      <w:highlight w:val="none"/>
                      <w:u w:val="none"/>
                      <w14:textFill>
                        <w14:solidFill>
                          <w14:schemeClr w14:val="tx1"/>
                        </w14:solidFill>
                      </w14:textFill>
                    </w:rPr>
                    <w:t>宽4.5m，混凝土路面</w:t>
                  </w:r>
                </w:p>
              </w:tc>
              <w:tc>
                <w:tcPr>
                  <w:tcW w:w="1929" w:type="dxa"/>
                  <w:tcBorders>
                    <w:tl2br w:val="nil"/>
                    <w:tr2bl w:val="nil"/>
                  </w:tcBorders>
                  <w:vAlign w:val="center"/>
                </w:tcPr>
                <w:p w14:paraId="561EB702">
                  <w:pPr>
                    <w:pStyle w:val="63"/>
                    <w:spacing w:before="24" w:after="24"/>
                    <w:rPr>
                      <w:rFonts w:hint="default" w:ascii="Times New Roman" w:hAnsi="Times New Roman" w:cs="Times New Roman"/>
                      <w:color w:val="000000" w:themeColor="text1"/>
                      <w:sz w:val="21"/>
                      <w:highlight w:val="none"/>
                      <w:u w:val="none"/>
                      <w14:textFill>
                        <w14:solidFill>
                          <w14:schemeClr w14:val="tx1"/>
                        </w14:solidFill>
                      </w14:textFill>
                    </w:rPr>
                  </w:pPr>
                  <w:r>
                    <w:rPr>
                      <w:rFonts w:hint="default" w:ascii="Times New Roman" w:hAnsi="Times New Roman" w:cs="Times New Roman"/>
                      <w:color w:val="000000" w:themeColor="text1"/>
                      <w:sz w:val="21"/>
                      <w:highlight w:val="none"/>
                      <w:u w:val="none"/>
                      <w14:textFill>
                        <w14:solidFill>
                          <w14:schemeClr w14:val="tx1"/>
                        </w14:solidFill>
                      </w14:textFill>
                    </w:rPr>
                    <w:t>通向各风机点</w:t>
                  </w:r>
                </w:p>
              </w:tc>
              <w:tc>
                <w:tcPr>
                  <w:tcW w:w="865" w:type="dxa"/>
                  <w:tcBorders>
                    <w:tl2br w:val="nil"/>
                    <w:tr2bl w:val="nil"/>
                  </w:tcBorders>
                  <w:vAlign w:val="center"/>
                </w:tcPr>
                <w:p w14:paraId="71EF4E8C">
                  <w:pPr>
                    <w:pStyle w:val="63"/>
                    <w:spacing w:before="24" w:after="24"/>
                    <w:rPr>
                      <w:rFonts w:hint="default" w:ascii="Times New Roman" w:hAnsi="Times New Roman" w:cs="Times New Roman"/>
                      <w:color w:val="000000" w:themeColor="text1"/>
                      <w:sz w:val="21"/>
                      <w:highlight w:val="none"/>
                      <w:u w:val="none"/>
                      <w14:textFill>
                        <w14:solidFill>
                          <w14:schemeClr w14:val="tx1"/>
                        </w14:solidFill>
                      </w14:textFill>
                    </w:rPr>
                  </w:pPr>
                  <w:r>
                    <w:rPr>
                      <w:rFonts w:hint="default" w:ascii="Times New Roman" w:hAnsi="Times New Roman" w:cs="Times New Roman"/>
                      <w:color w:val="000000" w:themeColor="text1"/>
                      <w:sz w:val="21"/>
                      <w:highlight w:val="none"/>
                      <w:u w:val="none"/>
                      <w14:textFill>
                        <w14:solidFill>
                          <w14:schemeClr w14:val="tx1"/>
                        </w14:solidFill>
                      </w14:textFill>
                    </w:rPr>
                    <w:t>施工期</w:t>
                  </w:r>
                </w:p>
              </w:tc>
              <w:tc>
                <w:tcPr>
                  <w:tcW w:w="1265" w:type="dxa"/>
                  <w:tcBorders>
                    <w:tl2br w:val="nil"/>
                    <w:tr2bl w:val="nil"/>
                  </w:tcBorders>
                  <w:vAlign w:val="center"/>
                </w:tcPr>
                <w:p w14:paraId="0DF23E87">
                  <w:pPr>
                    <w:pStyle w:val="63"/>
                    <w:spacing w:before="24" w:after="24"/>
                    <w:rPr>
                      <w:color w:val="000000" w:themeColor="text1"/>
                      <w:sz w:val="21"/>
                      <w:highlight w:val="none"/>
                      <w:u w:val="none"/>
                      <w14:textFill>
                        <w14:solidFill>
                          <w14:schemeClr w14:val="tx1"/>
                        </w14:solidFill>
                      </w14:textFill>
                    </w:rPr>
                  </w:pPr>
                  <w:r>
                    <w:rPr>
                      <w:color w:val="000000" w:themeColor="text1"/>
                      <w:sz w:val="21"/>
                      <w:highlight w:val="none"/>
                      <w:u w:val="none"/>
                      <w14:textFill>
                        <w14:solidFill>
                          <w14:schemeClr w14:val="tx1"/>
                        </w14:solidFill>
                      </w14:textFill>
                    </w:rPr>
                    <w:t>维护道路设施不受损坏</w:t>
                  </w:r>
                </w:p>
              </w:tc>
            </w:tr>
          </w:tbl>
          <w:p w14:paraId="2E6D5423">
            <w:pPr>
              <w:pStyle w:val="89"/>
              <w:ind w:firstLine="2108" w:firstLineChars="1000"/>
              <w:jc w:val="both"/>
              <w:rPr>
                <w:color w:val="FF0000"/>
                <w:highlight w:val="none"/>
                <w:u w:val="none"/>
              </w:rPr>
            </w:pPr>
          </w:p>
          <w:p w14:paraId="58519A00">
            <w:pPr>
              <w:pStyle w:val="89"/>
              <w:spacing w:line="240" w:lineRule="auto"/>
              <w:ind w:firstLine="2319" w:firstLineChars="1100"/>
              <w:jc w:val="both"/>
              <w:rPr>
                <w:color w:val="0D0D0D" w:themeColor="text1" w:themeTint="F2"/>
                <w:highlight w:val="none"/>
                <w:u w:val="none"/>
                <w14:textFill>
                  <w14:solidFill>
                    <w14:schemeClr w14:val="tx1">
                      <w14:lumMod w14:val="95000"/>
                      <w14:lumOff w14:val="5000"/>
                    </w14:schemeClr>
                  </w14:solidFill>
                </w14:textFill>
              </w:rPr>
            </w:pPr>
          </w:p>
          <w:p w14:paraId="4A2808C2">
            <w:pPr>
              <w:pStyle w:val="89"/>
              <w:spacing w:line="240" w:lineRule="auto"/>
              <w:ind w:firstLine="2319" w:firstLineChars="1100"/>
              <w:jc w:val="both"/>
              <w:rPr>
                <w:rFonts w:hint="default" w:eastAsia="宋体"/>
                <w:color w:val="0D0D0D" w:themeColor="text1" w:themeTint="F2"/>
                <w:highlight w:val="none"/>
                <w:u w:val="none"/>
                <w:lang w:val="en-US" w:eastAsia="zh-CN"/>
                <w14:textFill>
                  <w14:solidFill>
                    <w14:schemeClr w14:val="tx1">
                      <w14:lumMod w14:val="95000"/>
                      <w14:lumOff w14:val="5000"/>
                    </w14:schemeClr>
                  </w14:solidFill>
                </w14:textFill>
              </w:rPr>
            </w:pPr>
            <w:r>
              <w:rPr>
                <w:color w:val="0D0D0D" w:themeColor="text1" w:themeTint="F2"/>
                <w:highlight w:val="none"/>
                <w:u w:val="none"/>
                <w14:textFill>
                  <w14:solidFill>
                    <w14:schemeClr w14:val="tx1">
                      <w14:lumMod w14:val="95000"/>
                      <w14:lumOff w14:val="5000"/>
                    </w14:schemeClr>
                  </w14:solidFill>
                </w14:textFill>
              </w:rPr>
              <w:t>表</w:t>
            </w:r>
            <w:r>
              <w:rPr>
                <w:rFonts w:hint="eastAsia"/>
                <w:color w:val="0D0D0D" w:themeColor="text1" w:themeTint="F2"/>
                <w:highlight w:val="none"/>
                <w:u w:val="none"/>
                <w14:textFill>
                  <w14:solidFill>
                    <w14:schemeClr w14:val="tx1">
                      <w14:lumMod w14:val="95000"/>
                      <w14:lumOff w14:val="5000"/>
                    </w14:schemeClr>
                  </w14:solidFill>
                </w14:textFill>
              </w:rPr>
              <w:t>3-7</w:t>
            </w:r>
            <w:r>
              <w:rPr>
                <w:color w:val="0D0D0D" w:themeColor="text1" w:themeTint="F2"/>
                <w:highlight w:val="none"/>
                <w:u w:val="none"/>
                <w14:textFill>
                  <w14:solidFill>
                    <w14:schemeClr w14:val="tx1">
                      <w14:lumMod w14:val="95000"/>
                      <w14:lumOff w14:val="5000"/>
                    </w14:schemeClr>
                  </w14:solidFill>
                </w14:textFill>
              </w:rPr>
              <w:t xml:space="preserve"> 项目</w:t>
            </w:r>
            <w:r>
              <w:rPr>
                <w:rFonts w:hint="eastAsia"/>
                <w:color w:val="0D0D0D" w:themeColor="text1" w:themeTint="F2"/>
                <w:highlight w:val="none"/>
                <w:u w:val="none"/>
                <w:lang w:val="en-US" w:eastAsia="zh-CN"/>
                <w14:textFill>
                  <w14:solidFill>
                    <w14:schemeClr w14:val="tx1">
                      <w14:lumMod w14:val="95000"/>
                      <w14:lumOff w14:val="5000"/>
                    </w14:schemeClr>
                  </w14:solidFill>
                </w14:textFill>
              </w:rPr>
              <w:t>风机</w:t>
            </w:r>
            <w:r>
              <w:rPr>
                <w:color w:val="0D0D0D" w:themeColor="text1" w:themeTint="F2"/>
                <w:highlight w:val="none"/>
                <w:u w:val="none"/>
                <w14:textFill>
                  <w14:solidFill>
                    <w14:schemeClr w14:val="tx1">
                      <w14:lumMod w14:val="95000"/>
                      <w14:lumOff w14:val="5000"/>
                    </w14:schemeClr>
                  </w14:solidFill>
                </w14:textFill>
              </w:rPr>
              <w:t>大气和声环境保护目标一览表</w:t>
            </w:r>
          </w:p>
          <w:tbl>
            <w:tblPr>
              <w:tblStyle w:val="26"/>
              <w:tblW w:w="756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1" w:type="dxa"/>
                <w:bottom w:w="0" w:type="dxa"/>
                <w:right w:w="11" w:type="dxa"/>
              </w:tblCellMar>
            </w:tblPr>
            <w:tblGrid>
              <w:gridCol w:w="233"/>
              <w:gridCol w:w="592"/>
              <w:gridCol w:w="1432"/>
              <w:gridCol w:w="1342"/>
              <w:gridCol w:w="886"/>
              <w:gridCol w:w="704"/>
              <w:gridCol w:w="679"/>
              <w:gridCol w:w="713"/>
              <w:gridCol w:w="987"/>
            </w:tblGrid>
            <w:tr w14:paraId="6D3886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 w:type="dxa"/>
                  <w:bottom w:w="0" w:type="dxa"/>
                  <w:right w:w="11" w:type="dxa"/>
                </w:tblCellMar>
              </w:tblPrEx>
              <w:trPr>
                <w:jc w:val="center"/>
              </w:trPr>
              <w:tc>
                <w:tcPr>
                  <w:tcW w:w="208" w:type="dxa"/>
                  <w:vMerge w:val="restart"/>
                  <w:tcBorders>
                    <w:tl2br w:val="nil"/>
                    <w:tr2bl w:val="nil"/>
                  </w:tcBorders>
                  <w:vAlign w:val="center"/>
                </w:tcPr>
                <w:p w14:paraId="5596ADCD">
                  <w:pPr>
                    <w:pStyle w:val="63"/>
                    <w:spacing w:before="24" w:after="24"/>
                    <w:rPr>
                      <w:rFonts w:ascii="Times New Roman" w:hAnsi="Times New Roman"/>
                      <w:b/>
                      <w:bCs/>
                      <w:color w:val="0D0D0D" w:themeColor="text1" w:themeTint="F2"/>
                      <w:sz w:val="21"/>
                      <w:highlight w:val="none"/>
                      <w:u w:val="none"/>
                      <w14:textFill>
                        <w14:solidFill>
                          <w14:schemeClr w14:val="tx1">
                            <w14:lumMod w14:val="95000"/>
                            <w14:lumOff w14:val="5000"/>
                          </w14:schemeClr>
                        </w14:solidFill>
                      </w14:textFill>
                    </w:rPr>
                  </w:pPr>
                  <w:bookmarkStart w:id="75" w:name="_Hlk28809393"/>
                  <w:r>
                    <w:rPr>
                      <w:rFonts w:ascii="Times New Roman" w:hAnsi="Times New Roman"/>
                      <w:b/>
                      <w:bCs/>
                      <w:color w:val="0D0D0D" w:themeColor="text1" w:themeTint="F2"/>
                      <w:sz w:val="21"/>
                      <w:highlight w:val="none"/>
                      <w:u w:val="none"/>
                      <w14:textFill>
                        <w14:solidFill>
                          <w14:schemeClr w14:val="tx1">
                            <w14:lumMod w14:val="95000"/>
                            <w14:lumOff w14:val="5000"/>
                          </w14:schemeClr>
                        </w14:solidFill>
                      </w14:textFill>
                    </w:rPr>
                    <w:t>序号</w:t>
                  </w:r>
                </w:p>
              </w:tc>
              <w:tc>
                <w:tcPr>
                  <w:tcW w:w="618" w:type="dxa"/>
                  <w:vMerge w:val="restart"/>
                  <w:tcBorders>
                    <w:tl2br w:val="nil"/>
                    <w:tr2bl w:val="nil"/>
                  </w:tcBorders>
                  <w:vAlign w:val="center"/>
                </w:tcPr>
                <w:p w14:paraId="64E32AA2">
                  <w:pPr>
                    <w:pStyle w:val="63"/>
                    <w:spacing w:before="24" w:after="24"/>
                    <w:rPr>
                      <w:rFonts w:ascii="Times New Roman" w:hAnsi="Times New Roman"/>
                      <w:b/>
                      <w:bCs/>
                      <w:color w:val="0D0D0D" w:themeColor="text1" w:themeTint="F2"/>
                      <w:sz w:val="21"/>
                      <w:highlight w:val="none"/>
                      <w:u w:val="none"/>
                      <w14:textFill>
                        <w14:solidFill>
                          <w14:schemeClr w14:val="tx1">
                            <w14:lumMod w14:val="95000"/>
                            <w14:lumOff w14:val="5000"/>
                          </w14:schemeClr>
                        </w14:solidFill>
                      </w14:textFill>
                    </w:rPr>
                  </w:pPr>
                  <w:r>
                    <w:rPr>
                      <w:rFonts w:ascii="Times New Roman" w:hAnsi="Times New Roman"/>
                      <w:b/>
                      <w:bCs/>
                      <w:color w:val="0D0D0D" w:themeColor="text1" w:themeTint="F2"/>
                      <w:sz w:val="21"/>
                      <w:highlight w:val="none"/>
                      <w:u w:val="none"/>
                      <w14:textFill>
                        <w14:solidFill>
                          <w14:schemeClr w14:val="tx1">
                            <w14:lumMod w14:val="95000"/>
                            <w14:lumOff w14:val="5000"/>
                          </w14:schemeClr>
                        </w14:solidFill>
                      </w14:textFill>
                    </w:rPr>
                    <w:t>敏感点名称</w:t>
                  </w:r>
                </w:p>
              </w:tc>
              <w:tc>
                <w:tcPr>
                  <w:tcW w:w="2788" w:type="dxa"/>
                  <w:gridSpan w:val="2"/>
                  <w:tcBorders>
                    <w:tl2br w:val="nil"/>
                    <w:tr2bl w:val="nil"/>
                  </w:tcBorders>
                  <w:vAlign w:val="center"/>
                </w:tcPr>
                <w:p w14:paraId="24027793">
                  <w:pPr>
                    <w:pStyle w:val="63"/>
                    <w:spacing w:before="24" w:after="24"/>
                    <w:rPr>
                      <w:rFonts w:ascii="Times New Roman" w:hAnsi="Times New Roman"/>
                      <w:b/>
                      <w:bCs/>
                      <w:color w:val="0D0D0D" w:themeColor="text1" w:themeTint="F2"/>
                      <w:sz w:val="21"/>
                      <w:highlight w:val="none"/>
                      <w:u w:val="none"/>
                      <w14:textFill>
                        <w14:solidFill>
                          <w14:schemeClr w14:val="tx1">
                            <w14:lumMod w14:val="95000"/>
                            <w14:lumOff w14:val="5000"/>
                          </w14:schemeClr>
                        </w14:solidFill>
                      </w14:textFill>
                    </w:rPr>
                  </w:pPr>
                  <w:r>
                    <w:rPr>
                      <w:rFonts w:ascii="Times New Roman" w:hAnsi="Times New Roman"/>
                      <w:b/>
                      <w:bCs/>
                      <w:color w:val="0D0D0D" w:themeColor="text1" w:themeTint="F2"/>
                      <w:sz w:val="21"/>
                      <w:highlight w:val="none"/>
                      <w:u w:val="none"/>
                      <w14:textFill>
                        <w14:solidFill>
                          <w14:schemeClr w14:val="tx1">
                            <w14:lumMod w14:val="95000"/>
                            <w14:lumOff w14:val="5000"/>
                          </w14:schemeClr>
                        </w14:solidFill>
                      </w14:textFill>
                    </w:rPr>
                    <w:t>方位/距离</w:t>
                  </w:r>
                </w:p>
              </w:tc>
              <w:tc>
                <w:tcPr>
                  <w:tcW w:w="773" w:type="dxa"/>
                  <w:vMerge w:val="restart"/>
                  <w:tcBorders>
                    <w:tl2br w:val="nil"/>
                    <w:tr2bl w:val="nil"/>
                  </w:tcBorders>
                  <w:vAlign w:val="center"/>
                </w:tcPr>
                <w:p w14:paraId="0E60FBB9">
                  <w:pPr>
                    <w:pStyle w:val="63"/>
                    <w:spacing w:before="24" w:after="24"/>
                    <w:rPr>
                      <w:rFonts w:ascii="Times New Roman" w:hAnsi="Times New Roman"/>
                      <w:b/>
                      <w:bCs/>
                      <w:color w:val="0D0D0D" w:themeColor="text1" w:themeTint="F2"/>
                      <w:sz w:val="21"/>
                      <w:highlight w:val="none"/>
                      <w:u w:val="none"/>
                      <w14:textFill>
                        <w14:solidFill>
                          <w14:schemeClr w14:val="tx1">
                            <w14:lumMod w14:val="95000"/>
                            <w14:lumOff w14:val="5000"/>
                          </w14:schemeClr>
                        </w14:solidFill>
                      </w14:textFill>
                    </w:rPr>
                  </w:pPr>
                  <w:r>
                    <w:rPr>
                      <w:rFonts w:ascii="Times New Roman" w:hAnsi="Times New Roman"/>
                      <w:b/>
                      <w:bCs/>
                      <w:color w:val="0D0D0D" w:themeColor="text1" w:themeTint="F2"/>
                      <w:sz w:val="21"/>
                      <w:highlight w:val="none"/>
                      <w:u w:val="none"/>
                      <w14:textFill>
                        <w14:solidFill>
                          <w14:schemeClr w14:val="tx1">
                            <w14:lumMod w14:val="95000"/>
                            <w14:lumOff w14:val="5000"/>
                          </w14:schemeClr>
                        </w14:solidFill>
                      </w14:textFill>
                    </w:rPr>
                    <w:t>与风机方位距离</w:t>
                  </w:r>
                </w:p>
              </w:tc>
              <w:tc>
                <w:tcPr>
                  <w:tcW w:w="711" w:type="dxa"/>
                  <w:vMerge w:val="restart"/>
                  <w:tcBorders>
                    <w:right w:val="single" w:color="auto" w:sz="4" w:space="0"/>
                    <w:tl2br w:val="nil"/>
                    <w:tr2bl w:val="nil"/>
                  </w:tcBorders>
                  <w:vAlign w:val="center"/>
                </w:tcPr>
                <w:p w14:paraId="5EAA3F94">
                  <w:pPr>
                    <w:pStyle w:val="63"/>
                    <w:spacing w:before="24" w:after="24"/>
                    <w:rPr>
                      <w:rFonts w:hint="default" w:ascii="Times New Roman" w:hAnsi="Times New Roman" w:eastAsia="宋体"/>
                      <w:b/>
                      <w:bCs/>
                      <w:color w:val="0D0D0D" w:themeColor="text1" w:themeTint="F2"/>
                      <w:sz w:val="21"/>
                      <w:highlight w:val="none"/>
                      <w:u w:val="none"/>
                      <w:lang w:val="en-US" w:eastAsia="zh-CN"/>
                      <w14:textFill>
                        <w14:solidFill>
                          <w14:schemeClr w14:val="tx1">
                            <w14:lumMod w14:val="95000"/>
                            <w14:lumOff w14:val="5000"/>
                          </w14:schemeClr>
                        </w14:solidFill>
                      </w14:textFill>
                    </w:rPr>
                  </w:pPr>
                  <w:r>
                    <w:rPr>
                      <w:rFonts w:hint="eastAsia" w:ascii="Times New Roman" w:hAnsi="Times New Roman"/>
                      <w:b/>
                      <w:bCs/>
                      <w:color w:val="0D0D0D" w:themeColor="text1" w:themeTint="F2"/>
                      <w:sz w:val="21"/>
                      <w:highlight w:val="none"/>
                      <w:u w:val="none"/>
                      <w:lang w:val="en-US" w:eastAsia="zh-CN"/>
                      <w14:textFill>
                        <w14:solidFill>
                          <w14:schemeClr w14:val="tx1">
                            <w14:lumMod w14:val="95000"/>
                            <w14:lumOff w14:val="5000"/>
                          </w14:schemeClr>
                        </w14:solidFill>
                      </w14:textFill>
                    </w:rPr>
                    <w:t>高程，有无阻隔</w:t>
                  </w:r>
                </w:p>
              </w:tc>
              <w:tc>
                <w:tcPr>
                  <w:tcW w:w="711" w:type="dxa"/>
                  <w:vMerge w:val="restart"/>
                  <w:tcBorders>
                    <w:right w:val="single" w:color="auto" w:sz="4" w:space="0"/>
                    <w:tl2br w:val="nil"/>
                    <w:tr2bl w:val="nil"/>
                  </w:tcBorders>
                  <w:vAlign w:val="center"/>
                </w:tcPr>
                <w:p w14:paraId="5353516B">
                  <w:pPr>
                    <w:pStyle w:val="63"/>
                    <w:spacing w:before="24" w:after="24"/>
                    <w:rPr>
                      <w:rFonts w:ascii="Times New Roman" w:hAnsi="Times New Roman"/>
                      <w:b/>
                      <w:bCs/>
                      <w:color w:val="0D0D0D" w:themeColor="text1" w:themeTint="F2"/>
                      <w:sz w:val="21"/>
                      <w:highlight w:val="none"/>
                      <w:u w:val="none"/>
                      <w14:textFill>
                        <w14:solidFill>
                          <w14:schemeClr w14:val="tx1">
                            <w14:lumMod w14:val="95000"/>
                            <w14:lumOff w14:val="5000"/>
                          </w14:schemeClr>
                        </w14:solidFill>
                      </w14:textFill>
                    </w:rPr>
                  </w:pPr>
                  <w:r>
                    <w:rPr>
                      <w:rFonts w:hint="eastAsia" w:ascii="Times New Roman" w:hAnsi="Times New Roman"/>
                      <w:b/>
                      <w:bCs/>
                      <w:color w:val="0D0D0D" w:themeColor="text1" w:themeTint="F2"/>
                      <w:sz w:val="21"/>
                      <w:highlight w:val="none"/>
                      <w:u w:val="none"/>
                      <w14:textFill>
                        <w14:solidFill>
                          <w14:schemeClr w14:val="tx1">
                            <w14:lumMod w14:val="95000"/>
                            <w14:lumOff w14:val="5000"/>
                          </w14:schemeClr>
                        </w14:solidFill>
                      </w14:textFill>
                    </w:rPr>
                    <w:t>规模</w:t>
                  </w:r>
                </w:p>
              </w:tc>
              <w:tc>
                <w:tcPr>
                  <w:tcW w:w="733" w:type="dxa"/>
                  <w:vMerge w:val="restart"/>
                  <w:tcBorders>
                    <w:tl2br w:val="nil"/>
                    <w:tr2bl w:val="nil"/>
                  </w:tcBorders>
                  <w:vAlign w:val="center"/>
                </w:tcPr>
                <w:p w14:paraId="055B8655">
                  <w:pPr>
                    <w:pStyle w:val="63"/>
                    <w:spacing w:before="24" w:after="24"/>
                    <w:rPr>
                      <w:rFonts w:ascii="Times New Roman" w:hAnsi="Times New Roman"/>
                      <w:b/>
                      <w:bCs/>
                      <w:color w:val="0D0D0D" w:themeColor="text1" w:themeTint="F2"/>
                      <w:sz w:val="21"/>
                      <w:highlight w:val="none"/>
                      <w:u w:val="none"/>
                      <w14:textFill>
                        <w14:solidFill>
                          <w14:schemeClr w14:val="tx1">
                            <w14:lumMod w14:val="95000"/>
                            <w14:lumOff w14:val="5000"/>
                          </w14:schemeClr>
                        </w14:solidFill>
                      </w14:textFill>
                    </w:rPr>
                  </w:pPr>
                  <w:r>
                    <w:rPr>
                      <w:rFonts w:ascii="Times New Roman" w:hAnsi="Times New Roman"/>
                      <w:b/>
                      <w:bCs/>
                      <w:color w:val="0D0D0D" w:themeColor="text1" w:themeTint="F2"/>
                      <w:sz w:val="21"/>
                      <w:highlight w:val="none"/>
                      <w:u w:val="none"/>
                      <w14:textFill>
                        <w14:solidFill>
                          <w14:schemeClr w14:val="tx1">
                            <w14:lumMod w14:val="95000"/>
                            <w14:lumOff w14:val="5000"/>
                          </w14:schemeClr>
                        </w14:solidFill>
                      </w14:textFill>
                    </w:rPr>
                    <w:t>影响源和时段</w:t>
                  </w:r>
                </w:p>
              </w:tc>
              <w:tc>
                <w:tcPr>
                  <w:tcW w:w="1026" w:type="dxa"/>
                  <w:vMerge w:val="restart"/>
                  <w:tcBorders>
                    <w:tl2br w:val="nil"/>
                    <w:tr2bl w:val="nil"/>
                  </w:tcBorders>
                  <w:vAlign w:val="center"/>
                </w:tcPr>
                <w:p w14:paraId="7F9E6853">
                  <w:pPr>
                    <w:pStyle w:val="63"/>
                    <w:spacing w:before="24" w:after="24"/>
                    <w:rPr>
                      <w:rFonts w:ascii="Times New Roman" w:hAnsi="Times New Roman"/>
                      <w:b/>
                      <w:bCs/>
                      <w:color w:val="0D0D0D" w:themeColor="text1" w:themeTint="F2"/>
                      <w:sz w:val="21"/>
                      <w:highlight w:val="none"/>
                      <w:u w:val="none"/>
                      <w14:textFill>
                        <w14:solidFill>
                          <w14:schemeClr w14:val="tx1">
                            <w14:lumMod w14:val="95000"/>
                            <w14:lumOff w14:val="5000"/>
                          </w14:schemeClr>
                        </w14:solidFill>
                      </w14:textFill>
                    </w:rPr>
                  </w:pPr>
                  <w:r>
                    <w:rPr>
                      <w:rFonts w:ascii="Times New Roman" w:hAnsi="Times New Roman"/>
                      <w:b/>
                      <w:bCs/>
                      <w:color w:val="0D0D0D" w:themeColor="text1" w:themeTint="F2"/>
                      <w:sz w:val="21"/>
                      <w:highlight w:val="none"/>
                      <w:u w:val="none"/>
                      <w14:textFill>
                        <w14:solidFill>
                          <w14:schemeClr w14:val="tx1">
                            <w14:lumMod w14:val="95000"/>
                            <w14:lumOff w14:val="5000"/>
                          </w14:schemeClr>
                        </w14:solidFill>
                      </w14:textFill>
                    </w:rPr>
                    <w:t>保护要求</w:t>
                  </w:r>
                </w:p>
              </w:tc>
            </w:tr>
            <w:tr w14:paraId="77EBA0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 w:type="dxa"/>
                  <w:bottom w:w="0" w:type="dxa"/>
                  <w:right w:w="11" w:type="dxa"/>
                </w:tblCellMar>
              </w:tblPrEx>
              <w:trPr>
                <w:jc w:val="center"/>
              </w:trPr>
              <w:tc>
                <w:tcPr>
                  <w:tcW w:w="208" w:type="dxa"/>
                  <w:vMerge w:val="continue"/>
                  <w:tcBorders>
                    <w:tl2br w:val="nil"/>
                    <w:tr2bl w:val="nil"/>
                  </w:tcBorders>
                  <w:vAlign w:val="center"/>
                </w:tcPr>
                <w:p w14:paraId="507CE67A">
                  <w:pPr>
                    <w:pStyle w:val="63"/>
                    <w:spacing w:before="24" w:after="24"/>
                    <w:rPr>
                      <w:rFonts w:ascii="Times New Roman" w:hAnsi="Times New Roman"/>
                      <w:color w:val="0D0D0D" w:themeColor="text1" w:themeTint="F2"/>
                      <w:sz w:val="21"/>
                      <w:highlight w:val="none"/>
                      <w:u w:val="none"/>
                      <w14:textFill>
                        <w14:solidFill>
                          <w14:schemeClr w14:val="tx1">
                            <w14:lumMod w14:val="95000"/>
                            <w14:lumOff w14:val="5000"/>
                          </w14:schemeClr>
                        </w14:solidFill>
                      </w14:textFill>
                    </w:rPr>
                  </w:pPr>
                </w:p>
              </w:tc>
              <w:tc>
                <w:tcPr>
                  <w:tcW w:w="618" w:type="dxa"/>
                  <w:vMerge w:val="continue"/>
                  <w:tcBorders>
                    <w:tl2br w:val="nil"/>
                    <w:tr2bl w:val="nil"/>
                  </w:tcBorders>
                  <w:vAlign w:val="center"/>
                </w:tcPr>
                <w:p w14:paraId="26E87491">
                  <w:pPr>
                    <w:pStyle w:val="63"/>
                    <w:spacing w:before="24" w:after="24"/>
                    <w:rPr>
                      <w:rFonts w:ascii="Times New Roman" w:hAnsi="Times New Roman"/>
                      <w:color w:val="0D0D0D" w:themeColor="text1" w:themeTint="F2"/>
                      <w:sz w:val="21"/>
                      <w:highlight w:val="none"/>
                      <w:u w:val="none"/>
                      <w14:textFill>
                        <w14:solidFill>
                          <w14:schemeClr w14:val="tx1">
                            <w14:lumMod w14:val="95000"/>
                            <w14:lumOff w14:val="5000"/>
                          </w14:schemeClr>
                        </w14:solidFill>
                      </w14:textFill>
                    </w:rPr>
                  </w:pPr>
                </w:p>
              </w:tc>
              <w:tc>
                <w:tcPr>
                  <w:tcW w:w="1438" w:type="dxa"/>
                  <w:tcBorders>
                    <w:tl2br w:val="nil"/>
                    <w:tr2bl w:val="nil"/>
                  </w:tcBorders>
                  <w:vAlign w:val="center"/>
                </w:tcPr>
                <w:p w14:paraId="5DF4DCB9">
                  <w:pPr>
                    <w:pStyle w:val="63"/>
                    <w:spacing w:before="24" w:after="24"/>
                    <w:rPr>
                      <w:rFonts w:ascii="Times New Roman" w:hAnsi="Times New Roman"/>
                      <w:b/>
                      <w:bCs/>
                      <w:color w:val="0D0D0D" w:themeColor="text1" w:themeTint="F2"/>
                      <w:sz w:val="21"/>
                      <w:highlight w:val="none"/>
                      <w:u w:val="none"/>
                      <w14:textFill>
                        <w14:solidFill>
                          <w14:schemeClr w14:val="tx1">
                            <w14:lumMod w14:val="95000"/>
                            <w14:lumOff w14:val="5000"/>
                          </w14:schemeClr>
                        </w14:solidFill>
                      </w14:textFill>
                    </w:rPr>
                  </w:pPr>
                  <w:r>
                    <w:rPr>
                      <w:rFonts w:ascii="Times New Roman" w:hAnsi="Times New Roman"/>
                      <w:b/>
                      <w:bCs/>
                      <w:color w:val="0D0D0D" w:themeColor="text1" w:themeTint="F2"/>
                      <w:sz w:val="21"/>
                      <w:highlight w:val="none"/>
                      <w:u w:val="none"/>
                      <w14:textFill>
                        <w14:solidFill>
                          <w14:schemeClr w14:val="tx1">
                            <w14:lumMod w14:val="95000"/>
                            <w14:lumOff w14:val="5000"/>
                          </w14:schemeClr>
                        </w14:solidFill>
                      </w14:textFill>
                    </w:rPr>
                    <w:t>东经</w:t>
                  </w:r>
                </w:p>
              </w:tc>
              <w:tc>
                <w:tcPr>
                  <w:tcW w:w="1350" w:type="dxa"/>
                  <w:tcBorders>
                    <w:tl2br w:val="nil"/>
                    <w:tr2bl w:val="nil"/>
                  </w:tcBorders>
                  <w:vAlign w:val="center"/>
                </w:tcPr>
                <w:p w14:paraId="7C1BA2B6">
                  <w:pPr>
                    <w:pStyle w:val="63"/>
                    <w:spacing w:before="24" w:after="24"/>
                    <w:rPr>
                      <w:rFonts w:ascii="Times New Roman" w:hAnsi="Times New Roman"/>
                      <w:b/>
                      <w:bCs/>
                      <w:color w:val="0D0D0D" w:themeColor="text1" w:themeTint="F2"/>
                      <w:sz w:val="21"/>
                      <w:highlight w:val="none"/>
                      <w:u w:val="none"/>
                      <w14:textFill>
                        <w14:solidFill>
                          <w14:schemeClr w14:val="tx1">
                            <w14:lumMod w14:val="95000"/>
                            <w14:lumOff w14:val="5000"/>
                          </w14:schemeClr>
                        </w14:solidFill>
                      </w14:textFill>
                    </w:rPr>
                  </w:pPr>
                  <w:r>
                    <w:rPr>
                      <w:rFonts w:ascii="Times New Roman" w:hAnsi="Times New Roman"/>
                      <w:b/>
                      <w:bCs/>
                      <w:color w:val="0D0D0D" w:themeColor="text1" w:themeTint="F2"/>
                      <w:sz w:val="21"/>
                      <w:highlight w:val="none"/>
                      <w:u w:val="none"/>
                      <w14:textFill>
                        <w14:solidFill>
                          <w14:schemeClr w14:val="tx1">
                            <w14:lumMod w14:val="95000"/>
                            <w14:lumOff w14:val="5000"/>
                          </w14:schemeClr>
                        </w14:solidFill>
                      </w14:textFill>
                    </w:rPr>
                    <w:t>北纬</w:t>
                  </w:r>
                </w:p>
              </w:tc>
              <w:tc>
                <w:tcPr>
                  <w:tcW w:w="773" w:type="dxa"/>
                  <w:vMerge w:val="continue"/>
                  <w:tcBorders>
                    <w:tl2br w:val="nil"/>
                    <w:tr2bl w:val="nil"/>
                  </w:tcBorders>
                  <w:vAlign w:val="center"/>
                </w:tcPr>
                <w:p w14:paraId="310B9448">
                  <w:pPr>
                    <w:pStyle w:val="63"/>
                    <w:spacing w:before="24" w:after="24"/>
                    <w:rPr>
                      <w:rFonts w:ascii="Times New Roman" w:hAnsi="Times New Roman"/>
                      <w:b/>
                      <w:bCs/>
                      <w:color w:val="0D0D0D" w:themeColor="text1" w:themeTint="F2"/>
                      <w:sz w:val="21"/>
                      <w:highlight w:val="none"/>
                      <w:u w:val="none"/>
                      <w14:textFill>
                        <w14:solidFill>
                          <w14:schemeClr w14:val="tx1">
                            <w14:lumMod w14:val="95000"/>
                            <w14:lumOff w14:val="5000"/>
                          </w14:schemeClr>
                        </w14:solidFill>
                      </w14:textFill>
                    </w:rPr>
                  </w:pPr>
                </w:p>
              </w:tc>
              <w:tc>
                <w:tcPr>
                  <w:tcW w:w="711" w:type="dxa"/>
                  <w:vMerge w:val="continue"/>
                  <w:tcBorders>
                    <w:right w:val="single" w:color="auto" w:sz="4" w:space="0"/>
                    <w:tl2br w:val="nil"/>
                    <w:tr2bl w:val="nil"/>
                  </w:tcBorders>
                  <w:vAlign w:val="center"/>
                </w:tcPr>
                <w:p w14:paraId="05882FF9">
                  <w:pPr>
                    <w:pStyle w:val="63"/>
                    <w:spacing w:before="24" w:after="24"/>
                    <w:rPr>
                      <w:rFonts w:ascii="Times New Roman" w:hAnsi="Times New Roman"/>
                      <w:b/>
                      <w:bCs/>
                      <w:color w:val="0D0D0D" w:themeColor="text1" w:themeTint="F2"/>
                      <w:sz w:val="21"/>
                      <w:highlight w:val="none"/>
                      <w:u w:val="none"/>
                      <w14:textFill>
                        <w14:solidFill>
                          <w14:schemeClr w14:val="tx1">
                            <w14:lumMod w14:val="95000"/>
                            <w14:lumOff w14:val="5000"/>
                          </w14:schemeClr>
                        </w14:solidFill>
                      </w14:textFill>
                    </w:rPr>
                  </w:pPr>
                </w:p>
              </w:tc>
              <w:tc>
                <w:tcPr>
                  <w:tcW w:w="711" w:type="dxa"/>
                  <w:vMerge w:val="continue"/>
                  <w:tcBorders>
                    <w:right w:val="single" w:color="auto" w:sz="4" w:space="0"/>
                    <w:tl2br w:val="nil"/>
                    <w:tr2bl w:val="nil"/>
                  </w:tcBorders>
                  <w:vAlign w:val="center"/>
                </w:tcPr>
                <w:p w14:paraId="79E036F8">
                  <w:pPr>
                    <w:pStyle w:val="63"/>
                    <w:spacing w:before="24" w:after="24"/>
                    <w:rPr>
                      <w:rFonts w:ascii="Times New Roman" w:hAnsi="Times New Roman"/>
                      <w:b/>
                      <w:bCs/>
                      <w:color w:val="0D0D0D" w:themeColor="text1" w:themeTint="F2"/>
                      <w:sz w:val="21"/>
                      <w:highlight w:val="none"/>
                      <w:u w:val="none"/>
                      <w14:textFill>
                        <w14:solidFill>
                          <w14:schemeClr w14:val="tx1">
                            <w14:lumMod w14:val="95000"/>
                            <w14:lumOff w14:val="5000"/>
                          </w14:schemeClr>
                        </w14:solidFill>
                      </w14:textFill>
                    </w:rPr>
                  </w:pPr>
                </w:p>
              </w:tc>
              <w:tc>
                <w:tcPr>
                  <w:tcW w:w="733" w:type="dxa"/>
                  <w:vMerge w:val="continue"/>
                  <w:tcBorders>
                    <w:bottom w:val="single" w:color="auto" w:sz="4" w:space="0"/>
                    <w:tl2br w:val="nil"/>
                    <w:tr2bl w:val="nil"/>
                  </w:tcBorders>
                  <w:vAlign w:val="center"/>
                </w:tcPr>
                <w:p w14:paraId="3D316FFD">
                  <w:pPr>
                    <w:pStyle w:val="63"/>
                    <w:spacing w:before="24" w:after="24"/>
                    <w:rPr>
                      <w:rFonts w:ascii="Times New Roman" w:hAnsi="Times New Roman"/>
                      <w:color w:val="0D0D0D" w:themeColor="text1" w:themeTint="F2"/>
                      <w:sz w:val="21"/>
                      <w:highlight w:val="none"/>
                      <w:u w:val="none"/>
                      <w14:textFill>
                        <w14:solidFill>
                          <w14:schemeClr w14:val="tx1">
                            <w14:lumMod w14:val="95000"/>
                            <w14:lumOff w14:val="5000"/>
                          </w14:schemeClr>
                        </w14:solidFill>
                      </w14:textFill>
                    </w:rPr>
                  </w:pPr>
                </w:p>
              </w:tc>
              <w:tc>
                <w:tcPr>
                  <w:tcW w:w="1026" w:type="dxa"/>
                  <w:vMerge w:val="continue"/>
                  <w:tcBorders>
                    <w:bottom w:val="single" w:color="auto" w:sz="4" w:space="0"/>
                    <w:tl2br w:val="nil"/>
                    <w:tr2bl w:val="nil"/>
                  </w:tcBorders>
                  <w:vAlign w:val="center"/>
                </w:tcPr>
                <w:p w14:paraId="13A33737">
                  <w:pPr>
                    <w:pStyle w:val="63"/>
                    <w:spacing w:before="24" w:after="24"/>
                    <w:rPr>
                      <w:rFonts w:ascii="Times New Roman" w:hAnsi="Times New Roman"/>
                      <w:color w:val="0D0D0D" w:themeColor="text1" w:themeTint="F2"/>
                      <w:sz w:val="21"/>
                      <w:highlight w:val="none"/>
                      <w:u w:val="none"/>
                      <w14:textFill>
                        <w14:solidFill>
                          <w14:schemeClr w14:val="tx1">
                            <w14:lumMod w14:val="95000"/>
                            <w14:lumOff w14:val="5000"/>
                          </w14:schemeClr>
                        </w14:solidFill>
                      </w14:textFill>
                    </w:rPr>
                  </w:pPr>
                </w:p>
              </w:tc>
            </w:tr>
            <w:tr w14:paraId="4F90EC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 w:type="dxa"/>
                  <w:bottom w:w="0" w:type="dxa"/>
                  <w:right w:w="11" w:type="dxa"/>
                </w:tblCellMar>
              </w:tblPrEx>
              <w:trPr>
                <w:jc w:val="center"/>
              </w:trPr>
              <w:tc>
                <w:tcPr>
                  <w:tcW w:w="208" w:type="dxa"/>
                  <w:tcBorders>
                    <w:tl2br w:val="nil"/>
                    <w:tr2bl w:val="nil"/>
                  </w:tcBorders>
                  <w:vAlign w:val="center"/>
                </w:tcPr>
                <w:p w14:paraId="4DF83151">
                  <w:pPr>
                    <w:pStyle w:val="63"/>
                    <w:spacing w:before="24" w:after="24"/>
                    <w:rPr>
                      <w:rFonts w:hint="default" w:ascii="Times New Roman" w:hAnsi="Times New Roman" w:cs="Times New Roman"/>
                      <w:color w:val="000000" w:themeColor="text1"/>
                      <w:sz w:val="21"/>
                      <w:highlight w:val="none"/>
                      <w:u w:val="none"/>
                      <w:lang w:val="en-US" w:eastAsia="zh-CN"/>
                      <w14:textFill>
                        <w14:solidFill>
                          <w14:schemeClr w14:val="tx1"/>
                        </w14:solidFill>
                      </w14:textFill>
                    </w:rPr>
                  </w:pPr>
                  <w:r>
                    <w:rPr>
                      <w:rFonts w:hint="eastAsia" w:ascii="Times New Roman" w:hAnsi="Times New Roman" w:cs="Times New Roman"/>
                      <w:color w:val="000000" w:themeColor="text1"/>
                      <w:sz w:val="21"/>
                      <w:highlight w:val="none"/>
                      <w:u w:val="none"/>
                      <w:lang w:val="en-US" w:eastAsia="zh-CN"/>
                      <w14:textFill>
                        <w14:solidFill>
                          <w14:schemeClr w14:val="tx1"/>
                        </w14:solidFill>
                      </w14:textFill>
                    </w:rPr>
                    <w:t>1</w:t>
                  </w:r>
                </w:p>
              </w:tc>
              <w:tc>
                <w:tcPr>
                  <w:tcW w:w="618" w:type="dxa"/>
                  <w:tcBorders>
                    <w:tl2br w:val="nil"/>
                    <w:tr2bl w:val="nil"/>
                  </w:tcBorders>
                  <w:vAlign w:val="center"/>
                </w:tcPr>
                <w:p w14:paraId="708184E7">
                  <w:pPr>
                    <w:pStyle w:val="63"/>
                    <w:spacing w:before="24" w:after="24"/>
                    <w:rPr>
                      <w:rFonts w:hint="eastAsia" w:ascii="Times New Roman" w:hAnsi="Times New Roman" w:cs="Times New Roman"/>
                      <w:color w:val="000000" w:themeColor="text1"/>
                      <w:sz w:val="21"/>
                      <w:highlight w:val="none"/>
                      <w:u w:val="none"/>
                      <w:lang w:val="en-US" w:eastAsia="zh-CN"/>
                      <w14:textFill>
                        <w14:solidFill>
                          <w14:schemeClr w14:val="tx1"/>
                        </w14:solidFill>
                      </w14:textFill>
                    </w:rPr>
                  </w:pPr>
                  <w:r>
                    <w:rPr>
                      <w:rFonts w:hint="eastAsia" w:ascii="Times New Roman" w:hAnsi="Times New Roman" w:cs="Times New Roman"/>
                      <w:color w:val="000000" w:themeColor="text1"/>
                      <w:sz w:val="21"/>
                      <w:highlight w:val="none"/>
                      <w:u w:val="none"/>
                      <w:lang w:val="en-US" w:eastAsia="zh-CN"/>
                      <w14:textFill>
                        <w14:solidFill>
                          <w14:schemeClr w14:val="tx1"/>
                        </w14:solidFill>
                      </w14:textFill>
                    </w:rPr>
                    <w:t>大溪头居民点</w:t>
                  </w:r>
                </w:p>
              </w:tc>
              <w:tc>
                <w:tcPr>
                  <w:tcW w:w="1438" w:type="dxa"/>
                  <w:tcBorders>
                    <w:tl2br w:val="nil"/>
                    <w:tr2bl w:val="nil"/>
                  </w:tcBorders>
                  <w:vAlign w:val="center"/>
                </w:tcPr>
                <w:p w14:paraId="355E884A">
                  <w:pPr>
                    <w:pStyle w:val="63"/>
                    <w:spacing w:before="24" w:after="24"/>
                    <w:ind w:left="0" w:leftChars="0" w:firstLine="0" w:firstLineChars="0"/>
                    <w:rPr>
                      <w:rFonts w:hint="default" w:ascii="Times New Roman" w:hAnsi="Times New Roman" w:eastAsia="宋体" w:cs="Times New Roman"/>
                      <w:color w:val="000000" w:themeColor="text1"/>
                      <w:sz w:val="2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highlight w:val="none"/>
                      <w:u w:val="none"/>
                      <w:lang w:val="en-US" w:eastAsia="zh-CN"/>
                      <w14:textFill>
                        <w14:solidFill>
                          <w14:schemeClr w14:val="tx1"/>
                        </w14:solidFill>
                      </w14:textFill>
                    </w:rPr>
                    <w:t>109°</w:t>
                  </w:r>
                  <w:r>
                    <w:rPr>
                      <w:rFonts w:hint="eastAsia" w:ascii="Times New Roman" w:hAnsi="Times New Roman" w:cs="Times New Roman"/>
                      <w:color w:val="000000" w:themeColor="text1"/>
                      <w:sz w:val="21"/>
                      <w:highlight w:val="none"/>
                      <w:u w:val="none"/>
                      <w:lang w:val="en-US" w:eastAsia="zh-CN"/>
                      <w14:textFill>
                        <w14:solidFill>
                          <w14:schemeClr w14:val="tx1"/>
                        </w14:solidFill>
                      </w14:textFill>
                    </w:rPr>
                    <w:t>73</w:t>
                  </w:r>
                  <w:r>
                    <w:rPr>
                      <w:rFonts w:hint="default" w:ascii="Times New Roman" w:hAnsi="Times New Roman" w:eastAsia="宋体" w:cs="Times New Roman"/>
                      <w:color w:val="000000" w:themeColor="text1"/>
                      <w:sz w:val="21"/>
                      <w:highlight w:val="none"/>
                      <w:u w:val="none"/>
                      <w:lang w:val="en-US" w:eastAsia="zh-CN"/>
                      <w14:textFill>
                        <w14:solidFill>
                          <w14:schemeClr w14:val="tx1"/>
                        </w14:solidFill>
                      </w14:textFill>
                    </w:rPr>
                    <w:t>′</w:t>
                  </w:r>
                  <w:r>
                    <w:rPr>
                      <w:rFonts w:hint="eastAsia" w:ascii="Times New Roman" w:hAnsi="Times New Roman" w:cs="Times New Roman"/>
                      <w:color w:val="000000" w:themeColor="text1"/>
                      <w:sz w:val="21"/>
                      <w:highlight w:val="none"/>
                      <w:u w:val="none"/>
                      <w:lang w:val="en-US" w:eastAsia="zh-CN"/>
                      <w14:textFill>
                        <w14:solidFill>
                          <w14:schemeClr w14:val="tx1"/>
                        </w14:solidFill>
                      </w14:textFill>
                    </w:rPr>
                    <w:t>19</w:t>
                  </w:r>
                  <w:r>
                    <w:rPr>
                      <w:rFonts w:hint="default" w:ascii="Times New Roman" w:hAnsi="Times New Roman" w:eastAsia="宋体" w:cs="Times New Roman"/>
                      <w:color w:val="000000" w:themeColor="text1"/>
                      <w:sz w:val="21"/>
                      <w:highlight w:val="none"/>
                      <w:u w:val="none"/>
                      <w:lang w:val="en-US" w:eastAsia="zh-CN"/>
                      <w14:textFill>
                        <w14:solidFill>
                          <w14:schemeClr w14:val="tx1"/>
                        </w14:solidFill>
                      </w14:textFill>
                    </w:rPr>
                    <w:t>.</w:t>
                  </w:r>
                  <w:r>
                    <w:rPr>
                      <w:rFonts w:hint="eastAsia" w:ascii="Times New Roman" w:hAnsi="Times New Roman" w:cs="Times New Roman"/>
                      <w:color w:val="000000" w:themeColor="text1"/>
                      <w:sz w:val="21"/>
                      <w:highlight w:val="none"/>
                      <w:u w:val="none"/>
                      <w:lang w:val="en-US" w:eastAsia="zh-CN"/>
                      <w14:textFill>
                        <w14:solidFill>
                          <w14:schemeClr w14:val="tx1"/>
                        </w14:solidFill>
                      </w14:textFill>
                    </w:rPr>
                    <w:t>872</w:t>
                  </w:r>
                  <w:r>
                    <w:rPr>
                      <w:rFonts w:hint="default" w:ascii="Times New Roman" w:hAnsi="Times New Roman" w:eastAsia="宋体" w:cs="Times New Roman"/>
                      <w:color w:val="000000" w:themeColor="text1"/>
                      <w:sz w:val="21"/>
                      <w:highlight w:val="none"/>
                      <w:u w:val="none"/>
                      <w:lang w:val="en-US" w:eastAsia="zh-CN"/>
                      <w14:textFill>
                        <w14:solidFill>
                          <w14:schemeClr w14:val="tx1"/>
                        </w14:solidFill>
                      </w14:textFill>
                    </w:rPr>
                    <w:t>″</w:t>
                  </w:r>
                </w:p>
              </w:tc>
              <w:tc>
                <w:tcPr>
                  <w:tcW w:w="1350" w:type="dxa"/>
                  <w:tcBorders>
                    <w:tl2br w:val="nil"/>
                    <w:tr2bl w:val="nil"/>
                  </w:tcBorders>
                  <w:vAlign w:val="center"/>
                </w:tcPr>
                <w:p w14:paraId="3F0A4F80">
                  <w:pPr>
                    <w:pStyle w:val="63"/>
                    <w:spacing w:before="24" w:after="24"/>
                    <w:ind w:left="0" w:leftChars="0" w:firstLine="0" w:firstLineChars="0"/>
                    <w:rPr>
                      <w:rFonts w:hint="default" w:ascii="Times New Roman" w:hAnsi="Times New Roman" w:eastAsia="宋体" w:cs="Times New Roman"/>
                      <w:color w:val="000000" w:themeColor="text1"/>
                      <w:sz w:val="2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highlight w:val="none"/>
                      <w:u w:val="none"/>
                      <w:lang w:val="en-US" w:eastAsia="zh-CN"/>
                      <w14:textFill>
                        <w14:solidFill>
                          <w14:schemeClr w14:val="tx1"/>
                        </w14:solidFill>
                      </w14:textFill>
                    </w:rPr>
                    <w:t>26°</w:t>
                  </w:r>
                  <w:r>
                    <w:rPr>
                      <w:rFonts w:hint="eastAsia" w:ascii="Times New Roman" w:hAnsi="Times New Roman" w:cs="Times New Roman"/>
                      <w:color w:val="000000" w:themeColor="text1"/>
                      <w:sz w:val="21"/>
                      <w:highlight w:val="none"/>
                      <w:u w:val="none"/>
                      <w:lang w:val="en-US" w:eastAsia="zh-CN"/>
                      <w14:textFill>
                        <w14:solidFill>
                          <w14:schemeClr w14:val="tx1"/>
                        </w14:solidFill>
                      </w14:textFill>
                    </w:rPr>
                    <w:t>17</w:t>
                  </w:r>
                  <w:r>
                    <w:rPr>
                      <w:rFonts w:hint="default" w:ascii="Times New Roman" w:hAnsi="Times New Roman" w:eastAsia="宋体" w:cs="Times New Roman"/>
                      <w:color w:val="000000" w:themeColor="text1"/>
                      <w:sz w:val="21"/>
                      <w:highlight w:val="none"/>
                      <w:u w:val="none"/>
                      <w:lang w:val="en-US" w:eastAsia="zh-CN"/>
                      <w14:textFill>
                        <w14:solidFill>
                          <w14:schemeClr w14:val="tx1"/>
                        </w14:solidFill>
                      </w14:textFill>
                    </w:rPr>
                    <w:t>′</w:t>
                  </w:r>
                  <w:r>
                    <w:rPr>
                      <w:rFonts w:hint="eastAsia" w:ascii="Times New Roman" w:hAnsi="Times New Roman" w:cs="Times New Roman"/>
                      <w:color w:val="000000" w:themeColor="text1"/>
                      <w:sz w:val="21"/>
                      <w:highlight w:val="none"/>
                      <w:u w:val="none"/>
                      <w:lang w:val="en-US" w:eastAsia="zh-CN"/>
                      <w14:textFill>
                        <w14:solidFill>
                          <w14:schemeClr w14:val="tx1"/>
                        </w14:solidFill>
                      </w14:textFill>
                    </w:rPr>
                    <w:t>34.595</w:t>
                  </w:r>
                  <w:r>
                    <w:rPr>
                      <w:rFonts w:hint="default" w:ascii="Times New Roman" w:hAnsi="Times New Roman" w:eastAsia="宋体" w:cs="Times New Roman"/>
                      <w:color w:val="000000" w:themeColor="text1"/>
                      <w:sz w:val="21"/>
                      <w:highlight w:val="none"/>
                      <w:u w:val="none"/>
                      <w:lang w:val="en-US" w:eastAsia="zh-CN"/>
                      <w14:textFill>
                        <w14:solidFill>
                          <w14:schemeClr w14:val="tx1"/>
                        </w14:solidFill>
                      </w14:textFill>
                    </w:rPr>
                    <w:t>″</w:t>
                  </w:r>
                </w:p>
              </w:tc>
              <w:tc>
                <w:tcPr>
                  <w:tcW w:w="773" w:type="dxa"/>
                  <w:tcBorders>
                    <w:tl2br w:val="nil"/>
                    <w:tr2bl w:val="nil"/>
                  </w:tcBorders>
                  <w:vAlign w:val="center"/>
                </w:tcPr>
                <w:p w14:paraId="3AD0CDF5">
                  <w:pPr>
                    <w:pStyle w:val="63"/>
                    <w:spacing w:before="24" w:after="24"/>
                    <w:rPr>
                      <w:rFonts w:hint="default" w:ascii="Times New Roman" w:hAnsi="Times New Roman" w:cs="Times New Roman"/>
                      <w:color w:val="000000" w:themeColor="text1"/>
                      <w:sz w:val="21"/>
                      <w:highlight w:val="none"/>
                      <w:u w:val="none"/>
                      <w:lang w:val="en-US" w:eastAsia="zh-CN"/>
                      <w14:textFill>
                        <w14:solidFill>
                          <w14:schemeClr w14:val="tx1"/>
                        </w14:solidFill>
                      </w14:textFill>
                    </w:rPr>
                  </w:pPr>
                  <w:r>
                    <w:rPr>
                      <w:rFonts w:hint="eastAsia" w:ascii="Times New Roman" w:hAnsi="Times New Roman" w:cs="Times New Roman"/>
                      <w:color w:val="000000" w:themeColor="text1"/>
                      <w:sz w:val="21"/>
                      <w:highlight w:val="none"/>
                      <w:u w:val="none"/>
                      <w:lang w:val="en-US" w:eastAsia="zh-CN"/>
                      <w14:textFill>
                        <w14:solidFill>
                          <w14:schemeClr w14:val="tx1"/>
                        </w14:solidFill>
                      </w14:textFill>
                    </w:rPr>
                    <w:t>5号弃渣场东南面440-500m</w:t>
                  </w:r>
                </w:p>
              </w:tc>
              <w:tc>
                <w:tcPr>
                  <w:tcW w:w="711" w:type="dxa"/>
                  <w:tcBorders>
                    <w:tl2br w:val="nil"/>
                    <w:tr2bl w:val="nil"/>
                  </w:tcBorders>
                  <w:vAlign w:val="center"/>
                </w:tcPr>
                <w:p w14:paraId="50F6B74A">
                  <w:pPr>
                    <w:pStyle w:val="63"/>
                    <w:spacing w:before="24" w:after="24"/>
                    <w:rPr>
                      <w:rFonts w:hint="default" w:ascii="Times New Roman" w:hAnsi="Times New Roman" w:cs="Times New Roman"/>
                      <w:color w:val="000000" w:themeColor="text1"/>
                      <w:sz w:val="21"/>
                      <w:highlight w:val="none"/>
                      <w:u w:val="none"/>
                      <w:lang w:val="en-US" w:eastAsia="zh-CN"/>
                      <w14:textFill>
                        <w14:solidFill>
                          <w14:schemeClr w14:val="tx1"/>
                        </w14:solidFill>
                      </w14:textFill>
                    </w:rPr>
                  </w:pPr>
                  <w:r>
                    <w:rPr>
                      <w:rFonts w:hint="eastAsia" w:ascii="Times New Roman" w:hAnsi="Times New Roman" w:cs="Times New Roman"/>
                      <w:color w:val="000000" w:themeColor="text1"/>
                      <w:sz w:val="21"/>
                      <w:highlight w:val="none"/>
                      <w:u w:val="none"/>
                      <w:lang w:val="en-US" w:eastAsia="zh-CN"/>
                      <w14:textFill>
                        <w14:solidFill>
                          <w14:schemeClr w14:val="tx1"/>
                        </w14:solidFill>
                      </w14:textFill>
                    </w:rPr>
                    <w:t>20m，山体隔阻</w:t>
                  </w:r>
                </w:p>
              </w:tc>
              <w:tc>
                <w:tcPr>
                  <w:tcW w:w="711" w:type="dxa"/>
                  <w:tcBorders>
                    <w:tl2br w:val="nil"/>
                    <w:tr2bl w:val="nil"/>
                  </w:tcBorders>
                  <w:vAlign w:val="center"/>
                </w:tcPr>
                <w:p w14:paraId="39B16CE5">
                  <w:pPr>
                    <w:pStyle w:val="63"/>
                    <w:spacing w:before="24" w:after="24"/>
                    <w:rPr>
                      <w:rFonts w:hint="default" w:ascii="Times New Roman" w:hAnsi="Times New Roman" w:eastAsia="宋体" w:cs="Times New Roman"/>
                      <w:color w:val="000000" w:themeColor="text1"/>
                      <w:sz w:val="21"/>
                      <w:highlight w:val="none"/>
                      <w:u w:val="none"/>
                      <w:lang w:val="en-US" w:eastAsia="zh-CN"/>
                      <w14:textFill>
                        <w14:solidFill>
                          <w14:schemeClr w14:val="tx1"/>
                        </w14:solidFill>
                      </w14:textFill>
                    </w:rPr>
                  </w:pPr>
                  <w:r>
                    <w:rPr>
                      <w:rFonts w:hint="eastAsia" w:ascii="Times New Roman" w:hAnsi="Times New Roman" w:cs="Times New Roman"/>
                      <w:color w:val="000000" w:themeColor="text1"/>
                      <w:sz w:val="21"/>
                      <w:highlight w:val="none"/>
                      <w:u w:val="none"/>
                      <w:lang w:val="en-US" w:eastAsia="zh-CN"/>
                      <w14:textFill>
                        <w14:solidFill>
                          <w14:schemeClr w14:val="tx1"/>
                        </w14:solidFill>
                      </w14:textFill>
                    </w:rPr>
                    <w:t>约20户</w:t>
                  </w:r>
                </w:p>
              </w:tc>
              <w:tc>
                <w:tcPr>
                  <w:tcW w:w="733" w:type="dxa"/>
                  <w:vMerge w:val="restart"/>
                  <w:tcBorders>
                    <w:top w:val="single" w:color="auto" w:sz="4" w:space="0"/>
                    <w:tl2br w:val="nil"/>
                    <w:tr2bl w:val="nil"/>
                  </w:tcBorders>
                  <w:vAlign w:val="center"/>
                </w:tcPr>
                <w:p w14:paraId="065EF631">
                  <w:pPr>
                    <w:pStyle w:val="63"/>
                    <w:spacing w:before="24" w:after="24"/>
                    <w:ind w:left="0" w:leftChars="0" w:firstLine="0" w:firstLineChars="0"/>
                    <w:rPr>
                      <w:rFonts w:hint="default" w:ascii="Times New Roman" w:hAnsi="Times New Roman" w:cs="Times New Roman"/>
                      <w:color w:val="0D0D0D" w:themeColor="text1" w:themeTint="F2"/>
                      <w:sz w:val="21"/>
                      <w:highlight w:val="none"/>
                      <w:u w:val="non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wave"/>
                      <w:lang w:val="en-US" w:eastAsia="zh-CN"/>
                      <w14:textFill>
                        <w14:solidFill>
                          <w14:schemeClr w14:val="tx1">
                            <w14:lumMod w14:val="95000"/>
                            <w14:lumOff w14:val="5000"/>
                          </w14:schemeClr>
                        </w14:solidFill>
                      </w14:textFill>
                    </w:rPr>
                    <w:t>施工期：机械设备运行和车辆运输废气、噪声</w:t>
                  </w:r>
                </w:p>
              </w:tc>
              <w:tc>
                <w:tcPr>
                  <w:tcW w:w="1026" w:type="dxa"/>
                  <w:vMerge w:val="restart"/>
                  <w:tcBorders>
                    <w:top w:val="single" w:color="auto" w:sz="4" w:space="0"/>
                    <w:tl2br w:val="nil"/>
                    <w:tr2bl w:val="nil"/>
                  </w:tcBorders>
                  <w:vAlign w:val="center"/>
                </w:tcPr>
                <w:p w14:paraId="4B180673">
                  <w:pPr>
                    <w:pStyle w:val="63"/>
                    <w:spacing w:before="24" w:after="24"/>
                    <w:rPr>
                      <w:rFonts w:hint="default" w:ascii="Times New Roman" w:hAnsi="Times New Roman" w:cs="Times New Roman"/>
                      <w:color w:val="0D0D0D" w:themeColor="text1" w:themeTint="F2"/>
                      <w:sz w:val="21"/>
                      <w:highlight w:val="none"/>
                      <w:u w:val="wav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wave"/>
                      <w:lang w:val="en-US" w:eastAsia="zh-CN"/>
                      <w14:textFill>
                        <w14:solidFill>
                          <w14:schemeClr w14:val="tx1">
                            <w14:lumMod w14:val="95000"/>
                            <w14:lumOff w14:val="5000"/>
                          </w14:schemeClr>
                        </w14:solidFill>
                      </w14:textFill>
                    </w:rPr>
                    <w:t>施工期：洒</w:t>
                  </w:r>
                </w:p>
                <w:p w14:paraId="366CF611">
                  <w:pPr>
                    <w:pStyle w:val="63"/>
                    <w:spacing w:before="24" w:after="24"/>
                    <w:ind w:left="0" w:leftChars="0" w:firstLine="0" w:firstLineChars="0"/>
                    <w:rPr>
                      <w:rFonts w:hint="default" w:ascii="Times New Roman" w:hAnsi="Times New Roman" w:cs="Times New Roman"/>
                      <w:color w:val="0D0D0D" w:themeColor="text1" w:themeTint="F2"/>
                      <w:sz w:val="21"/>
                      <w:highlight w:val="none"/>
                      <w:u w:val="non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wave"/>
                      <w:lang w:val="en-US" w:eastAsia="zh-CN"/>
                      <w14:textFill>
                        <w14:solidFill>
                          <w14:schemeClr w14:val="tx1">
                            <w14:lumMod w14:val="95000"/>
                            <w14:lumOff w14:val="5000"/>
                          </w14:schemeClr>
                        </w14:solidFill>
                      </w14:textFill>
                    </w:rPr>
                    <w:t>水降尘，减少粉尘和扬尘的产生，尽量维持空气质量现状；禁止夜间施工，尽量维持声环境质量</w:t>
                  </w:r>
                </w:p>
              </w:tc>
            </w:tr>
            <w:tr w14:paraId="5177F0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 w:type="dxa"/>
                  <w:bottom w:w="0" w:type="dxa"/>
                  <w:right w:w="11" w:type="dxa"/>
                </w:tblCellMar>
              </w:tblPrEx>
              <w:trPr>
                <w:jc w:val="center"/>
              </w:trPr>
              <w:tc>
                <w:tcPr>
                  <w:tcW w:w="208" w:type="dxa"/>
                  <w:tcBorders>
                    <w:tl2br w:val="nil"/>
                    <w:tr2bl w:val="nil"/>
                  </w:tcBorders>
                  <w:vAlign w:val="center"/>
                </w:tcPr>
                <w:p w14:paraId="618948C9">
                  <w:pPr>
                    <w:pStyle w:val="63"/>
                    <w:spacing w:before="24" w:after="24"/>
                    <w:rPr>
                      <w:rFonts w:hint="default" w:ascii="Times New Roman" w:hAnsi="Times New Roman" w:cs="Times New Roman"/>
                      <w:color w:val="000000" w:themeColor="text1"/>
                      <w:sz w:val="21"/>
                      <w:highlight w:val="none"/>
                      <w:u w:val="none"/>
                      <w:lang w:val="en-US" w:eastAsia="zh-CN"/>
                      <w14:textFill>
                        <w14:solidFill>
                          <w14:schemeClr w14:val="tx1"/>
                        </w14:solidFill>
                      </w14:textFill>
                    </w:rPr>
                  </w:pPr>
                  <w:r>
                    <w:rPr>
                      <w:rFonts w:hint="eastAsia" w:ascii="Times New Roman" w:hAnsi="Times New Roman" w:cs="Times New Roman"/>
                      <w:color w:val="000000" w:themeColor="text1"/>
                      <w:sz w:val="21"/>
                      <w:highlight w:val="none"/>
                      <w:u w:val="none"/>
                      <w:lang w:val="en-US" w:eastAsia="zh-CN"/>
                      <w14:textFill>
                        <w14:solidFill>
                          <w14:schemeClr w14:val="tx1"/>
                        </w14:solidFill>
                      </w14:textFill>
                    </w:rPr>
                    <w:t>2</w:t>
                  </w:r>
                </w:p>
              </w:tc>
              <w:tc>
                <w:tcPr>
                  <w:tcW w:w="618" w:type="dxa"/>
                  <w:tcBorders>
                    <w:tl2br w:val="nil"/>
                    <w:tr2bl w:val="nil"/>
                  </w:tcBorders>
                  <w:vAlign w:val="center"/>
                </w:tcPr>
                <w:p w14:paraId="3188C1C3">
                  <w:pPr>
                    <w:pStyle w:val="63"/>
                    <w:spacing w:before="24" w:after="24"/>
                    <w:rPr>
                      <w:rFonts w:hint="default" w:ascii="Times New Roman" w:hAnsi="Times New Roman" w:cs="Times New Roman"/>
                      <w:color w:val="000000" w:themeColor="text1"/>
                      <w:sz w:val="21"/>
                      <w:highlight w:val="none"/>
                      <w:u w:val="none"/>
                      <w:lang w:val="en-US" w:eastAsia="zh-CN"/>
                      <w14:textFill>
                        <w14:solidFill>
                          <w14:schemeClr w14:val="tx1"/>
                        </w14:solidFill>
                      </w14:textFill>
                    </w:rPr>
                  </w:pPr>
                  <w:r>
                    <w:rPr>
                      <w:rFonts w:hint="eastAsia" w:ascii="Times New Roman" w:hAnsi="Times New Roman" w:cs="Times New Roman"/>
                      <w:color w:val="000000" w:themeColor="text1"/>
                      <w:sz w:val="21"/>
                      <w:highlight w:val="none"/>
                      <w:u w:val="none"/>
                      <w:lang w:val="en-US" w:eastAsia="zh-CN"/>
                      <w14:textFill>
                        <w14:solidFill>
                          <w14:schemeClr w14:val="tx1"/>
                        </w14:solidFill>
                      </w14:textFill>
                    </w:rPr>
                    <w:t>高堆居民点</w:t>
                  </w:r>
                </w:p>
              </w:tc>
              <w:tc>
                <w:tcPr>
                  <w:tcW w:w="1438" w:type="dxa"/>
                  <w:tcBorders>
                    <w:tl2br w:val="nil"/>
                    <w:tr2bl w:val="nil"/>
                  </w:tcBorders>
                  <w:vAlign w:val="center"/>
                </w:tcPr>
                <w:p w14:paraId="407C38FB">
                  <w:pPr>
                    <w:pStyle w:val="63"/>
                    <w:spacing w:before="24" w:after="24"/>
                    <w:ind w:left="0" w:leftChars="0" w:firstLine="0" w:firstLineChars="0"/>
                    <w:rPr>
                      <w:rFonts w:hint="default" w:ascii="Times New Roman" w:hAnsi="Times New Roman" w:eastAsia="宋体" w:cs="Times New Roman"/>
                      <w:color w:val="000000" w:themeColor="text1"/>
                      <w:sz w:val="2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highlight w:val="none"/>
                      <w:u w:val="none"/>
                      <w:lang w:val="en-US" w:eastAsia="zh-CN"/>
                      <w14:textFill>
                        <w14:solidFill>
                          <w14:schemeClr w14:val="tx1"/>
                        </w14:solidFill>
                      </w14:textFill>
                    </w:rPr>
                    <w:t>109°</w:t>
                  </w:r>
                  <w:r>
                    <w:rPr>
                      <w:rFonts w:hint="eastAsia" w:ascii="Times New Roman" w:hAnsi="Times New Roman" w:cs="Times New Roman"/>
                      <w:color w:val="000000" w:themeColor="text1"/>
                      <w:sz w:val="21"/>
                      <w:highlight w:val="none"/>
                      <w:u w:val="none"/>
                      <w:lang w:val="en-US" w:eastAsia="zh-CN"/>
                      <w14:textFill>
                        <w14:solidFill>
                          <w14:schemeClr w14:val="tx1"/>
                        </w14:solidFill>
                      </w14:textFill>
                    </w:rPr>
                    <w:t>72</w:t>
                  </w:r>
                  <w:r>
                    <w:rPr>
                      <w:rFonts w:hint="default" w:ascii="Times New Roman" w:hAnsi="Times New Roman" w:eastAsia="宋体" w:cs="Times New Roman"/>
                      <w:color w:val="000000" w:themeColor="text1"/>
                      <w:sz w:val="21"/>
                      <w:highlight w:val="none"/>
                      <w:u w:val="none"/>
                      <w:lang w:val="en-US" w:eastAsia="zh-CN"/>
                      <w14:textFill>
                        <w14:solidFill>
                          <w14:schemeClr w14:val="tx1"/>
                        </w14:solidFill>
                      </w14:textFill>
                    </w:rPr>
                    <w:t>′</w:t>
                  </w:r>
                  <w:r>
                    <w:rPr>
                      <w:rFonts w:hint="eastAsia" w:ascii="Times New Roman" w:hAnsi="Times New Roman" w:cs="Times New Roman"/>
                      <w:color w:val="000000" w:themeColor="text1"/>
                      <w:sz w:val="21"/>
                      <w:highlight w:val="none"/>
                      <w:u w:val="none"/>
                      <w:lang w:val="en-US" w:eastAsia="zh-CN"/>
                      <w14:textFill>
                        <w14:solidFill>
                          <w14:schemeClr w14:val="tx1"/>
                        </w14:solidFill>
                      </w14:textFill>
                    </w:rPr>
                    <w:t>54.933</w:t>
                  </w:r>
                  <w:r>
                    <w:rPr>
                      <w:rFonts w:hint="default" w:ascii="Times New Roman" w:hAnsi="Times New Roman" w:eastAsia="宋体" w:cs="Times New Roman"/>
                      <w:color w:val="000000" w:themeColor="text1"/>
                      <w:sz w:val="21"/>
                      <w:highlight w:val="none"/>
                      <w:u w:val="none"/>
                      <w:lang w:val="en-US" w:eastAsia="zh-CN"/>
                      <w14:textFill>
                        <w14:solidFill>
                          <w14:schemeClr w14:val="tx1"/>
                        </w14:solidFill>
                      </w14:textFill>
                    </w:rPr>
                    <w:t>″</w:t>
                  </w:r>
                </w:p>
              </w:tc>
              <w:tc>
                <w:tcPr>
                  <w:tcW w:w="1350" w:type="dxa"/>
                  <w:tcBorders>
                    <w:tl2br w:val="nil"/>
                    <w:tr2bl w:val="nil"/>
                  </w:tcBorders>
                  <w:vAlign w:val="center"/>
                </w:tcPr>
                <w:p w14:paraId="34BB4F83">
                  <w:pPr>
                    <w:pStyle w:val="63"/>
                    <w:spacing w:before="24" w:after="24"/>
                    <w:ind w:left="0" w:leftChars="0" w:firstLine="0" w:firstLineChars="0"/>
                    <w:rPr>
                      <w:rFonts w:hint="default" w:ascii="Times New Roman" w:hAnsi="Times New Roman" w:eastAsia="宋体" w:cs="Times New Roman"/>
                      <w:color w:val="000000" w:themeColor="text1"/>
                      <w:sz w:val="2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highlight w:val="none"/>
                      <w:u w:val="none"/>
                      <w:lang w:val="en-US" w:eastAsia="zh-CN"/>
                      <w14:textFill>
                        <w14:solidFill>
                          <w14:schemeClr w14:val="tx1"/>
                        </w14:solidFill>
                      </w14:textFill>
                    </w:rPr>
                    <w:t xml:space="preserve"> 26°</w:t>
                  </w:r>
                  <w:r>
                    <w:rPr>
                      <w:rFonts w:hint="eastAsia" w:ascii="Times New Roman" w:hAnsi="Times New Roman" w:cs="Times New Roman"/>
                      <w:color w:val="000000" w:themeColor="text1"/>
                      <w:sz w:val="21"/>
                      <w:highlight w:val="none"/>
                      <w:u w:val="none"/>
                      <w:lang w:val="en-US" w:eastAsia="zh-CN"/>
                      <w14:textFill>
                        <w14:solidFill>
                          <w14:schemeClr w14:val="tx1"/>
                        </w14:solidFill>
                      </w14:textFill>
                    </w:rPr>
                    <w:t>15</w:t>
                  </w:r>
                  <w:r>
                    <w:rPr>
                      <w:rFonts w:hint="default" w:ascii="Times New Roman" w:hAnsi="Times New Roman" w:eastAsia="宋体" w:cs="Times New Roman"/>
                      <w:color w:val="000000" w:themeColor="text1"/>
                      <w:sz w:val="21"/>
                      <w:highlight w:val="none"/>
                      <w:u w:val="none"/>
                      <w:lang w:val="en-US" w:eastAsia="zh-CN"/>
                      <w14:textFill>
                        <w14:solidFill>
                          <w14:schemeClr w14:val="tx1"/>
                        </w14:solidFill>
                      </w14:textFill>
                    </w:rPr>
                    <w:t>′</w:t>
                  </w:r>
                  <w:r>
                    <w:rPr>
                      <w:rFonts w:hint="eastAsia" w:ascii="Times New Roman" w:hAnsi="Times New Roman" w:cs="Times New Roman"/>
                      <w:color w:val="000000" w:themeColor="text1"/>
                      <w:sz w:val="21"/>
                      <w:highlight w:val="none"/>
                      <w:u w:val="none"/>
                      <w:lang w:val="en-US" w:eastAsia="zh-CN"/>
                      <w14:textFill>
                        <w14:solidFill>
                          <w14:schemeClr w14:val="tx1"/>
                        </w14:solidFill>
                      </w14:textFill>
                    </w:rPr>
                    <w:t>89.152</w:t>
                  </w:r>
                  <w:r>
                    <w:rPr>
                      <w:rFonts w:hint="default" w:ascii="Times New Roman" w:hAnsi="Times New Roman" w:eastAsia="宋体" w:cs="Times New Roman"/>
                      <w:color w:val="000000" w:themeColor="text1"/>
                      <w:sz w:val="21"/>
                      <w:highlight w:val="none"/>
                      <w:u w:val="none"/>
                      <w:lang w:val="en-US" w:eastAsia="zh-CN"/>
                      <w14:textFill>
                        <w14:solidFill>
                          <w14:schemeClr w14:val="tx1"/>
                        </w14:solidFill>
                      </w14:textFill>
                    </w:rPr>
                    <w:t>″</w:t>
                  </w:r>
                </w:p>
              </w:tc>
              <w:tc>
                <w:tcPr>
                  <w:tcW w:w="773" w:type="dxa"/>
                  <w:tcBorders>
                    <w:tl2br w:val="nil"/>
                    <w:tr2bl w:val="nil"/>
                  </w:tcBorders>
                  <w:vAlign w:val="center"/>
                </w:tcPr>
                <w:p w14:paraId="739B8F26">
                  <w:pPr>
                    <w:pStyle w:val="63"/>
                    <w:spacing w:before="24" w:after="24"/>
                    <w:rPr>
                      <w:rFonts w:hint="default" w:ascii="Times New Roman" w:hAnsi="Times New Roman" w:cs="Times New Roman"/>
                      <w:color w:val="000000" w:themeColor="text1"/>
                      <w:sz w:val="21"/>
                      <w:highlight w:val="none"/>
                      <w:u w:val="none"/>
                      <w:lang w:val="en-US" w:eastAsia="zh-CN"/>
                      <w14:textFill>
                        <w14:solidFill>
                          <w14:schemeClr w14:val="tx1"/>
                        </w14:solidFill>
                      </w14:textFill>
                    </w:rPr>
                  </w:pPr>
                  <w:r>
                    <w:rPr>
                      <w:rFonts w:hint="eastAsia" w:ascii="Times New Roman" w:hAnsi="Times New Roman" w:cs="Times New Roman"/>
                      <w:color w:val="000000" w:themeColor="text1"/>
                      <w:sz w:val="21"/>
                      <w:highlight w:val="none"/>
                      <w:u w:val="none"/>
                      <w:lang w:val="en-US" w:eastAsia="zh-CN"/>
                      <w14:textFill>
                        <w14:solidFill>
                          <w14:schemeClr w14:val="tx1"/>
                        </w14:solidFill>
                      </w14:textFill>
                    </w:rPr>
                    <w:t>4号弃渣场西面400-500m</w:t>
                  </w:r>
                </w:p>
              </w:tc>
              <w:tc>
                <w:tcPr>
                  <w:tcW w:w="711" w:type="dxa"/>
                  <w:tcBorders>
                    <w:tl2br w:val="nil"/>
                    <w:tr2bl w:val="nil"/>
                  </w:tcBorders>
                  <w:vAlign w:val="center"/>
                </w:tcPr>
                <w:p w14:paraId="735C3663">
                  <w:pPr>
                    <w:spacing w:before="24" w:after="24" w:line="240" w:lineRule="auto"/>
                    <w:rPr>
                      <w:rFonts w:hint="eastAsia" w:ascii="Times New Roman" w:hAnsi="Times New Roman" w:cs="Times New Roman"/>
                      <w:color w:val="000000" w:themeColor="text1"/>
                      <w:sz w:val="21"/>
                      <w:highlight w:val="none"/>
                      <w:u w:val="none"/>
                      <w:lang w:val="en-US" w:eastAsia="zh-CN"/>
                      <w14:textFill>
                        <w14:solidFill>
                          <w14:schemeClr w14:val="tx1"/>
                        </w14:solidFill>
                      </w14:textFill>
                    </w:rPr>
                  </w:pPr>
                  <w:r>
                    <w:rPr>
                      <w:rFonts w:hint="eastAsia" w:cs="Times New Roman"/>
                      <w:color w:val="000000" w:themeColor="text1"/>
                      <w:sz w:val="21"/>
                      <w:highlight w:val="none"/>
                      <w:u w:val="none"/>
                      <w:lang w:val="en-US" w:eastAsia="zh-CN"/>
                      <w14:textFill>
                        <w14:solidFill>
                          <w14:schemeClr w14:val="tx1"/>
                        </w14:solidFill>
                      </w14:textFill>
                    </w:rPr>
                    <w:t>7</w:t>
                  </w:r>
                  <w:r>
                    <w:rPr>
                      <w:rFonts w:hint="eastAsia" w:ascii="Times New Roman" w:hAnsi="Times New Roman" w:cs="Times New Roman"/>
                      <w:color w:val="000000" w:themeColor="text1"/>
                      <w:sz w:val="21"/>
                      <w:highlight w:val="none"/>
                      <w:u w:val="none"/>
                      <w:lang w:val="en-US" w:eastAsia="zh-CN"/>
                      <w14:textFill>
                        <w14:solidFill>
                          <w14:schemeClr w14:val="tx1"/>
                        </w14:solidFill>
                      </w14:textFill>
                    </w:rPr>
                    <w:t>0m，山体隔阻</w:t>
                  </w:r>
                </w:p>
              </w:tc>
              <w:tc>
                <w:tcPr>
                  <w:tcW w:w="711" w:type="dxa"/>
                  <w:tcBorders>
                    <w:tl2br w:val="nil"/>
                    <w:tr2bl w:val="nil"/>
                  </w:tcBorders>
                  <w:vAlign w:val="center"/>
                </w:tcPr>
                <w:p w14:paraId="33A22648">
                  <w:pPr>
                    <w:pStyle w:val="63"/>
                    <w:spacing w:before="24" w:after="24"/>
                    <w:rPr>
                      <w:rFonts w:hint="default" w:ascii="Times New Roman" w:hAnsi="Times New Roman" w:cs="Times New Roman"/>
                      <w:color w:val="000000" w:themeColor="text1"/>
                      <w:sz w:val="21"/>
                      <w:highlight w:val="none"/>
                      <w:u w:val="none"/>
                      <w:lang w:val="en-US" w:eastAsia="zh-CN"/>
                      <w14:textFill>
                        <w14:solidFill>
                          <w14:schemeClr w14:val="tx1"/>
                        </w14:solidFill>
                      </w14:textFill>
                    </w:rPr>
                  </w:pPr>
                  <w:r>
                    <w:rPr>
                      <w:rFonts w:hint="eastAsia" w:ascii="Times New Roman" w:hAnsi="Times New Roman" w:cs="Times New Roman"/>
                      <w:color w:val="000000" w:themeColor="text1"/>
                      <w:sz w:val="21"/>
                      <w:highlight w:val="none"/>
                      <w:u w:val="none"/>
                      <w:lang w:val="en-US" w:eastAsia="zh-CN"/>
                      <w14:textFill>
                        <w14:solidFill>
                          <w14:schemeClr w14:val="tx1"/>
                        </w14:solidFill>
                      </w14:textFill>
                    </w:rPr>
                    <w:t>约12户</w:t>
                  </w:r>
                </w:p>
              </w:tc>
              <w:tc>
                <w:tcPr>
                  <w:tcW w:w="733" w:type="dxa"/>
                  <w:vMerge w:val="continue"/>
                  <w:tcBorders>
                    <w:tl2br w:val="nil"/>
                    <w:tr2bl w:val="nil"/>
                  </w:tcBorders>
                  <w:vAlign w:val="center"/>
                </w:tcPr>
                <w:p w14:paraId="1D831BBD">
                  <w:pPr>
                    <w:pStyle w:val="63"/>
                    <w:spacing w:before="0" w:beforeLines="0" w:after="0" w:afterLines="0"/>
                    <w:rPr>
                      <w:rFonts w:hint="default" w:ascii="Times New Roman" w:hAnsi="Times New Roman" w:cs="Times New Roman"/>
                      <w:color w:val="0D0D0D" w:themeColor="text1" w:themeTint="F2"/>
                      <w:sz w:val="21"/>
                      <w:highlight w:val="none"/>
                      <w:u w:val="none"/>
                      <w14:textFill>
                        <w14:solidFill>
                          <w14:schemeClr w14:val="tx1">
                            <w14:lumMod w14:val="95000"/>
                            <w14:lumOff w14:val="5000"/>
                          </w14:schemeClr>
                        </w14:solidFill>
                      </w14:textFill>
                    </w:rPr>
                  </w:pPr>
                </w:p>
              </w:tc>
              <w:tc>
                <w:tcPr>
                  <w:tcW w:w="1026" w:type="dxa"/>
                  <w:vMerge w:val="continue"/>
                  <w:tcBorders>
                    <w:tl2br w:val="nil"/>
                    <w:tr2bl w:val="nil"/>
                  </w:tcBorders>
                  <w:vAlign w:val="center"/>
                </w:tcPr>
                <w:p w14:paraId="7DAD1136">
                  <w:pPr>
                    <w:pStyle w:val="63"/>
                    <w:spacing w:before="0" w:beforeLines="0" w:after="0" w:afterLines="0"/>
                    <w:rPr>
                      <w:rFonts w:hint="default" w:ascii="Times New Roman" w:hAnsi="Times New Roman" w:cs="Times New Roman"/>
                      <w:color w:val="0D0D0D" w:themeColor="text1" w:themeTint="F2"/>
                      <w:sz w:val="21"/>
                      <w:highlight w:val="none"/>
                      <w:u w:val="none"/>
                      <w14:textFill>
                        <w14:solidFill>
                          <w14:schemeClr w14:val="tx1">
                            <w14:lumMod w14:val="95000"/>
                            <w14:lumOff w14:val="5000"/>
                          </w14:schemeClr>
                        </w14:solidFill>
                      </w14:textFill>
                    </w:rPr>
                  </w:pPr>
                </w:p>
              </w:tc>
            </w:tr>
            <w:bookmarkEnd w:id="75"/>
          </w:tbl>
          <w:p w14:paraId="3533CA70">
            <w:pPr>
              <w:pStyle w:val="89"/>
              <w:spacing w:line="240" w:lineRule="auto"/>
              <w:ind w:firstLine="1265" w:firstLineChars="600"/>
              <w:jc w:val="both"/>
              <w:rPr>
                <w:color w:val="0D0D0D" w:themeColor="text1" w:themeTint="F2"/>
                <w:highlight w:val="none"/>
                <w:u w:val="none"/>
                <w14:textFill>
                  <w14:solidFill>
                    <w14:schemeClr w14:val="tx1">
                      <w14:lumMod w14:val="95000"/>
                      <w14:lumOff w14:val="5000"/>
                    </w14:schemeClr>
                  </w14:solidFill>
                </w14:textFill>
              </w:rPr>
            </w:pPr>
            <w:r>
              <w:rPr>
                <w:rFonts w:hint="eastAsia"/>
                <w:color w:val="0D0D0D" w:themeColor="text1" w:themeTint="F2"/>
                <w:highlight w:val="none"/>
                <w:u w:val="none"/>
                <w14:textFill>
                  <w14:solidFill>
                    <w14:schemeClr w14:val="tx1">
                      <w14:lumMod w14:val="95000"/>
                      <w14:lumOff w14:val="5000"/>
                    </w14:schemeClr>
                  </w14:solidFill>
                </w14:textFill>
              </w:rPr>
              <w:t>表3-</w:t>
            </w:r>
            <w:r>
              <w:rPr>
                <w:rFonts w:hint="eastAsia"/>
                <w:color w:val="0D0D0D" w:themeColor="text1" w:themeTint="F2"/>
                <w:highlight w:val="none"/>
                <w:u w:val="none"/>
                <w:lang w:val="en-US" w:eastAsia="zh-CN"/>
                <w14:textFill>
                  <w14:solidFill>
                    <w14:schemeClr w14:val="tx1">
                      <w14:lumMod w14:val="95000"/>
                      <w14:lumOff w14:val="5000"/>
                    </w14:schemeClr>
                  </w14:solidFill>
                </w14:textFill>
              </w:rPr>
              <w:t>8</w:t>
            </w:r>
            <w:r>
              <w:rPr>
                <w:rFonts w:hint="eastAsia"/>
                <w:color w:val="0D0D0D" w:themeColor="text1" w:themeTint="F2"/>
                <w:highlight w:val="none"/>
                <w:u w:val="none"/>
                <w14:textFill>
                  <w14:solidFill>
                    <w14:schemeClr w14:val="tx1">
                      <w14:lumMod w14:val="95000"/>
                      <w14:lumOff w14:val="5000"/>
                    </w14:schemeClr>
                  </w14:solidFill>
                </w14:textFill>
              </w:rPr>
              <w:t xml:space="preserve"> 项目运输道路沿线大气和声环境保护目标一览表</w:t>
            </w:r>
          </w:p>
          <w:tbl>
            <w:tblPr>
              <w:tblStyle w:val="26"/>
              <w:tblW w:w="75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 w:type="dxa"/>
                <w:bottom w:w="0" w:type="dxa"/>
                <w:right w:w="11" w:type="dxa"/>
              </w:tblCellMar>
            </w:tblPr>
            <w:tblGrid>
              <w:gridCol w:w="232"/>
              <w:gridCol w:w="968"/>
              <w:gridCol w:w="1587"/>
              <w:gridCol w:w="1486"/>
              <w:gridCol w:w="1169"/>
              <w:gridCol w:w="549"/>
              <w:gridCol w:w="649"/>
              <w:gridCol w:w="932"/>
            </w:tblGrid>
            <w:tr w14:paraId="310AD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223" w:type="dxa"/>
                  <w:vMerge w:val="restart"/>
                  <w:tcBorders>
                    <w:tl2br w:val="nil"/>
                    <w:tr2bl w:val="nil"/>
                  </w:tcBorders>
                  <w:noWrap w:val="0"/>
                  <w:vAlign w:val="center"/>
                </w:tcPr>
                <w:p w14:paraId="19E390E0">
                  <w:pPr>
                    <w:pStyle w:val="63"/>
                    <w:spacing w:before="24" w:after="24"/>
                    <w:rPr>
                      <w:rFonts w:hint="default" w:ascii="Times New Roman" w:hAnsi="Times New Roman" w:cs="Times New Roman"/>
                      <w:color w:val="0D0D0D" w:themeColor="text1" w:themeTint="F2"/>
                      <w:sz w:val="21"/>
                      <w:highlight w:val="none"/>
                      <w:u w:val="non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none"/>
                      <w:lang w:val="en-US" w:eastAsia="zh-CN"/>
                      <w14:textFill>
                        <w14:solidFill>
                          <w14:schemeClr w14:val="tx1">
                            <w14:lumMod w14:val="95000"/>
                            <w14:lumOff w14:val="5000"/>
                          </w14:schemeClr>
                        </w14:solidFill>
                      </w14:textFill>
                    </w:rPr>
                    <w:t>序号</w:t>
                  </w:r>
                </w:p>
              </w:tc>
              <w:tc>
                <w:tcPr>
                  <w:tcW w:w="971" w:type="dxa"/>
                  <w:vMerge w:val="restart"/>
                  <w:tcBorders>
                    <w:tl2br w:val="nil"/>
                    <w:tr2bl w:val="nil"/>
                  </w:tcBorders>
                  <w:noWrap w:val="0"/>
                  <w:vAlign w:val="center"/>
                </w:tcPr>
                <w:p w14:paraId="25039393">
                  <w:pPr>
                    <w:pStyle w:val="63"/>
                    <w:spacing w:before="24" w:after="24"/>
                    <w:rPr>
                      <w:rFonts w:hint="default" w:ascii="Times New Roman" w:hAnsi="Times New Roman" w:cs="Times New Roman"/>
                      <w:color w:val="0D0D0D" w:themeColor="text1" w:themeTint="F2"/>
                      <w:sz w:val="21"/>
                      <w:highlight w:val="none"/>
                      <w:u w:val="non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none"/>
                      <w:lang w:val="en-US" w:eastAsia="zh-CN"/>
                      <w14:textFill>
                        <w14:solidFill>
                          <w14:schemeClr w14:val="tx1">
                            <w14:lumMod w14:val="95000"/>
                            <w14:lumOff w14:val="5000"/>
                          </w14:schemeClr>
                        </w14:solidFill>
                      </w14:textFill>
                    </w:rPr>
                    <w:t>敏感点名称</w:t>
                  </w:r>
                </w:p>
              </w:tc>
              <w:tc>
                <w:tcPr>
                  <w:tcW w:w="3075" w:type="dxa"/>
                  <w:gridSpan w:val="2"/>
                  <w:tcBorders>
                    <w:tl2br w:val="nil"/>
                    <w:tr2bl w:val="nil"/>
                  </w:tcBorders>
                  <w:noWrap w:val="0"/>
                  <w:vAlign w:val="center"/>
                </w:tcPr>
                <w:p w14:paraId="0B2588CB">
                  <w:pPr>
                    <w:pStyle w:val="63"/>
                    <w:spacing w:before="24" w:after="24"/>
                    <w:rPr>
                      <w:rFonts w:hint="default" w:ascii="Times New Roman" w:hAnsi="Times New Roman" w:cs="Times New Roman"/>
                      <w:color w:val="0D0D0D" w:themeColor="text1" w:themeTint="F2"/>
                      <w:sz w:val="21"/>
                      <w:highlight w:val="none"/>
                      <w:u w:val="non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none"/>
                      <w:lang w:val="en-US" w:eastAsia="zh-CN"/>
                      <w14:textFill>
                        <w14:solidFill>
                          <w14:schemeClr w14:val="tx1">
                            <w14:lumMod w14:val="95000"/>
                            <w14:lumOff w14:val="5000"/>
                          </w14:schemeClr>
                        </w14:solidFill>
                      </w14:textFill>
                    </w:rPr>
                    <w:t>经纬度</w:t>
                  </w:r>
                </w:p>
              </w:tc>
              <w:tc>
                <w:tcPr>
                  <w:tcW w:w="1170" w:type="dxa"/>
                  <w:vMerge w:val="restart"/>
                  <w:tcBorders>
                    <w:tl2br w:val="nil"/>
                    <w:tr2bl w:val="nil"/>
                  </w:tcBorders>
                  <w:noWrap w:val="0"/>
                  <w:vAlign w:val="center"/>
                </w:tcPr>
                <w:p w14:paraId="24A48C39">
                  <w:pPr>
                    <w:pStyle w:val="63"/>
                    <w:spacing w:before="24" w:after="24"/>
                    <w:rPr>
                      <w:rFonts w:hint="default" w:ascii="Times New Roman" w:hAnsi="Times New Roman" w:cs="Times New Roman"/>
                      <w:color w:val="0D0D0D" w:themeColor="text1" w:themeTint="F2"/>
                      <w:sz w:val="21"/>
                      <w:highlight w:val="none"/>
                      <w:u w:val="non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none"/>
                      <w:lang w:val="en-US" w:eastAsia="zh-CN"/>
                      <w14:textFill>
                        <w14:solidFill>
                          <w14:schemeClr w14:val="tx1">
                            <w14:lumMod w14:val="95000"/>
                            <w14:lumOff w14:val="5000"/>
                          </w14:schemeClr>
                        </w14:solidFill>
                      </w14:textFill>
                    </w:rPr>
                    <w:t>与道路中心线最近水平距离</w:t>
                  </w:r>
                </w:p>
              </w:tc>
              <w:tc>
                <w:tcPr>
                  <w:tcW w:w="550" w:type="dxa"/>
                  <w:vMerge w:val="restart"/>
                  <w:tcBorders>
                    <w:tl2br w:val="nil"/>
                    <w:tr2bl w:val="nil"/>
                  </w:tcBorders>
                  <w:noWrap w:val="0"/>
                  <w:vAlign w:val="center"/>
                </w:tcPr>
                <w:p w14:paraId="5BFFCF13">
                  <w:pPr>
                    <w:pStyle w:val="63"/>
                    <w:spacing w:before="24" w:after="24"/>
                    <w:rPr>
                      <w:rFonts w:hint="default" w:ascii="Times New Roman" w:hAnsi="Times New Roman" w:cs="Times New Roman"/>
                      <w:color w:val="0D0D0D" w:themeColor="text1" w:themeTint="F2"/>
                      <w:sz w:val="21"/>
                      <w:highlight w:val="none"/>
                      <w:u w:val="non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none"/>
                      <w:lang w:val="en-US" w:eastAsia="zh-CN"/>
                      <w14:textFill>
                        <w14:solidFill>
                          <w14:schemeClr w14:val="tx1">
                            <w14:lumMod w14:val="95000"/>
                            <w14:lumOff w14:val="5000"/>
                          </w14:schemeClr>
                        </w14:solidFill>
                      </w14:textFill>
                    </w:rPr>
                    <w:t>规模</w:t>
                  </w:r>
                </w:p>
              </w:tc>
              <w:tc>
                <w:tcPr>
                  <w:tcW w:w="650" w:type="dxa"/>
                  <w:vMerge w:val="restart"/>
                  <w:tcBorders>
                    <w:tl2br w:val="nil"/>
                    <w:tr2bl w:val="nil"/>
                  </w:tcBorders>
                  <w:noWrap w:val="0"/>
                  <w:vAlign w:val="center"/>
                </w:tcPr>
                <w:p w14:paraId="79A7F359">
                  <w:pPr>
                    <w:pStyle w:val="63"/>
                    <w:spacing w:before="24" w:after="24"/>
                    <w:rPr>
                      <w:rFonts w:hint="default" w:ascii="Times New Roman" w:hAnsi="Times New Roman" w:cs="Times New Roman"/>
                      <w:color w:val="0D0D0D" w:themeColor="text1" w:themeTint="F2"/>
                      <w:sz w:val="21"/>
                      <w:highlight w:val="none"/>
                      <w:u w:val="non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none"/>
                      <w:lang w:val="en-US" w:eastAsia="zh-CN"/>
                      <w14:textFill>
                        <w14:solidFill>
                          <w14:schemeClr w14:val="tx1">
                            <w14:lumMod w14:val="95000"/>
                            <w14:lumOff w14:val="5000"/>
                          </w14:schemeClr>
                        </w14:solidFill>
                      </w14:textFill>
                    </w:rPr>
                    <w:t>影响源和时段</w:t>
                  </w:r>
                </w:p>
              </w:tc>
              <w:tc>
                <w:tcPr>
                  <w:tcW w:w="933" w:type="dxa"/>
                  <w:vMerge w:val="restart"/>
                  <w:tcBorders>
                    <w:tl2br w:val="nil"/>
                    <w:tr2bl w:val="nil"/>
                  </w:tcBorders>
                  <w:noWrap w:val="0"/>
                  <w:vAlign w:val="center"/>
                </w:tcPr>
                <w:p w14:paraId="6860504B">
                  <w:pPr>
                    <w:pStyle w:val="63"/>
                    <w:spacing w:before="24" w:after="24"/>
                    <w:rPr>
                      <w:rFonts w:hint="default" w:ascii="Times New Roman" w:hAnsi="Times New Roman" w:cs="Times New Roman"/>
                      <w:color w:val="0D0D0D" w:themeColor="text1" w:themeTint="F2"/>
                      <w:sz w:val="21"/>
                      <w:highlight w:val="none"/>
                      <w:u w:val="non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none"/>
                      <w:lang w:val="en-US" w:eastAsia="zh-CN"/>
                      <w14:textFill>
                        <w14:solidFill>
                          <w14:schemeClr w14:val="tx1">
                            <w14:lumMod w14:val="95000"/>
                            <w14:lumOff w14:val="5000"/>
                          </w14:schemeClr>
                        </w14:solidFill>
                      </w14:textFill>
                    </w:rPr>
                    <w:t>保护要求</w:t>
                  </w:r>
                </w:p>
              </w:tc>
            </w:tr>
            <w:tr w14:paraId="463EA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223" w:type="dxa"/>
                  <w:vMerge w:val="continue"/>
                  <w:tcBorders>
                    <w:tl2br w:val="nil"/>
                    <w:tr2bl w:val="nil"/>
                  </w:tcBorders>
                  <w:noWrap w:val="0"/>
                  <w:vAlign w:val="center"/>
                </w:tcPr>
                <w:p w14:paraId="456BE992">
                  <w:pPr>
                    <w:pStyle w:val="63"/>
                    <w:spacing w:before="24" w:after="24"/>
                    <w:rPr>
                      <w:rFonts w:hint="default" w:ascii="Times New Roman" w:hAnsi="Times New Roman" w:cs="Times New Roman"/>
                      <w:color w:val="0D0D0D" w:themeColor="text1" w:themeTint="F2"/>
                      <w:sz w:val="21"/>
                      <w:highlight w:val="none"/>
                      <w:u w:val="none"/>
                      <w:lang w:val="en-US" w:eastAsia="zh-CN"/>
                      <w14:textFill>
                        <w14:solidFill>
                          <w14:schemeClr w14:val="tx1">
                            <w14:lumMod w14:val="95000"/>
                            <w14:lumOff w14:val="5000"/>
                          </w14:schemeClr>
                        </w14:solidFill>
                      </w14:textFill>
                    </w:rPr>
                  </w:pPr>
                </w:p>
              </w:tc>
              <w:tc>
                <w:tcPr>
                  <w:tcW w:w="971" w:type="dxa"/>
                  <w:vMerge w:val="continue"/>
                  <w:tcBorders>
                    <w:tl2br w:val="nil"/>
                    <w:tr2bl w:val="nil"/>
                  </w:tcBorders>
                  <w:noWrap w:val="0"/>
                  <w:vAlign w:val="center"/>
                </w:tcPr>
                <w:p w14:paraId="17FD1688">
                  <w:pPr>
                    <w:pStyle w:val="63"/>
                    <w:spacing w:before="24" w:after="24"/>
                    <w:rPr>
                      <w:rFonts w:hint="default" w:ascii="Times New Roman" w:hAnsi="Times New Roman" w:cs="Times New Roman"/>
                      <w:color w:val="0D0D0D" w:themeColor="text1" w:themeTint="F2"/>
                      <w:sz w:val="21"/>
                      <w:highlight w:val="none"/>
                      <w:u w:val="none"/>
                      <w:lang w:val="en-US" w:eastAsia="zh-CN"/>
                      <w14:textFill>
                        <w14:solidFill>
                          <w14:schemeClr w14:val="tx1">
                            <w14:lumMod w14:val="95000"/>
                            <w14:lumOff w14:val="5000"/>
                          </w14:schemeClr>
                        </w14:solidFill>
                      </w14:textFill>
                    </w:rPr>
                  </w:pPr>
                </w:p>
              </w:tc>
              <w:tc>
                <w:tcPr>
                  <w:tcW w:w="1588" w:type="dxa"/>
                  <w:tcBorders>
                    <w:tl2br w:val="nil"/>
                    <w:tr2bl w:val="nil"/>
                  </w:tcBorders>
                  <w:noWrap w:val="0"/>
                  <w:vAlign w:val="center"/>
                </w:tcPr>
                <w:p w14:paraId="0490772C">
                  <w:pPr>
                    <w:pStyle w:val="63"/>
                    <w:spacing w:before="24" w:after="24"/>
                    <w:rPr>
                      <w:rFonts w:hint="default" w:ascii="Times New Roman" w:hAnsi="Times New Roman" w:cs="Times New Roman"/>
                      <w:color w:val="0D0D0D" w:themeColor="text1" w:themeTint="F2"/>
                      <w:sz w:val="21"/>
                      <w:highlight w:val="none"/>
                      <w:u w:val="non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none"/>
                      <w:lang w:val="en-US" w:eastAsia="zh-CN"/>
                      <w14:textFill>
                        <w14:solidFill>
                          <w14:schemeClr w14:val="tx1">
                            <w14:lumMod w14:val="95000"/>
                            <w14:lumOff w14:val="5000"/>
                          </w14:schemeClr>
                        </w14:solidFill>
                      </w14:textFill>
                    </w:rPr>
                    <w:t>东经</w:t>
                  </w:r>
                </w:p>
              </w:tc>
              <w:tc>
                <w:tcPr>
                  <w:tcW w:w="1487" w:type="dxa"/>
                  <w:tcBorders>
                    <w:tl2br w:val="nil"/>
                    <w:tr2bl w:val="nil"/>
                  </w:tcBorders>
                  <w:noWrap w:val="0"/>
                  <w:vAlign w:val="center"/>
                </w:tcPr>
                <w:p w14:paraId="0239D647">
                  <w:pPr>
                    <w:pStyle w:val="63"/>
                    <w:spacing w:before="24" w:after="24"/>
                    <w:rPr>
                      <w:rFonts w:hint="default" w:ascii="Times New Roman" w:hAnsi="Times New Roman" w:cs="Times New Roman"/>
                      <w:color w:val="0D0D0D" w:themeColor="text1" w:themeTint="F2"/>
                      <w:sz w:val="21"/>
                      <w:highlight w:val="none"/>
                      <w:u w:val="non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none"/>
                      <w:lang w:val="en-US" w:eastAsia="zh-CN"/>
                      <w14:textFill>
                        <w14:solidFill>
                          <w14:schemeClr w14:val="tx1">
                            <w14:lumMod w14:val="95000"/>
                            <w14:lumOff w14:val="5000"/>
                          </w14:schemeClr>
                        </w14:solidFill>
                      </w14:textFill>
                    </w:rPr>
                    <w:t>北纬</w:t>
                  </w:r>
                </w:p>
              </w:tc>
              <w:tc>
                <w:tcPr>
                  <w:tcW w:w="1170" w:type="dxa"/>
                  <w:vMerge w:val="continue"/>
                  <w:tcBorders>
                    <w:tl2br w:val="nil"/>
                    <w:tr2bl w:val="nil"/>
                  </w:tcBorders>
                  <w:noWrap w:val="0"/>
                  <w:vAlign w:val="center"/>
                </w:tcPr>
                <w:p w14:paraId="46D3F70A">
                  <w:pPr>
                    <w:pStyle w:val="63"/>
                    <w:spacing w:before="24" w:after="24"/>
                    <w:rPr>
                      <w:rFonts w:hint="default" w:ascii="Times New Roman" w:hAnsi="Times New Roman" w:cs="Times New Roman"/>
                      <w:color w:val="0D0D0D" w:themeColor="text1" w:themeTint="F2"/>
                      <w:sz w:val="21"/>
                      <w:highlight w:val="none"/>
                      <w:u w:val="none"/>
                      <w:lang w:val="en-US" w:eastAsia="zh-CN"/>
                      <w14:textFill>
                        <w14:solidFill>
                          <w14:schemeClr w14:val="tx1">
                            <w14:lumMod w14:val="95000"/>
                            <w14:lumOff w14:val="5000"/>
                          </w14:schemeClr>
                        </w14:solidFill>
                      </w14:textFill>
                    </w:rPr>
                  </w:pPr>
                </w:p>
              </w:tc>
              <w:tc>
                <w:tcPr>
                  <w:tcW w:w="550" w:type="dxa"/>
                  <w:vMerge w:val="continue"/>
                  <w:tcBorders>
                    <w:tl2br w:val="nil"/>
                    <w:tr2bl w:val="nil"/>
                  </w:tcBorders>
                  <w:noWrap w:val="0"/>
                  <w:vAlign w:val="center"/>
                </w:tcPr>
                <w:p w14:paraId="4736970E">
                  <w:pPr>
                    <w:pStyle w:val="63"/>
                    <w:spacing w:before="24" w:after="24"/>
                    <w:rPr>
                      <w:rFonts w:hint="default" w:ascii="Times New Roman" w:hAnsi="Times New Roman" w:cs="Times New Roman"/>
                      <w:color w:val="0D0D0D" w:themeColor="text1" w:themeTint="F2"/>
                      <w:sz w:val="21"/>
                      <w:highlight w:val="none"/>
                      <w:u w:val="none"/>
                      <w:lang w:val="en-US" w:eastAsia="zh-CN"/>
                      <w14:textFill>
                        <w14:solidFill>
                          <w14:schemeClr w14:val="tx1">
                            <w14:lumMod w14:val="95000"/>
                            <w14:lumOff w14:val="5000"/>
                          </w14:schemeClr>
                        </w14:solidFill>
                      </w14:textFill>
                    </w:rPr>
                  </w:pPr>
                </w:p>
              </w:tc>
              <w:tc>
                <w:tcPr>
                  <w:tcW w:w="650" w:type="dxa"/>
                  <w:vMerge w:val="continue"/>
                  <w:tcBorders>
                    <w:tl2br w:val="nil"/>
                    <w:tr2bl w:val="nil"/>
                  </w:tcBorders>
                  <w:noWrap w:val="0"/>
                  <w:vAlign w:val="center"/>
                </w:tcPr>
                <w:p w14:paraId="5788EB6E">
                  <w:pPr>
                    <w:pStyle w:val="63"/>
                    <w:spacing w:before="24" w:after="24"/>
                    <w:rPr>
                      <w:rFonts w:hint="default" w:ascii="Times New Roman" w:hAnsi="Times New Roman" w:cs="Times New Roman"/>
                      <w:color w:val="0D0D0D" w:themeColor="text1" w:themeTint="F2"/>
                      <w:sz w:val="21"/>
                      <w:highlight w:val="none"/>
                      <w:u w:val="none"/>
                      <w:lang w:val="en-US" w:eastAsia="zh-CN"/>
                      <w14:textFill>
                        <w14:solidFill>
                          <w14:schemeClr w14:val="tx1">
                            <w14:lumMod w14:val="95000"/>
                            <w14:lumOff w14:val="5000"/>
                          </w14:schemeClr>
                        </w14:solidFill>
                      </w14:textFill>
                    </w:rPr>
                  </w:pPr>
                </w:p>
              </w:tc>
              <w:tc>
                <w:tcPr>
                  <w:tcW w:w="933" w:type="dxa"/>
                  <w:vMerge w:val="continue"/>
                  <w:tcBorders>
                    <w:tl2br w:val="nil"/>
                    <w:tr2bl w:val="nil"/>
                  </w:tcBorders>
                  <w:noWrap w:val="0"/>
                  <w:vAlign w:val="center"/>
                </w:tcPr>
                <w:p w14:paraId="5A0B19ED">
                  <w:pPr>
                    <w:pStyle w:val="63"/>
                    <w:spacing w:before="24" w:after="24"/>
                    <w:rPr>
                      <w:rFonts w:hint="default" w:ascii="Times New Roman" w:hAnsi="Times New Roman" w:cs="Times New Roman"/>
                      <w:color w:val="0D0D0D" w:themeColor="text1" w:themeTint="F2"/>
                      <w:sz w:val="21"/>
                      <w:highlight w:val="none"/>
                      <w:u w:val="none"/>
                      <w:lang w:val="en-US" w:eastAsia="zh-CN"/>
                      <w14:textFill>
                        <w14:solidFill>
                          <w14:schemeClr w14:val="tx1">
                            <w14:lumMod w14:val="95000"/>
                            <w14:lumOff w14:val="5000"/>
                          </w14:schemeClr>
                        </w14:solidFill>
                      </w14:textFill>
                    </w:rPr>
                  </w:pPr>
                </w:p>
              </w:tc>
            </w:tr>
            <w:tr w14:paraId="361DC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1592" w:hRule="atLeast"/>
                <w:jc w:val="center"/>
              </w:trPr>
              <w:tc>
                <w:tcPr>
                  <w:tcW w:w="223" w:type="dxa"/>
                  <w:tcBorders>
                    <w:tl2br w:val="nil"/>
                    <w:tr2bl w:val="nil"/>
                  </w:tcBorders>
                  <w:noWrap w:val="0"/>
                  <w:vAlign w:val="center"/>
                </w:tcPr>
                <w:p w14:paraId="5AD6CC6E">
                  <w:pPr>
                    <w:pStyle w:val="63"/>
                    <w:spacing w:before="24" w:after="24"/>
                    <w:rPr>
                      <w:rFonts w:hint="eastAsia" w:ascii="Times New Roman" w:hAnsi="Times New Roman" w:cs="Times New Roman"/>
                      <w:color w:val="0D0D0D" w:themeColor="text1" w:themeTint="F2"/>
                      <w:sz w:val="21"/>
                      <w:highlight w:val="none"/>
                      <w:u w:val="none"/>
                      <w:lang w:val="en-US" w:eastAsia="zh-CN"/>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1"/>
                      <w:highlight w:val="none"/>
                      <w:u w:val="none"/>
                      <w:lang w:val="en-US" w:eastAsia="zh-CN"/>
                      <w14:textFill>
                        <w14:solidFill>
                          <w14:schemeClr w14:val="tx1">
                            <w14:lumMod w14:val="95000"/>
                            <w14:lumOff w14:val="5000"/>
                          </w14:schemeClr>
                        </w14:solidFill>
                      </w14:textFill>
                    </w:rPr>
                    <w:t>1</w:t>
                  </w:r>
                </w:p>
              </w:tc>
              <w:tc>
                <w:tcPr>
                  <w:tcW w:w="971" w:type="dxa"/>
                  <w:tcBorders>
                    <w:tl2br w:val="nil"/>
                    <w:tr2bl w:val="nil"/>
                  </w:tcBorders>
                  <w:noWrap w:val="0"/>
                  <w:vAlign w:val="center"/>
                </w:tcPr>
                <w:p w14:paraId="63163304">
                  <w:pPr>
                    <w:pStyle w:val="63"/>
                    <w:spacing w:before="24" w:after="24"/>
                    <w:rPr>
                      <w:rFonts w:hint="default" w:ascii="Times New Roman" w:hAnsi="Times New Roman" w:cs="Times New Roman"/>
                      <w:color w:val="0D0D0D" w:themeColor="text1" w:themeTint="F2"/>
                      <w:sz w:val="21"/>
                      <w:highlight w:val="none"/>
                      <w:u w:val="none"/>
                      <w:lang w:val="en-US" w:eastAsia="zh-CN"/>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1"/>
                      <w:highlight w:val="none"/>
                      <w:u w:val="none"/>
                      <w:lang w:val="en-US" w:eastAsia="zh-CN"/>
                      <w14:textFill>
                        <w14:solidFill>
                          <w14:schemeClr w14:val="tx1">
                            <w14:lumMod w14:val="95000"/>
                            <w14:lumOff w14:val="5000"/>
                          </w14:schemeClr>
                        </w14:solidFill>
                      </w14:textFill>
                    </w:rPr>
                    <w:t>盘木棕居民点</w:t>
                  </w:r>
                </w:p>
              </w:tc>
              <w:tc>
                <w:tcPr>
                  <w:tcW w:w="1588" w:type="dxa"/>
                  <w:tcBorders>
                    <w:tl2br w:val="nil"/>
                    <w:tr2bl w:val="nil"/>
                  </w:tcBorders>
                  <w:noWrap w:val="0"/>
                  <w:vAlign w:val="center"/>
                </w:tcPr>
                <w:p w14:paraId="6C5489A6">
                  <w:pPr>
                    <w:pStyle w:val="63"/>
                    <w:spacing w:before="24" w:after="24"/>
                    <w:ind w:left="0" w:leftChars="0" w:firstLine="0" w:firstLineChars="0"/>
                    <w:rPr>
                      <w:rFonts w:hint="default" w:ascii="Times New Roman" w:hAnsi="Times New Roman" w:eastAsia="宋体" w:cs="Times New Roman"/>
                      <w:color w:val="0D0D0D" w:themeColor="text1" w:themeTint="F2"/>
                      <w:sz w:val="21"/>
                      <w:highlight w:val="none"/>
                      <w:u w:val="none"/>
                      <w:lang w:val="en-US" w:eastAsia="zh-CN"/>
                      <w14:textFill>
                        <w14:solidFill>
                          <w14:schemeClr w14:val="tx1">
                            <w14:lumMod w14:val="95000"/>
                            <w14:lumOff w14:val="5000"/>
                          </w14:schemeClr>
                        </w14:solidFill>
                      </w14:textFill>
                    </w:rPr>
                  </w:pPr>
                  <w:r>
                    <w:rPr>
                      <w:rFonts w:hint="eastAsia" w:ascii="Times New Roman" w:hAnsi="Times New Roman" w:eastAsia="宋体" w:cs="Times New Roman"/>
                      <w:color w:val="0D0D0D" w:themeColor="text1" w:themeTint="F2"/>
                      <w:sz w:val="21"/>
                      <w:highlight w:val="none"/>
                      <w:u w:val="none"/>
                      <w:lang w:val="en-US" w:eastAsia="zh-CN"/>
                      <w14:textFill>
                        <w14:solidFill>
                          <w14:schemeClr w14:val="tx1">
                            <w14:lumMod w14:val="95000"/>
                            <w14:lumOff w14:val="5000"/>
                          </w14:schemeClr>
                        </w14:solidFill>
                      </w14:textFill>
                    </w:rPr>
                    <w:t>109</w:t>
                  </w:r>
                  <w:r>
                    <w:rPr>
                      <w:rFonts w:hint="default" w:ascii="Times New Roman" w:hAnsi="Times New Roman" w:eastAsia="宋体" w:cs="Times New Roman"/>
                      <w:color w:val="0D0D0D" w:themeColor="text1" w:themeTint="F2"/>
                      <w:sz w:val="21"/>
                      <w:highlight w:val="none"/>
                      <w:u w:val="none"/>
                      <w:lang w:val="en-US" w:eastAsia="zh-CN"/>
                      <w14:textFill>
                        <w14:solidFill>
                          <w14:schemeClr w14:val="tx1">
                            <w14:lumMod w14:val="95000"/>
                            <w14:lumOff w14:val="5000"/>
                          </w14:schemeClr>
                        </w14:solidFill>
                      </w14:textFill>
                    </w:rPr>
                    <w:t>°</w:t>
                  </w:r>
                  <w:r>
                    <w:rPr>
                      <w:rFonts w:hint="eastAsia" w:ascii="Times New Roman" w:hAnsi="Times New Roman" w:cs="Times New Roman"/>
                      <w:color w:val="0D0D0D" w:themeColor="text1" w:themeTint="F2"/>
                      <w:sz w:val="21"/>
                      <w:highlight w:val="none"/>
                      <w:u w:val="none"/>
                      <w:lang w:val="en-US" w:eastAsia="zh-CN"/>
                      <w14:textFill>
                        <w14:solidFill>
                          <w14:schemeClr w14:val="tx1">
                            <w14:lumMod w14:val="95000"/>
                            <w14:lumOff w14:val="5000"/>
                          </w14:schemeClr>
                        </w14:solidFill>
                      </w14:textFill>
                    </w:rPr>
                    <w:t>73</w:t>
                  </w:r>
                  <w:r>
                    <w:rPr>
                      <w:rFonts w:hint="default" w:ascii="Times New Roman" w:hAnsi="Times New Roman" w:eastAsia="宋体" w:cs="Times New Roman"/>
                      <w:color w:val="0D0D0D" w:themeColor="text1" w:themeTint="F2"/>
                      <w:sz w:val="21"/>
                      <w:highlight w:val="none"/>
                      <w:u w:val="none"/>
                      <w:lang w:val="en-US" w:eastAsia="zh-CN"/>
                      <w14:textFill>
                        <w14:solidFill>
                          <w14:schemeClr w14:val="tx1">
                            <w14:lumMod w14:val="95000"/>
                            <w14:lumOff w14:val="5000"/>
                          </w14:schemeClr>
                        </w14:solidFill>
                      </w14:textFill>
                    </w:rPr>
                    <w:t>′</w:t>
                  </w:r>
                  <w:r>
                    <w:rPr>
                      <w:rFonts w:hint="eastAsia" w:ascii="Times New Roman" w:hAnsi="Times New Roman" w:cs="Times New Roman"/>
                      <w:color w:val="0D0D0D" w:themeColor="text1" w:themeTint="F2"/>
                      <w:sz w:val="21"/>
                      <w:highlight w:val="none"/>
                      <w:u w:val="none"/>
                      <w:lang w:val="en-US" w:eastAsia="zh-CN"/>
                      <w14:textFill>
                        <w14:solidFill>
                          <w14:schemeClr w14:val="tx1">
                            <w14:lumMod w14:val="95000"/>
                            <w14:lumOff w14:val="5000"/>
                          </w14:schemeClr>
                        </w14:solidFill>
                      </w14:textFill>
                    </w:rPr>
                    <w:t>51.682</w:t>
                  </w:r>
                  <w:r>
                    <w:rPr>
                      <w:rFonts w:hint="default" w:ascii="Times New Roman" w:hAnsi="Times New Roman" w:eastAsia="宋体" w:cs="Times New Roman"/>
                      <w:color w:val="0D0D0D" w:themeColor="text1" w:themeTint="F2"/>
                      <w:sz w:val="21"/>
                      <w:highlight w:val="none"/>
                      <w:u w:val="none"/>
                      <w:lang w:val="en-US" w:eastAsia="zh-CN"/>
                      <w14:textFill>
                        <w14:solidFill>
                          <w14:schemeClr w14:val="tx1">
                            <w14:lumMod w14:val="95000"/>
                            <w14:lumOff w14:val="5000"/>
                          </w14:schemeClr>
                        </w14:solidFill>
                      </w14:textFill>
                    </w:rPr>
                    <w:t>″</w:t>
                  </w:r>
                </w:p>
              </w:tc>
              <w:tc>
                <w:tcPr>
                  <w:tcW w:w="1487" w:type="dxa"/>
                  <w:tcBorders>
                    <w:tl2br w:val="nil"/>
                    <w:tr2bl w:val="nil"/>
                  </w:tcBorders>
                  <w:noWrap w:val="0"/>
                  <w:vAlign w:val="center"/>
                </w:tcPr>
                <w:p w14:paraId="10C7AB49">
                  <w:pPr>
                    <w:pStyle w:val="63"/>
                    <w:spacing w:before="24" w:after="24"/>
                    <w:ind w:left="0" w:leftChars="0" w:firstLine="0" w:firstLineChars="0"/>
                    <w:rPr>
                      <w:rFonts w:hint="default" w:ascii="Times New Roman" w:hAnsi="Times New Roman" w:eastAsia="宋体" w:cs="Times New Roman"/>
                      <w:color w:val="0D0D0D" w:themeColor="text1" w:themeTint="F2"/>
                      <w:sz w:val="21"/>
                      <w:highlight w:val="none"/>
                      <w:u w:val="none"/>
                      <w:lang w:val="en-US" w:eastAsia="zh-CN"/>
                      <w14:textFill>
                        <w14:solidFill>
                          <w14:schemeClr w14:val="tx1">
                            <w14:lumMod w14:val="95000"/>
                            <w14:lumOff w14:val="5000"/>
                          </w14:schemeClr>
                        </w14:solidFill>
                      </w14:textFill>
                    </w:rPr>
                  </w:pPr>
                  <w:r>
                    <w:rPr>
                      <w:rFonts w:hint="eastAsia" w:ascii="Times New Roman" w:hAnsi="Times New Roman" w:eastAsia="宋体" w:cs="Times New Roman"/>
                      <w:color w:val="0D0D0D" w:themeColor="text1" w:themeTint="F2"/>
                      <w:sz w:val="21"/>
                      <w:highlight w:val="none"/>
                      <w:u w:val="none"/>
                      <w:lang w:val="en-US" w:eastAsia="zh-CN"/>
                      <w14:textFill>
                        <w14:solidFill>
                          <w14:schemeClr w14:val="tx1">
                            <w14:lumMod w14:val="95000"/>
                            <w14:lumOff w14:val="5000"/>
                          </w14:schemeClr>
                        </w14:solidFill>
                      </w14:textFill>
                    </w:rPr>
                    <w:t>26</w:t>
                  </w:r>
                  <w:r>
                    <w:rPr>
                      <w:rFonts w:hint="default" w:ascii="Times New Roman" w:hAnsi="Times New Roman" w:eastAsia="宋体" w:cs="Times New Roman"/>
                      <w:color w:val="0D0D0D" w:themeColor="text1" w:themeTint="F2"/>
                      <w:sz w:val="21"/>
                      <w:highlight w:val="none"/>
                      <w:u w:val="none"/>
                      <w:lang w:val="en-US" w:eastAsia="zh-CN"/>
                      <w14:textFill>
                        <w14:solidFill>
                          <w14:schemeClr w14:val="tx1">
                            <w14:lumMod w14:val="95000"/>
                            <w14:lumOff w14:val="5000"/>
                          </w14:schemeClr>
                        </w14:solidFill>
                      </w14:textFill>
                    </w:rPr>
                    <w:t>°</w:t>
                  </w:r>
                  <w:r>
                    <w:rPr>
                      <w:rFonts w:hint="eastAsia" w:ascii="Times New Roman" w:hAnsi="Times New Roman" w:cs="Times New Roman"/>
                      <w:color w:val="0D0D0D" w:themeColor="text1" w:themeTint="F2"/>
                      <w:sz w:val="21"/>
                      <w:highlight w:val="none"/>
                      <w:u w:val="none"/>
                      <w:lang w:val="en-US" w:eastAsia="zh-CN"/>
                      <w14:textFill>
                        <w14:solidFill>
                          <w14:schemeClr w14:val="tx1">
                            <w14:lumMod w14:val="95000"/>
                            <w14:lumOff w14:val="5000"/>
                          </w14:schemeClr>
                        </w14:solidFill>
                      </w14:textFill>
                    </w:rPr>
                    <w:t>16</w:t>
                  </w:r>
                  <w:r>
                    <w:rPr>
                      <w:rFonts w:hint="default" w:ascii="Times New Roman" w:hAnsi="Times New Roman" w:eastAsia="宋体" w:cs="Times New Roman"/>
                      <w:color w:val="0D0D0D" w:themeColor="text1" w:themeTint="F2"/>
                      <w:sz w:val="21"/>
                      <w:highlight w:val="none"/>
                      <w:u w:val="none"/>
                      <w:lang w:val="en-US" w:eastAsia="zh-CN"/>
                      <w14:textFill>
                        <w14:solidFill>
                          <w14:schemeClr w14:val="tx1">
                            <w14:lumMod w14:val="95000"/>
                            <w14:lumOff w14:val="5000"/>
                          </w14:schemeClr>
                        </w14:solidFill>
                      </w14:textFill>
                    </w:rPr>
                    <w:t>′</w:t>
                  </w:r>
                  <w:r>
                    <w:rPr>
                      <w:rFonts w:hint="eastAsia" w:ascii="Times New Roman" w:hAnsi="Times New Roman" w:cs="Times New Roman"/>
                      <w:color w:val="0D0D0D" w:themeColor="text1" w:themeTint="F2"/>
                      <w:sz w:val="21"/>
                      <w:highlight w:val="none"/>
                      <w:u w:val="none"/>
                      <w:lang w:val="en-US" w:eastAsia="zh-CN"/>
                      <w14:textFill>
                        <w14:solidFill>
                          <w14:schemeClr w14:val="tx1">
                            <w14:lumMod w14:val="95000"/>
                            <w14:lumOff w14:val="5000"/>
                          </w14:schemeClr>
                        </w14:solidFill>
                      </w14:textFill>
                    </w:rPr>
                    <w:t>69.647</w:t>
                  </w:r>
                  <w:r>
                    <w:rPr>
                      <w:rFonts w:hint="default" w:ascii="Times New Roman" w:hAnsi="Times New Roman" w:eastAsia="宋体" w:cs="Times New Roman"/>
                      <w:color w:val="0D0D0D" w:themeColor="text1" w:themeTint="F2"/>
                      <w:sz w:val="21"/>
                      <w:highlight w:val="none"/>
                      <w:u w:val="none"/>
                      <w:lang w:val="en-US" w:eastAsia="zh-CN"/>
                      <w14:textFill>
                        <w14:solidFill>
                          <w14:schemeClr w14:val="tx1">
                            <w14:lumMod w14:val="95000"/>
                            <w14:lumOff w14:val="5000"/>
                          </w14:schemeClr>
                        </w14:solidFill>
                      </w14:textFill>
                    </w:rPr>
                    <w:t>″</w:t>
                  </w:r>
                </w:p>
              </w:tc>
              <w:tc>
                <w:tcPr>
                  <w:tcW w:w="1170" w:type="dxa"/>
                  <w:tcBorders>
                    <w:tl2br w:val="nil"/>
                    <w:tr2bl w:val="nil"/>
                  </w:tcBorders>
                  <w:noWrap w:val="0"/>
                  <w:vAlign w:val="center"/>
                </w:tcPr>
                <w:p w14:paraId="5571FC2C">
                  <w:pPr>
                    <w:pStyle w:val="63"/>
                    <w:spacing w:before="24" w:after="24"/>
                    <w:rPr>
                      <w:rFonts w:hint="default" w:ascii="Times New Roman" w:hAnsi="Times New Roman" w:cs="Times New Roman"/>
                      <w:color w:val="0D0D0D" w:themeColor="text1" w:themeTint="F2"/>
                      <w:sz w:val="21"/>
                      <w:highlight w:val="none"/>
                      <w:u w:val="non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none"/>
                      <w:lang w:val="en-US" w:eastAsia="zh-CN"/>
                      <w14:textFill>
                        <w14:solidFill>
                          <w14:schemeClr w14:val="tx1">
                            <w14:lumMod w14:val="95000"/>
                            <w14:lumOff w14:val="5000"/>
                          </w14:schemeClr>
                        </w14:solidFill>
                      </w14:textFill>
                    </w:rPr>
                    <w:t>1</w:t>
                  </w:r>
                  <w:r>
                    <w:rPr>
                      <w:rFonts w:hint="eastAsia" w:ascii="Times New Roman" w:hAnsi="Times New Roman" w:cs="Times New Roman"/>
                      <w:color w:val="0D0D0D" w:themeColor="text1" w:themeTint="F2"/>
                      <w:sz w:val="21"/>
                      <w:highlight w:val="none"/>
                      <w:u w:val="none"/>
                      <w:lang w:val="en-US" w:eastAsia="zh-CN"/>
                      <w14:textFill>
                        <w14:solidFill>
                          <w14:schemeClr w14:val="tx1">
                            <w14:lumMod w14:val="95000"/>
                            <w14:lumOff w14:val="5000"/>
                          </w14:schemeClr>
                        </w14:solidFill>
                      </w14:textFill>
                    </w:rPr>
                    <w:t>75-200</w:t>
                  </w:r>
                  <w:r>
                    <w:rPr>
                      <w:rFonts w:hint="default" w:ascii="Times New Roman" w:hAnsi="Times New Roman" w:cs="Times New Roman"/>
                      <w:color w:val="0D0D0D" w:themeColor="text1" w:themeTint="F2"/>
                      <w:sz w:val="21"/>
                      <w:highlight w:val="none"/>
                      <w:u w:val="none"/>
                      <w:lang w:val="en-US" w:eastAsia="zh-CN"/>
                      <w14:textFill>
                        <w14:solidFill>
                          <w14:schemeClr w14:val="tx1">
                            <w14:lumMod w14:val="95000"/>
                            <w14:lumOff w14:val="5000"/>
                          </w14:schemeClr>
                        </w14:solidFill>
                      </w14:textFill>
                    </w:rPr>
                    <w:t>m</w:t>
                  </w:r>
                </w:p>
              </w:tc>
              <w:tc>
                <w:tcPr>
                  <w:tcW w:w="550" w:type="dxa"/>
                  <w:tcBorders>
                    <w:tl2br w:val="nil"/>
                    <w:tr2bl w:val="nil"/>
                  </w:tcBorders>
                  <w:noWrap w:val="0"/>
                  <w:vAlign w:val="center"/>
                </w:tcPr>
                <w:p w14:paraId="7A10FC3A">
                  <w:pPr>
                    <w:pStyle w:val="63"/>
                    <w:spacing w:before="24" w:after="24"/>
                    <w:rPr>
                      <w:rFonts w:hint="default" w:ascii="Times New Roman" w:hAnsi="Times New Roman" w:cs="Times New Roman"/>
                      <w:color w:val="0D0D0D" w:themeColor="text1" w:themeTint="F2"/>
                      <w:sz w:val="21"/>
                      <w:highlight w:val="none"/>
                      <w:u w:val="none"/>
                      <w:lang w:val="en-US" w:eastAsia="zh-CN"/>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1"/>
                      <w:highlight w:val="none"/>
                      <w:u w:val="none"/>
                      <w:lang w:val="en-US" w:eastAsia="zh-CN"/>
                      <w14:textFill>
                        <w14:solidFill>
                          <w14:schemeClr w14:val="tx1">
                            <w14:lumMod w14:val="95000"/>
                            <w14:lumOff w14:val="5000"/>
                          </w14:schemeClr>
                        </w14:solidFill>
                      </w14:textFill>
                    </w:rPr>
                    <w:t>18</w:t>
                  </w:r>
                  <w:r>
                    <w:rPr>
                      <w:rFonts w:hint="default" w:ascii="Times New Roman" w:hAnsi="Times New Roman" w:cs="Times New Roman"/>
                      <w:color w:val="0D0D0D" w:themeColor="text1" w:themeTint="F2"/>
                      <w:sz w:val="21"/>
                      <w:highlight w:val="none"/>
                      <w:u w:val="none"/>
                      <w:lang w:val="en-US" w:eastAsia="zh-CN"/>
                      <w14:textFill>
                        <w14:solidFill>
                          <w14:schemeClr w14:val="tx1">
                            <w14:lumMod w14:val="95000"/>
                            <w14:lumOff w14:val="5000"/>
                          </w14:schemeClr>
                        </w14:solidFill>
                      </w14:textFill>
                    </w:rPr>
                    <w:t>户</w:t>
                  </w:r>
                </w:p>
              </w:tc>
              <w:tc>
                <w:tcPr>
                  <w:tcW w:w="650" w:type="dxa"/>
                  <w:vMerge w:val="restart"/>
                  <w:tcBorders>
                    <w:tl2br w:val="nil"/>
                    <w:tr2bl w:val="nil"/>
                  </w:tcBorders>
                  <w:shd w:val="clear" w:color="auto" w:fill="auto"/>
                  <w:noWrap w:val="0"/>
                  <w:vAlign w:val="center"/>
                </w:tcPr>
                <w:p w14:paraId="6A332869">
                  <w:pPr>
                    <w:pStyle w:val="63"/>
                    <w:spacing w:before="24" w:after="24"/>
                    <w:ind w:left="0" w:leftChars="0" w:firstLine="0" w:firstLineChars="0"/>
                    <w:rPr>
                      <w:rFonts w:hint="default" w:ascii="Times New Roman" w:hAnsi="Times New Roman" w:cs="Times New Roman"/>
                      <w:color w:val="0D0D0D" w:themeColor="text1" w:themeTint="F2"/>
                      <w:sz w:val="21"/>
                      <w:highlight w:val="none"/>
                      <w:u w:val="non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none"/>
                      <w:lang w:val="en-US" w:eastAsia="zh-CN"/>
                      <w14:textFill>
                        <w14:solidFill>
                          <w14:schemeClr w14:val="tx1">
                            <w14:lumMod w14:val="95000"/>
                            <w14:lumOff w14:val="5000"/>
                          </w14:schemeClr>
                        </w14:solidFill>
                      </w14:textFill>
                    </w:rPr>
                    <w:t>施工期：机械设备运行和车辆运输废气、噪声</w:t>
                  </w:r>
                </w:p>
              </w:tc>
              <w:tc>
                <w:tcPr>
                  <w:tcW w:w="933" w:type="dxa"/>
                  <w:vMerge w:val="restart"/>
                  <w:tcBorders>
                    <w:tl2br w:val="nil"/>
                    <w:tr2bl w:val="nil"/>
                  </w:tcBorders>
                  <w:shd w:val="clear" w:color="auto" w:fill="auto"/>
                  <w:noWrap w:val="0"/>
                  <w:vAlign w:val="center"/>
                </w:tcPr>
                <w:p w14:paraId="344170B2">
                  <w:pPr>
                    <w:pStyle w:val="63"/>
                    <w:spacing w:before="24" w:after="24"/>
                    <w:rPr>
                      <w:rFonts w:hint="default" w:ascii="Times New Roman" w:hAnsi="Times New Roman" w:cs="Times New Roman"/>
                      <w:color w:val="0D0D0D" w:themeColor="text1" w:themeTint="F2"/>
                      <w:sz w:val="21"/>
                      <w:highlight w:val="none"/>
                      <w:u w:val="non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none"/>
                      <w:lang w:val="en-US" w:eastAsia="zh-CN"/>
                      <w14:textFill>
                        <w14:solidFill>
                          <w14:schemeClr w14:val="tx1">
                            <w14:lumMod w14:val="95000"/>
                            <w14:lumOff w14:val="5000"/>
                          </w14:schemeClr>
                        </w14:solidFill>
                      </w14:textFill>
                    </w:rPr>
                    <w:t>施工期：洒</w:t>
                  </w:r>
                </w:p>
                <w:p w14:paraId="0D7C41C5">
                  <w:pPr>
                    <w:pStyle w:val="63"/>
                    <w:spacing w:before="24" w:after="24"/>
                    <w:ind w:left="0" w:leftChars="0" w:firstLine="0" w:firstLineChars="0"/>
                    <w:rPr>
                      <w:rFonts w:hint="default" w:ascii="Times New Roman" w:hAnsi="Times New Roman" w:cs="Times New Roman"/>
                      <w:color w:val="0D0D0D" w:themeColor="text1" w:themeTint="F2"/>
                      <w:sz w:val="21"/>
                      <w:highlight w:val="none"/>
                      <w:u w:val="non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highlight w:val="none"/>
                      <w:u w:val="none"/>
                      <w:lang w:val="en-US" w:eastAsia="zh-CN"/>
                      <w14:textFill>
                        <w14:solidFill>
                          <w14:schemeClr w14:val="tx1">
                            <w14:lumMod w14:val="95000"/>
                            <w14:lumOff w14:val="5000"/>
                          </w14:schemeClr>
                        </w14:solidFill>
                      </w14:textFill>
                    </w:rPr>
                    <w:t>水降尘，减少粉尘和扬尘的产生，尽量维持空气质量现状；禁止夜间施工，尽量维持声环境质量</w:t>
                  </w:r>
                </w:p>
              </w:tc>
            </w:tr>
            <w:tr w14:paraId="0427E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223" w:type="dxa"/>
                  <w:tcBorders>
                    <w:tl2br w:val="nil"/>
                    <w:tr2bl w:val="nil"/>
                  </w:tcBorders>
                  <w:noWrap w:val="0"/>
                  <w:vAlign w:val="center"/>
                </w:tcPr>
                <w:p w14:paraId="49DA7041">
                  <w:pPr>
                    <w:pStyle w:val="63"/>
                    <w:spacing w:before="24" w:after="24"/>
                    <w:rPr>
                      <w:rFonts w:hint="default" w:ascii="Times New Roman" w:hAnsi="Times New Roman" w:cs="Times New Roman"/>
                      <w:color w:val="0D0D0D" w:themeColor="text1" w:themeTint="F2"/>
                      <w:sz w:val="21"/>
                      <w:highlight w:val="none"/>
                      <w:u w:val="none"/>
                      <w:lang w:val="en-US" w:eastAsia="zh-CN"/>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1"/>
                      <w:highlight w:val="none"/>
                      <w:u w:val="none"/>
                      <w:lang w:val="en-US" w:eastAsia="zh-CN"/>
                      <w14:textFill>
                        <w14:solidFill>
                          <w14:schemeClr w14:val="tx1">
                            <w14:lumMod w14:val="95000"/>
                            <w14:lumOff w14:val="5000"/>
                          </w14:schemeClr>
                        </w14:solidFill>
                      </w14:textFill>
                    </w:rPr>
                    <w:t>2</w:t>
                  </w:r>
                </w:p>
              </w:tc>
              <w:tc>
                <w:tcPr>
                  <w:tcW w:w="971" w:type="dxa"/>
                  <w:tcBorders>
                    <w:tl2br w:val="nil"/>
                    <w:tr2bl w:val="nil"/>
                  </w:tcBorders>
                  <w:noWrap w:val="0"/>
                  <w:vAlign w:val="center"/>
                </w:tcPr>
                <w:p w14:paraId="733F02EE">
                  <w:pPr>
                    <w:pStyle w:val="63"/>
                    <w:spacing w:before="24" w:after="24"/>
                    <w:rPr>
                      <w:rFonts w:hint="eastAsia" w:ascii="Times New Roman" w:hAnsi="Times New Roman" w:cs="Times New Roman"/>
                      <w:color w:val="0D0D0D" w:themeColor="text1" w:themeTint="F2"/>
                      <w:sz w:val="21"/>
                      <w:highlight w:val="none"/>
                      <w:u w:val="none"/>
                      <w:lang w:val="en-US" w:eastAsia="zh-CN"/>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1"/>
                      <w:highlight w:val="none"/>
                      <w:u w:val="none"/>
                      <w:lang w:val="en-US" w:eastAsia="zh-CN"/>
                      <w14:textFill>
                        <w14:solidFill>
                          <w14:schemeClr w14:val="tx1">
                            <w14:lumMod w14:val="95000"/>
                            <w14:lumOff w14:val="5000"/>
                          </w14:schemeClr>
                        </w14:solidFill>
                      </w14:textFill>
                    </w:rPr>
                    <w:t>枫木冲居民点</w:t>
                  </w:r>
                </w:p>
              </w:tc>
              <w:tc>
                <w:tcPr>
                  <w:tcW w:w="1588" w:type="dxa"/>
                  <w:tcBorders>
                    <w:tl2br w:val="nil"/>
                    <w:tr2bl w:val="nil"/>
                  </w:tcBorders>
                  <w:noWrap w:val="0"/>
                  <w:vAlign w:val="center"/>
                </w:tcPr>
                <w:p w14:paraId="4328AE67">
                  <w:pPr>
                    <w:pStyle w:val="63"/>
                    <w:spacing w:before="24" w:after="24"/>
                    <w:ind w:left="0" w:leftChars="0" w:firstLine="0" w:firstLineChars="0"/>
                    <w:rPr>
                      <w:rFonts w:hint="eastAsia" w:ascii="Times New Roman" w:hAnsi="Times New Roman" w:cs="Times New Roman"/>
                      <w:color w:val="0D0D0D" w:themeColor="text1" w:themeTint="F2"/>
                      <w:sz w:val="21"/>
                      <w:highlight w:val="none"/>
                      <w:u w:val="none"/>
                      <w:lang w:val="en-US" w:eastAsia="zh-CN"/>
                      <w14:textFill>
                        <w14:solidFill>
                          <w14:schemeClr w14:val="tx1">
                            <w14:lumMod w14:val="95000"/>
                            <w14:lumOff w14:val="5000"/>
                          </w14:schemeClr>
                        </w14:solidFill>
                      </w14:textFill>
                    </w:rPr>
                  </w:pPr>
                  <w:r>
                    <w:rPr>
                      <w:rFonts w:hint="eastAsia" w:ascii="Times New Roman" w:hAnsi="Times New Roman" w:eastAsia="宋体" w:cs="Times New Roman"/>
                      <w:color w:val="0D0D0D" w:themeColor="text1" w:themeTint="F2"/>
                      <w:sz w:val="21"/>
                      <w:highlight w:val="none"/>
                      <w:u w:val="none"/>
                      <w:lang w:val="en-US" w:eastAsia="zh-CN"/>
                      <w14:textFill>
                        <w14:solidFill>
                          <w14:schemeClr w14:val="tx1">
                            <w14:lumMod w14:val="95000"/>
                            <w14:lumOff w14:val="5000"/>
                          </w14:schemeClr>
                        </w14:solidFill>
                      </w14:textFill>
                    </w:rPr>
                    <w:t>109</w:t>
                  </w:r>
                  <w:r>
                    <w:rPr>
                      <w:rFonts w:hint="default" w:ascii="Times New Roman" w:hAnsi="Times New Roman" w:eastAsia="宋体" w:cs="Times New Roman"/>
                      <w:color w:val="0D0D0D" w:themeColor="text1" w:themeTint="F2"/>
                      <w:sz w:val="21"/>
                      <w:highlight w:val="none"/>
                      <w:u w:val="none"/>
                      <w:lang w:val="en-US" w:eastAsia="zh-CN"/>
                      <w14:textFill>
                        <w14:solidFill>
                          <w14:schemeClr w14:val="tx1">
                            <w14:lumMod w14:val="95000"/>
                            <w14:lumOff w14:val="5000"/>
                          </w14:schemeClr>
                        </w14:solidFill>
                      </w14:textFill>
                    </w:rPr>
                    <w:t>°</w:t>
                  </w:r>
                  <w:r>
                    <w:rPr>
                      <w:rFonts w:hint="eastAsia" w:ascii="Times New Roman" w:hAnsi="Times New Roman" w:cs="Times New Roman"/>
                      <w:color w:val="0D0D0D" w:themeColor="text1" w:themeTint="F2"/>
                      <w:sz w:val="21"/>
                      <w:highlight w:val="none"/>
                      <w:u w:val="none"/>
                      <w:lang w:val="en-US" w:eastAsia="zh-CN"/>
                      <w14:textFill>
                        <w14:solidFill>
                          <w14:schemeClr w14:val="tx1">
                            <w14:lumMod w14:val="95000"/>
                            <w14:lumOff w14:val="5000"/>
                          </w14:schemeClr>
                        </w14:solidFill>
                      </w14:textFill>
                    </w:rPr>
                    <w:t>74</w:t>
                  </w:r>
                  <w:r>
                    <w:rPr>
                      <w:rFonts w:hint="default" w:ascii="Times New Roman" w:hAnsi="Times New Roman" w:eastAsia="宋体" w:cs="Times New Roman"/>
                      <w:color w:val="0D0D0D" w:themeColor="text1" w:themeTint="F2"/>
                      <w:sz w:val="21"/>
                      <w:highlight w:val="none"/>
                      <w:u w:val="none"/>
                      <w:lang w:val="en-US" w:eastAsia="zh-CN"/>
                      <w14:textFill>
                        <w14:solidFill>
                          <w14:schemeClr w14:val="tx1">
                            <w14:lumMod w14:val="95000"/>
                            <w14:lumOff w14:val="5000"/>
                          </w14:schemeClr>
                        </w14:solidFill>
                      </w14:textFill>
                    </w:rPr>
                    <w:t>′</w:t>
                  </w:r>
                  <w:r>
                    <w:rPr>
                      <w:rFonts w:hint="eastAsia" w:ascii="Times New Roman" w:hAnsi="Times New Roman" w:cs="Times New Roman"/>
                      <w:color w:val="0D0D0D" w:themeColor="text1" w:themeTint="F2"/>
                      <w:sz w:val="21"/>
                      <w:highlight w:val="none"/>
                      <w:u w:val="none"/>
                      <w:lang w:val="en-US" w:eastAsia="zh-CN"/>
                      <w14:textFill>
                        <w14:solidFill>
                          <w14:schemeClr w14:val="tx1">
                            <w14:lumMod w14:val="95000"/>
                            <w14:lumOff w14:val="5000"/>
                          </w14:schemeClr>
                        </w14:solidFill>
                      </w14:textFill>
                    </w:rPr>
                    <w:t>13.125</w:t>
                  </w:r>
                  <w:r>
                    <w:rPr>
                      <w:rFonts w:hint="default" w:ascii="Times New Roman" w:hAnsi="Times New Roman" w:eastAsia="宋体" w:cs="Times New Roman"/>
                      <w:color w:val="0D0D0D" w:themeColor="text1" w:themeTint="F2"/>
                      <w:sz w:val="21"/>
                      <w:highlight w:val="none"/>
                      <w:u w:val="none"/>
                      <w:lang w:val="en-US" w:eastAsia="zh-CN"/>
                      <w14:textFill>
                        <w14:solidFill>
                          <w14:schemeClr w14:val="tx1">
                            <w14:lumMod w14:val="95000"/>
                            <w14:lumOff w14:val="5000"/>
                          </w14:schemeClr>
                        </w14:solidFill>
                      </w14:textFill>
                    </w:rPr>
                    <w:t>″</w:t>
                  </w:r>
                </w:p>
              </w:tc>
              <w:tc>
                <w:tcPr>
                  <w:tcW w:w="1487" w:type="dxa"/>
                  <w:tcBorders>
                    <w:tl2br w:val="nil"/>
                    <w:tr2bl w:val="nil"/>
                  </w:tcBorders>
                  <w:noWrap w:val="0"/>
                  <w:vAlign w:val="center"/>
                </w:tcPr>
                <w:p w14:paraId="57BCC6CE">
                  <w:pPr>
                    <w:pStyle w:val="63"/>
                    <w:spacing w:before="24" w:after="24"/>
                    <w:ind w:left="0" w:leftChars="0" w:firstLine="0" w:firstLineChars="0"/>
                    <w:rPr>
                      <w:rFonts w:hint="eastAsia" w:ascii="Times New Roman" w:hAnsi="Times New Roman" w:cs="Times New Roman"/>
                      <w:color w:val="0D0D0D" w:themeColor="text1" w:themeTint="F2"/>
                      <w:sz w:val="21"/>
                      <w:highlight w:val="none"/>
                      <w:u w:val="none"/>
                      <w:lang w:val="en-US" w:eastAsia="zh-CN"/>
                      <w14:textFill>
                        <w14:solidFill>
                          <w14:schemeClr w14:val="tx1">
                            <w14:lumMod w14:val="95000"/>
                            <w14:lumOff w14:val="5000"/>
                          </w14:schemeClr>
                        </w14:solidFill>
                      </w14:textFill>
                    </w:rPr>
                  </w:pPr>
                  <w:r>
                    <w:rPr>
                      <w:rFonts w:hint="eastAsia" w:ascii="Times New Roman" w:hAnsi="Times New Roman" w:eastAsia="宋体" w:cs="Times New Roman"/>
                      <w:color w:val="0D0D0D" w:themeColor="text1" w:themeTint="F2"/>
                      <w:sz w:val="21"/>
                      <w:highlight w:val="none"/>
                      <w:u w:val="none"/>
                      <w:lang w:val="en-US" w:eastAsia="zh-CN"/>
                      <w14:textFill>
                        <w14:solidFill>
                          <w14:schemeClr w14:val="tx1">
                            <w14:lumMod w14:val="95000"/>
                            <w14:lumOff w14:val="5000"/>
                          </w14:schemeClr>
                        </w14:solidFill>
                      </w14:textFill>
                    </w:rPr>
                    <w:t>26</w:t>
                  </w:r>
                  <w:r>
                    <w:rPr>
                      <w:rFonts w:hint="default" w:ascii="Times New Roman" w:hAnsi="Times New Roman" w:eastAsia="宋体" w:cs="Times New Roman"/>
                      <w:color w:val="0D0D0D" w:themeColor="text1" w:themeTint="F2"/>
                      <w:sz w:val="21"/>
                      <w:highlight w:val="none"/>
                      <w:u w:val="none"/>
                      <w:lang w:val="en-US" w:eastAsia="zh-CN"/>
                      <w14:textFill>
                        <w14:solidFill>
                          <w14:schemeClr w14:val="tx1">
                            <w14:lumMod w14:val="95000"/>
                            <w14:lumOff w14:val="5000"/>
                          </w14:schemeClr>
                        </w14:solidFill>
                      </w14:textFill>
                    </w:rPr>
                    <w:t>°</w:t>
                  </w:r>
                  <w:r>
                    <w:rPr>
                      <w:rFonts w:hint="eastAsia" w:ascii="Times New Roman" w:hAnsi="Times New Roman" w:cs="Times New Roman"/>
                      <w:color w:val="0D0D0D" w:themeColor="text1" w:themeTint="F2"/>
                      <w:sz w:val="21"/>
                      <w:highlight w:val="none"/>
                      <w:u w:val="none"/>
                      <w:lang w:val="en-US" w:eastAsia="zh-CN"/>
                      <w14:textFill>
                        <w14:solidFill>
                          <w14:schemeClr w14:val="tx1">
                            <w14:lumMod w14:val="95000"/>
                            <w14:lumOff w14:val="5000"/>
                          </w14:schemeClr>
                        </w14:solidFill>
                      </w14:textFill>
                    </w:rPr>
                    <w:t>17</w:t>
                  </w:r>
                  <w:r>
                    <w:rPr>
                      <w:rFonts w:hint="default" w:ascii="Times New Roman" w:hAnsi="Times New Roman" w:eastAsia="宋体" w:cs="Times New Roman"/>
                      <w:color w:val="0D0D0D" w:themeColor="text1" w:themeTint="F2"/>
                      <w:sz w:val="21"/>
                      <w:highlight w:val="none"/>
                      <w:u w:val="none"/>
                      <w:lang w:val="en-US" w:eastAsia="zh-CN"/>
                      <w14:textFill>
                        <w14:solidFill>
                          <w14:schemeClr w14:val="tx1">
                            <w14:lumMod w14:val="95000"/>
                            <w14:lumOff w14:val="5000"/>
                          </w14:schemeClr>
                        </w14:solidFill>
                      </w14:textFill>
                    </w:rPr>
                    <w:t>′</w:t>
                  </w:r>
                  <w:r>
                    <w:rPr>
                      <w:rFonts w:hint="eastAsia" w:ascii="Times New Roman" w:hAnsi="Times New Roman" w:cs="Times New Roman"/>
                      <w:color w:val="0D0D0D" w:themeColor="text1" w:themeTint="F2"/>
                      <w:sz w:val="21"/>
                      <w:highlight w:val="none"/>
                      <w:u w:val="none"/>
                      <w:lang w:val="en-US" w:eastAsia="zh-CN"/>
                      <w14:textFill>
                        <w14:solidFill>
                          <w14:schemeClr w14:val="tx1">
                            <w14:lumMod w14:val="95000"/>
                            <w14:lumOff w14:val="5000"/>
                          </w14:schemeClr>
                        </w14:solidFill>
                      </w14:textFill>
                    </w:rPr>
                    <w:t>17.168</w:t>
                  </w:r>
                  <w:r>
                    <w:rPr>
                      <w:rFonts w:hint="default" w:ascii="Times New Roman" w:hAnsi="Times New Roman" w:eastAsia="宋体" w:cs="Times New Roman"/>
                      <w:color w:val="0D0D0D" w:themeColor="text1" w:themeTint="F2"/>
                      <w:sz w:val="21"/>
                      <w:highlight w:val="none"/>
                      <w:u w:val="none"/>
                      <w:lang w:val="en-US" w:eastAsia="zh-CN"/>
                      <w14:textFill>
                        <w14:solidFill>
                          <w14:schemeClr w14:val="tx1">
                            <w14:lumMod w14:val="95000"/>
                            <w14:lumOff w14:val="5000"/>
                          </w14:schemeClr>
                        </w14:solidFill>
                      </w14:textFill>
                    </w:rPr>
                    <w:t>″</w:t>
                  </w:r>
                </w:p>
              </w:tc>
              <w:tc>
                <w:tcPr>
                  <w:tcW w:w="1170" w:type="dxa"/>
                  <w:tcBorders>
                    <w:tl2br w:val="nil"/>
                    <w:tr2bl w:val="nil"/>
                  </w:tcBorders>
                  <w:noWrap w:val="0"/>
                  <w:vAlign w:val="center"/>
                </w:tcPr>
                <w:p w14:paraId="64A8CBEC">
                  <w:pPr>
                    <w:pStyle w:val="63"/>
                    <w:spacing w:before="24" w:after="24"/>
                    <w:rPr>
                      <w:rFonts w:hint="default" w:ascii="Times New Roman" w:hAnsi="Times New Roman" w:cs="Times New Roman"/>
                      <w:color w:val="0D0D0D" w:themeColor="text1" w:themeTint="F2"/>
                      <w:sz w:val="21"/>
                      <w:highlight w:val="none"/>
                      <w:u w:val="none"/>
                      <w:lang w:val="en-US" w:eastAsia="zh-CN"/>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1"/>
                      <w:highlight w:val="none"/>
                      <w:u w:val="none"/>
                      <w:lang w:val="en-US" w:eastAsia="zh-CN"/>
                      <w14:textFill>
                        <w14:solidFill>
                          <w14:schemeClr w14:val="tx1">
                            <w14:lumMod w14:val="95000"/>
                            <w14:lumOff w14:val="5000"/>
                          </w14:schemeClr>
                        </w14:solidFill>
                      </w14:textFill>
                    </w:rPr>
                    <w:t>120-200m</w:t>
                  </w:r>
                </w:p>
              </w:tc>
              <w:tc>
                <w:tcPr>
                  <w:tcW w:w="550" w:type="dxa"/>
                  <w:tcBorders>
                    <w:tl2br w:val="nil"/>
                    <w:tr2bl w:val="nil"/>
                  </w:tcBorders>
                  <w:noWrap w:val="0"/>
                  <w:vAlign w:val="center"/>
                </w:tcPr>
                <w:p w14:paraId="560C86E9">
                  <w:pPr>
                    <w:pStyle w:val="63"/>
                    <w:spacing w:before="24" w:after="24"/>
                    <w:rPr>
                      <w:rFonts w:hint="default" w:ascii="Times New Roman" w:hAnsi="Times New Roman" w:cs="Times New Roman"/>
                      <w:color w:val="0D0D0D" w:themeColor="text1" w:themeTint="F2"/>
                      <w:sz w:val="21"/>
                      <w:highlight w:val="none"/>
                      <w:u w:val="none"/>
                      <w:lang w:val="en-US" w:eastAsia="zh-CN"/>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1"/>
                      <w:highlight w:val="none"/>
                      <w:u w:val="none"/>
                      <w:lang w:val="en-US" w:eastAsia="zh-CN"/>
                      <w14:textFill>
                        <w14:solidFill>
                          <w14:schemeClr w14:val="tx1">
                            <w14:lumMod w14:val="95000"/>
                            <w14:lumOff w14:val="5000"/>
                          </w14:schemeClr>
                        </w14:solidFill>
                      </w14:textFill>
                    </w:rPr>
                    <w:t>5户</w:t>
                  </w:r>
                </w:p>
              </w:tc>
              <w:tc>
                <w:tcPr>
                  <w:tcW w:w="650" w:type="dxa"/>
                  <w:vMerge w:val="continue"/>
                  <w:tcBorders>
                    <w:tl2br w:val="nil"/>
                    <w:tr2bl w:val="nil"/>
                  </w:tcBorders>
                  <w:shd w:val="clear" w:color="auto" w:fill="auto"/>
                  <w:noWrap w:val="0"/>
                  <w:vAlign w:val="center"/>
                </w:tcPr>
                <w:p w14:paraId="5950C53A">
                  <w:pPr>
                    <w:pStyle w:val="63"/>
                    <w:spacing w:before="24" w:after="24"/>
                    <w:rPr>
                      <w:rFonts w:hint="default" w:ascii="Times New Roman" w:hAnsi="Times New Roman" w:cs="Times New Roman"/>
                      <w:color w:val="0D0D0D" w:themeColor="text1" w:themeTint="F2"/>
                      <w:sz w:val="21"/>
                      <w:highlight w:val="none"/>
                      <w:u w:val="none"/>
                      <w:lang w:val="en-US" w:eastAsia="zh-CN"/>
                      <w14:textFill>
                        <w14:solidFill>
                          <w14:schemeClr w14:val="tx1">
                            <w14:lumMod w14:val="95000"/>
                            <w14:lumOff w14:val="5000"/>
                          </w14:schemeClr>
                        </w14:solidFill>
                      </w14:textFill>
                    </w:rPr>
                  </w:pPr>
                </w:p>
              </w:tc>
              <w:tc>
                <w:tcPr>
                  <w:tcW w:w="933" w:type="dxa"/>
                  <w:vMerge w:val="continue"/>
                  <w:tcBorders>
                    <w:tl2br w:val="nil"/>
                    <w:tr2bl w:val="nil"/>
                  </w:tcBorders>
                  <w:shd w:val="clear" w:color="auto" w:fill="auto"/>
                  <w:noWrap w:val="0"/>
                  <w:vAlign w:val="center"/>
                </w:tcPr>
                <w:p w14:paraId="0FA857D2">
                  <w:pPr>
                    <w:pStyle w:val="63"/>
                    <w:spacing w:before="24" w:after="24"/>
                    <w:rPr>
                      <w:rFonts w:hint="default" w:ascii="Times New Roman" w:hAnsi="Times New Roman" w:cs="Times New Roman"/>
                      <w:color w:val="0D0D0D" w:themeColor="text1" w:themeTint="F2"/>
                      <w:sz w:val="21"/>
                      <w:highlight w:val="none"/>
                      <w:u w:val="none"/>
                      <w:lang w:val="en-US" w:eastAsia="zh-CN"/>
                      <w14:textFill>
                        <w14:solidFill>
                          <w14:schemeClr w14:val="tx1">
                            <w14:lumMod w14:val="95000"/>
                            <w14:lumOff w14:val="5000"/>
                          </w14:schemeClr>
                        </w14:solidFill>
                      </w14:textFill>
                    </w:rPr>
                  </w:pPr>
                </w:p>
              </w:tc>
            </w:tr>
          </w:tbl>
          <w:p w14:paraId="4BDEEF5A">
            <w:pPr>
              <w:adjustRightInd w:val="0"/>
              <w:snapToGrid w:val="0"/>
              <w:ind w:firstLine="420" w:firstLineChars="175"/>
              <w:rPr>
                <w:color w:val="000000" w:themeColor="text1"/>
                <w:highlight w:val="none"/>
                <w:u w:val="none"/>
                <w14:textFill>
                  <w14:solidFill>
                    <w14:schemeClr w14:val="tx1"/>
                  </w14:solidFill>
                </w14:textFill>
              </w:rPr>
            </w:pPr>
            <w:r>
              <w:rPr>
                <w:color w:val="000000" w:themeColor="text1"/>
                <w:highlight w:val="none"/>
                <w:u w:val="none"/>
                <w14:textFill>
                  <w14:solidFill>
                    <w14:schemeClr w14:val="tx1"/>
                  </w14:solidFill>
                </w14:textFill>
              </w:rPr>
              <w:t>本工程生态环境保护目标为生态系统、国家重点保护动植物、古树名木等。</w:t>
            </w:r>
            <w:r>
              <w:rPr>
                <w:rFonts w:hint="eastAsia"/>
                <w:color w:val="000000" w:themeColor="text1"/>
                <w:highlight w:val="none"/>
                <w:u w:val="none"/>
                <w14:textFill>
                  <w14:solidFill>
                    <w14:schemeClr w14:val="tx1"/>
                  </w14:solidFill>
                </w14:textFill>
              </w:rPr>
              <w:t>根据现场调查和资料收集，工程不涉及生态敏感区</w:t>
            </w:r>
            <w:r>
              <w:rPr>
                <w:rFonts w:hint="eastAsia"/>
                <w:color w:val="000000" w:themeColor="text1"/>
                <w:highlight w:val="none"/>
                <w:u w:val="none"/>
                <w:lang w:eastAsia="zh-CN"/>
                <w14:textFill>
                  <w14:solidFill>
                    <w14:schemeClr w14:val="tx1"/>
                  </w14:solidFill>
                </w14:textFill>
              </w:rPr>
              <w:t>。</w:t>
            </w:r>
            <w:r>
              <w:rPr>
                <w:color w:val="000000" w:themeColor="text1"/>
                <w:highlight w:val="none"/>
                <w:u w:val="none"/>
                <w14:textFill>
                  <w14:solidFill>
                    <w14:schemeClr w14:val="tx1"/>
                  </w14:solidFill>
                </w14:textFill>
              </w:rPr>
              <w:t>生态环境保护目标详见</w:t>
            </w:r>
            <w:r>
              <w:rPr>
                <w:rFonts w:hint="eastAsia"/>
                <w:color w:val="000000" w:themeColor="text1"/>
                <w:highlight w:val="none"/>
                <w:u w:val="none"/>
                <w:lang w:val="en-US" w:eastAsia="zh-CN"/>
                <w14:textFill>
                  <w14:solidFill>
                    <w14:schemeClr w14:val="tx1"/>
                  </w14:solidFill>
                </w14:textFill>
              </w:rPr>
              <w:t>表3-9</w:t>
            </w:r>
            <w:r>
              <w:rPr>
                <w:color w:val="000000" w:themeColor="text1"/>
                <w:highlight w:val="none"/>
                <w:u w:val="none"/>
                <w14:textFill>
                  <w14:solidFill>
                    <w14:schemeClr w14:val="tx1"/>
                  </w14:solidFill>
                </w14:textFill>
              </w:rPr>
              <w:t>。</w:t>
            </w:r>
          </w:p>
          <w:p w14:paraId="034E6F31">
            <w:pPr>
              <w:adjustRightInd w:val="0"/>
              <w:snapToGrid w:val="0"/>
              <w:spacing w:line="240" w:lineRule="auto"/>
              <w:ind w:firstLine="2530" w:firstLineChars="1200"/>
              <w:jc w:val="both"/>
              <w:rPr>
                <w:b/>
                <w:snapToGrid w:val="0"/>
                <w:color w:val="000000" w:themeColor="text1"/>
                <w:kern w:val="0"/>
                <w:sz w:val="21"/>
                <w:highlight w:val="none"/>
                <w:u w:val="none"/>
                <w14:textFill>
                  <w14:solidFill>
                    <w14:schemeClr w14:val="tx1"/>
                  </w14:solidFill>
                </w14:textFill>
              </w:rPr>
            </w:pPr>
            <w:bookmarkStart w:id="76" w:name="_Ref388182782"/>
            <w:r>
              <w:rPr>
                <w:b/>
                <w:snapToGrid w:val="0"/>
                <w:color w:val="000000" w:themeColor="text1"/>
                <w:kern w:val="0"/>
                <w:sz w:val="21"/>
                <w:highlight w:val="none"/>
                <w:u w:val="none"/>
                <w14:textFill>
                  <w14:solidFill>
                    <w14:schemeClr w14:val="tx1"/>
                  </w14:solidFill>
                </w14:textFill>
              </w:rPr>
              <w:t xml:space="preserve">表 </w:t>
            </w:r>
            <w:r>
              <w:rPr>
                <w:rFonts w:hint="eastAsia"/>
                <w:b/>
                <w:snapToGrid w:val="0"/>
                <w:color w:val="000000" w:themeColor="text1"/>
                <w:kern w:val="0"/>
                <w:sz w:val="21"/>
                <w:highlight w:val="none"/>
                <w:u w:val="none"/>
                <w14:textFill>
                  <w14:solidFill>
                    <w14:schemeClr w14:val="tx1"/>
                  </w14:solidFill>
                </w14:textFill>
              </w:rPr>
              <w:t>3</w:t>
            </w:r>
            <w:r>
              <w:rPr>
                <w:rFonts w:hint="eastAsia"/>
                <w:b/>
                <w:snapToGrid w:val="0"/>
                <w:color w:val="000000" w:themeColor="text1"/>
                <w:kern w:val="0"/>
                <w:sz w:val="21"/>
                <w:highlight w:val="none"/>
                <w:u w:val="none"/>
                <w:lang w:val="en-US" w:eastAsia="zh-CN"/>
                <w14:textFill>
                  <w14:solidFill>
                    <w14:schemeClr w14:val="tx1"/>
                  </w14:solidFill>
                </w14:textFill>
              </w:rPr>
              <w:t>-9</w:t>
            </w:r>
            <w:r>
              <w:rPr>
                <w:b/>
                <w:snapToGrid w:val="0"/>
                <w:color w:val="000000" w:themeColor="text1"/>
                <w:kern w:val="0"/>
                <w:sz w:val="21"/>
                <w:highlight w:val="none"/>
                <w:u w:val="none"/>
                <w14:textFill>
                  <w14:solidFill>
                    <w14:schemeClr w14:val="tx1"/>
                  </w14:solidFill>
                </w14:textFill>
              </w:rPr>
              <w:t xml:space="preserve"> 生态环境保护目标</w:t>
            </w:r>
          </w:p>
          <w:tbl>
            <w:tblPr>
              <w:tblStyle w:val="26"/>
              <w:tblW w:w="756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635"/>
              <w:gridCol w:w="6929"/>
            </w:tblGrid>
            <w:tr w14:paraId="15190F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3" w:hRule="atLeast"/>
                <w:tblHeader/>
                <w:jc w:val="center"/>
              </w:trPr>
              <w:tc>
                <w:tcPr>
                  <w:tcW w:w="635" w:type="dxa"/>
                  <w:vAlign w:val="center"/>
                </w:tcPr>
                <w:p w14:paraId="1D9674BC">
                  <w:pPr>
                    <w:pStyle w:val="63"/>
                    <w:spacing w:before="24" w:after="24"/>
                    <w:ind w:left="0" w:leftChars="0" w:firstLine="0" w:firstLineChars="0"/>
                    <w:rPr>
                      <w:b/>
                      <w:bCs/>
                      <w:color w:val="000000" w:themeColor="text1"/>
                      <w:sz w:val="21"/>
                      <w:highlight w:val="none"/>
                      <w:u w:val="none"/>
                      <w14:textFill>
                        <w14:solidFill>
                          <w14:schemeClr w14:val="tx1"/>
                        </w14:solidFill>
                      </w14:textFill>
                    </w:rPr>
                  </w:pPr>
                  <w:r>
                    <w:rPr>
                      <w:b/>
                      <w:bCs/>
                      <w:color w:val="000000" w:themeColor="text1"/>
                      <w:sz w:val="21"/>
                      <w:highlight w:val="none"/>
                      <w:u w:val="none"/>
                      <w14:textFill>
                        <w14:solidFill>
                          <w14:schemeClr w14:val="tx1"/>
                        </w14:solidFill>
                      </w14:textFill>
                    </w:rPr>
                    <w:t>环境要素</w:t>
                  </w:r>
                </w:p>
              </w:tc>
              <w:tc>
                <w:tcPr>
                  <w:tcW w:w="6929" w:type="dxa"/>
                  <w:vAlign w:val="center"/>
                </w:tcPr>
                <w:p w14:paraId="376DC176">
                  <w:pPr>
                    <w:pStyle w:val="63"/>
                    <w:spacing w:before="24" w:after="24"/>
                    <w:ind w:left="0" w:leftChars="0" w:firstLine="0" w:firstLineChars="0"/>
                    <w:rPr>
                      <w:b/>
                      <w:bCs/>
                      <w:color w:val="000000" w:themeColor="text1"/>
                      <w:sz w:val="21"/>
                      <w:highlight w:val="none"/>
                      <w:u w:val="none"/>
                      <w14:textFill>
                        <w14:solidFill>
                          <w14:schemeClr w14:val="tx1"/>
                        </w14:solidFill>
                      </w14:textFill>
                    </w:rPr>
                  </w:pPr>
                  <w:r>
                    <w:rPr>
                      <w:b/>
                      <w:bCs/>
                      <w:color w:val="000000" w:themeColor="text1"/>
                      <w:sz w:val="21"/>
                      <w:highlight w:val="none"/>
                      <w:u w:val="none"/>
                      <w14:textFill>
                        <w14:solidFill>
                          <w14:schemeClr w14:val="tx1"/>
                        </w14:solidFill>
                      </w14:textFill>
                    </w:rPr>
                    <w:t>保护目标</w:t>
                  </w:r>
                </w:p>
              </w:tc>
            </w:tr>
            <w:tr w14:paraId="0EFE14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3" w:hRule="atLeast"/>
                <w:tblHeader/>
                <w:jc w:val="center"/>
              </w:trPr>
              <w:tc>
                <w:tcPr>
                  <w:tcW w:w="635" w:type="dxa"/>
                  <w:vAlign w:val="center"/>
                </w:tcPr>
                <w:p w14:paraId="67C77EBF">
                  <w:pPr>
                    <w:pStyle w:val="63"/>
                    <w:spacing w:before="24" w:after="24"/>
                    <w:ind w:left="0" w:leftChars="0" w:firstLine="0" w:firstLineChars="0"/>
                    <w:rPr>
                      <w:color w:val="000000" w:themeColor="text1"/>
                      <w:sz w:val="21"/>
                      <w:highlight w:val="none"/>
                      <w:u w:val="none"/>
                      <w14:textFill>
                        <w14:solidFill>
                          <w14:schemeClr w14:val="tx1"/>
                        </w14:solidFill>
                      </w14:textFill>
                    </w:rPr>
                  </w:pPr>
                  <w:r>
                    <w:rPr>
                      <w:color w:val="000000" w:themeColor="text1"/>
                      <w:sz w:val="21"/>
                      <w:highlight w:val="none"/>
                      <w:u w:val="none"/>
                      <w14:textFill>
                        <w14:solidFill>
                          <w14:schemeClr w14:val="tx1"/>
                        </w14:solidFill>
                      </w14:textFill>
                    </w:rPr>
                    <w:t>生态系统</w:t>
                  </w:r>
                </w:p>
              </w:tc>
              <w:tc>
                <w:tcPr>
                  <w:tcW w:w="6929" w:type="dxa"/>
                  <w:vAlign w:val="center"/>
                </w:tcPr>
                <w:p w14:paraId="41F385E2">
                  <w:pPr>
                    <w:pStyle w:val="63"/>
                    <w:spacing w:before="24" w:after="24"/>
                    <w:ind w:left="0" w:leftChars="0" w:firstLine="0" w:firstLineChars="0"/>
                    <w:jc w:val="left"/>
                    <w:rPr>
                      <w:color w:val="000000" w:themeColor="text1"/>
                      <w:sz w:val="21"/>
                      <w:highlight w:val="none"/>
                      <w:u w:val="single"/>
                      <w14:textFill>
                        <w14:solidFill>
                          <w14:schemeClr w14:val="tx1"/>
                        </w14:solidFill>
                      </w14:textFill>
                    </w:rPr>
                  </w:pPr>
                  <w:r>
                    <w:rPr>
                      <w:color w:val="000000" w:themeColor="text1"/>
                      <w:sz w:val="21"/>
                      <w:highlight w:val="none"/>
                      <w:u w:val="none"/>
                      <w14:textFill>
                        <w14:solidFill>
                          <w14:schemeClr w14:val="tx1"/>
                        </w14:solidFill>
                      </w14:textFill>
                    </w:rPr>
                    <w:t>森林生态系统、灌丛/草地生态系统、农田生态系统、湿地生态系统、城镇生态系统</w:t>
                  </w:r>
                  <w:r>
                    <w:rPr>
                      <w:rFonts w:hint="eastAsia"/>
                      <w:color w:val="000000" w:themeColor="text1"/>
                      <w:sz w:val="21"/>
                      <w:highlight w:val="none"/>
                      <w:u w:val="none"/>
                      <w:lang w:eastAsia="zh-CN"/>
                      <w14:textFill>
                        <w14:solidFill>
                          <w14:schemeClr w14:val="tx1"/>
                        </w14:solidFill>
                      </w14:textFill>
                    </w:rPr>
                    <w:t>、</w:t>
                  </w:r>
                  <w:r>
                    <w:rPr>
                      <w:rFonts w:hint="eastAsia"/>
                      <w:color w:val="000000" w:themeColor="text1"/>
                      <w:sz w:val="21"/>
                      <w:highlight w:val="none"/>
                      <w:u w:val="none"/>
                      <w:lang w:val="en-US" w:eastAsia="zh-CN"/>
                      <w14:textFill>
                        <w14:solidFill>
                          <w14:schemeClr w14:val="tx1"/>
                        </w14:solidFill>
                      </w14:textFill>
                    </w:rPr>
                    <w:t>茶园生态系统</w:t>
                  </w:r>
                  <w:r>
                    <w:rPr>
                      <w:color w:val="000000" w:themeColor="text1"/>
                      <w:sz w:val="21"/>
                      <w:highlight w:val="none"/>
                      <w:u w:val="none"/>
                      <w14:textFill>
                        <w14:solidFill>
                          <w14:schemeClr w14:val="tx1"/>
                        </w14:solidFill>
                      </w14:textFill>
                    </w:rPr>
                    <w:t>。</w:t>
                  </w:r>
                </w:p>
              </w:tc>
            </w:tr>
            <w:tr w14:paraId="774F19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091" w:hRule="atLeast"/>
                <w:tblHeader/>
                <w:jc w:val="center"/>
              </w:trPr>
              <w:tc>
                <w:tcPr>
                  <w:tcW w:w="635" w:type="dxa"/>
                  <w:vMerge w:val="restart"/>
                  <w:vAlign w:val="center"/>
                </w:tcPr>
                <w:p w14:paraId="5196653F">
                  <w:pPr>
                    <w:pStyle w:val="63"/>
                    <w:spacing w:before="24" w:after="24"/>
                    <w:ind w:left="0" w:leftChars="0" w:firstLine="0" w:firstLineChars="0"/>
                    <w:rPr>
                      <w:color w:val="000000" w:themeColor="text1"/>
                      <w:sz w:val="21"/>
                      <w:highlight w:val="none"/>
                      <w:u w:val="none"/>
                      <w14:textFill>
                        <w14:solidFill>
                          <w14:schemeClr w14:val="tx1"/>
                        </w14:solidFill>
                      </w14:textFill>
                    </w:rPr>
                  </w:pPr>
                  <w:r>
                    <w:rPr>
                      <w:color w:val="000000" w:themeColor="text1"/>
                      <w:sz w:val="21"/>
                      <w:highlight w:val="none"/>
                      <w:u w:val="none"/>
                      <w14:textFill>
                        <w14:solidFill>
                          <w14:schemeClr w14:val="tx1"/>
                        </w14:solidFill>
                      </w14:textFill>
                    </w:rPr>
                    <w:t>陆生植物</w:t>
                  </w:r>
                </w:p>
              </w:tc>
              <w:tc>
                <w:tcPr>
                  <w:tcW w:w="6929" w:type="dxa"/>
                  <w:vAlign w:val="center"/>
                </w:tcPr>
                <w:p w14:paraId="314C8EBE">
                  <w:pPr>
                    <w:pStyle w:val="63"/>
                    <w:spacing w:before="24" w:after="24"/>
                    <w:ind w:left="0" w:leftChars="0" w:firstLine="0" w:firstLineChars="0"/>
                    <w:jc w:val="left"/>
                    <w:rPr>
                      <w:rFonts w:hint="eastAsia" w:ascii="Times New Roman" w:hAnsi="Times New Roman" w:eastAsia="宋体" w:cs="Times New Roman"/>
                      <w:color w:val="000000" w:themeColor="text1"/>
                      <w:sz w:val="21"/>
                      <w:highlight w:val="none"/>
                      <w:u w:val="none"/>
                      <w:lang w:val="en-US" w:eastAsia="zh-CN"/>
                      <w14:textFill>
                        <w14:solidFill>
                          <w14:schemeClr w14:val="tx1"/>
                        </w14:solidFill>
                      </w14:textFill>
                    </w:rPr>
                  </w:pPr>
                  <w:r>
                    <w:rPr>
                      <w:rFonts w:hint="default" w:ascii="Times New Roman" w:hAnsi="Times New Roman" w:cs="Times New Roman"/>
                      <w:color w:val="000000" w:themeColor="text1"/>
                      <w:sz w:val="21"/>
                      <w:highlight w:val="none"/>
                      <w:u w:val="none"/>
                      <w14:textFill>
                        <w14:solidFill>
                          <w14:schemeClr w14:val="tx1"/>
                        </w14:solidFill>
                      </w14:textFill>
                    </w:rPr>
                    <w:t>维管植物共有60科2</w:t>
                  </w:r>
                  <w:r>
                    <w:rPr>
                      <w:rFonts w:hint="eastAsia" w:ascii="Times New Roman" w:hAnsi="Times New Roman" w:cs="Times New Roman"/>
                      <w:color w:val="000000" w:themeColor="text1"/>
                      <w:sz w:val="21"/>
                      <w:highlight w:val="none"/>
                      <w:u w:val="none"/>
                      <w:lang w:val="en-US" w:eastAsia="zh-CN"/>
                      <w14:textFill>
                        <w14:solidFill>
                          <w14:schemeClr w14:val="tx1"/>
                        </w14:solidFill>
                      </w14:textFill>
                    </w:rPr>
                    <w:t>07</w:t>
                  </w:r>
                  <w:r>
                    <w:rPr>
                      <w:rFonts w:hint="default" w:ascii="Times New Roman" w:hAnsi="Times New Roman" w:cs="Times New Roman"/>
                      <w:color w:val="000000" w:themeColor="text1"/>
                      <w:sz w:val="21"/>
                      <w:highlight w:val="none"/>
                      <w:u w:val="none"/>
                      <w14:textFill>
                        <w14:solidFill>
                          <w14:schemeClr w14:val="tx1"/>
                        </w14:solidFill>
                      </w14:textFill>
                    </w:rPr>
                    <w:t>属3</w:t>
                  </w:r>
                  <w:r>
                    <w:rPr>
                      <w:rFonts w:hint="eastAsia" w:ascii="Times New Roman" w:hAnsi="Times New Roman" w:cs="Times New Roman"/>
                      <w:color w:val="000000" w:themeColor="text1"/>
                      <w:sz w:val="21"/>
                      <w:highlight w:val="none"/>
                      <w:u w:val="none"/>
                      <w:lang w:val="en-US" w:eastAsia="zh-CN"/>
                      <w14:textFill>
                        <w14:solidFill>
                          <w14:schemeClr w14:val="tx1"/>
                        </w14:solidFill>
                      </w14:textFill>
                    </w:rPr>
                    <w:t>46</w:t>
                  </w:r>
                  <w:r>
                    <w:rPr>
                      <w:rFonts w:hint="default" w:ascii="Times New Roman" w:hAnsi="Times New Roman" w:cs="Times New Roman"/>
                      <w:color w:val="000000" w:themeColor="text1"/>
                      <w:sz w:val="21"/>
                      <w:highlight w:val="none"/>
                      <w:u w:val="none"/>
                      <w14:textFill>
                        <w14:solidFill>
                          <w14:schemeClr w14:val="tx1"/>
                        </w14:solidFill>
                      </w14:textFill>
                    </w:rPr>
                    <w:t>种，其中蕨类植物8科7属11种，裸子植物4科5属</w:t>
                  </w:r>
                  <w:r>
                    <w:rPr>
                      <w:rFonts w:hint="eastAsia" w:ascii="Times New Roman" w:hAnsi="Times New Roman" w:cs="Times New Roman"/>
                      <w:color w:val="000000" w:themeColor="text1"/>
                      <w:sz w:val="21"/>
                      <w:highlight w:val="none"/>
                      <w:u w:val="none"/>
                      <w:lang w:val="en-US" w:eastAsia="zh-CN"/>
                      <w14:textFill>
                        <w14:solidFill>
                          <w14:schemeClr w14:val="tx1"/>
                        </w14:solidFill>
                      </w14:textFill>
                    </w:rPr>
                    <w:t>5</w:t>
                  </w:r>
                  <w:r>
                    <w:rPr>
                      <w:rFonts w:hint="default" w:ascii="Times New Roman" w:hAnsi="Times New Roman" w:cs="Times New Roman"/>
                      <w:color w:val="000000" w:themeColor="text1"/>
                      <w:sz w:val="21"/>
                      <w:highlight w:val="none"/>
                      <w:u w:val="none"/>
                      <w14:textFill>
                        <w14:solidFill>
                          <w14:schemeClr w14:val="tx1"/>
                        </w14:solidFill>
                      </w14:textFill>
                    </w:rPr>
                    <w:t>种，被子植物48科19</w:t>
                  </w:r>
                  <w:r>
                    <w:rPr>
                      <w:rFonts w:hint="eastAsia" w:ascii="Times New Roman" w:hAnsi="Times New Roman" w:cs="Times New Roman"/>
                      <w:color w:val="000000" w:themeColor="text1"/>
                      <w:sz w:val="21"/>
                      <w:highlight w:val="none"/>
                      <w:u w:val="none"/>
                      <w:lang w:val="en-US" w:eastAsia="zh-CN"/>
                      <w14:textFill>
                        <w14:solidFill>
                          <w14:schemeClr w14:val="tx1"/>
                        </w14:solidFill>
                      </w14:textFill>
                    </w:rPr>
                    <w:t>5</w:t>
                  </w:r>
                  <w:r>
                    <w:rPr>
                      <w:rFonts w:hint="default" w:ascii="Times New Roman" w:hAnsi="Times New Roman" w:cs="Times New Roman"/>
                      <w:color w:val="000000" w:themeColor="text1"/>
                      <w:sz w:val="21"/>
                      <w:highlight w:val="none"/>
                      <w:u w:val="none"/>
                      <w14:textFill>
                        <w14:solidFill>
                          <w14:schemeClr w14:val="tx1"/>
                        </w14:solidFill>
                      </w14:textFill>
                    </w:rPr>
                    <w:t>属33</w:t>
                  </w:r>
                  <w:r>
                    <w:rPr>
                      <w:rFonts w:hint="eastAsia" w:ascii="Times New Roman" w:hAnsi="Times New Roman" w:cs="Times New Roman"/>
                      <w:color w:val="000000" w:themeColor="text1"/>
                      <w:sz w:val="21"/>
                      <w:highlight w:val="none"/>
                      <w:u w:val="none"/>
                      <w:lang w:val="en-US" w:eastAsia="zh-CN"/>
                      <w14:textFill>
                        <w14:solidFill>
                          <w14:schemeClr w14:val="tx1"/>
                        </w14:solidFill>
                      </w14:textFill>
                    </w:rPr>
                    <w:t>0</w:t>
                  </w:r>
                  <w:r>
                    <w:rPr>
                      <w:rFonts w:hint="default" w:ascii="Times New Roman" w:hAnsi="Times New Roman" w:cs="Times New Roman"/>
                      <w:color w:val="000000" w:themeColor="text1"/>
                      <w:sz w:val="21"/>
                      <w:highlight w:val="none"/>
                      <w:u w:val="none"/>
                      <w14:textFill>
                        <w14:solidFill>
                          <w14:schemeClr w14:val="tx1"/>
                        </w14:solidFill>
                      </w14:textFill>
                    </w:rPr>
                    <w:t>种</w:t>
                  </w:r>
                  <w:r>
                    <w:rPr>
                      <w:rFonts w:hint="eastAsia" w:ascii="Times New Roman" w:hAnsi="Times New Roman" w:cs="Times New Roman"/>
                      <w:color w:val="000000" w:themeColor="text1"/>
                      <w:sz w:val="21"/>
                      <w:highlight w:val="none"/>
                      <w:u w:val="none"/>
                      <w:lang w:eastAsia="zh-CN"/>
                      <w14:textFill>
                        <w14:solidFill>
                          <w14:schemeClr w14:val="tx1"/>
                        </w14:solidFill>
                      </w14:textFill>
                    </w:rPr>
                    <w:t>。</w:t>
                  </w:r>
                </w:p>
              </w:tc>
            </w:tr>
            <w:tr w14:paraId="68DA4B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90" w:hRule="atLeast"/>
                <w:tblHeader/>
                <w:jc w:val="center"/>
              </w:trPr>
              <w:tc>
                <w:tcPr>
                  <w:tcW w:w="635" w:type="dxa"/>
                  <w:vMerge w:val="restart"/>
                  <w:vAlign w:val="center"/>
                </w:tcPr>
                <w:p w14:paraId="038FE324">
                  <w:pPr>
                    <w:pStyle w:val="63"/>
                    <w:spacing w:before="24" w:after="24"/>
                    <w:ind w:left="0" w:leftChars="0" w:firstLine="0" w:firstLineChars="0"/>
                    <w:rPr>
                      <w:color w:val="FF0000"/>
                      <w:sz w:val="21"/>
                      <w:highlight w:val="none"/>
                      <w:u w:val="none"/>
                    </w:rPr>
                  </w:pPr>
                  <w:r>
                    <w:rPr>
                      <w:color w:val="000000" w:themeColor="text1"/>
                      <w:sz w:val="21"/>
                      <w:highlight w:val="none"/>
                      <w:u w:val="none"/>
                      <w14:textFill>
                        <w14:solidFill>
                          <w14:schemeClr w14:val="tx1"/>
                        </w14:solidFill>
                      </w14:textFill>
                    </w:rPr>
                    <w:t>陆生动物</w:t>
                  </w:r>
                </w:p>
              </w:tc>
              <w:tc>
                <w:tcPr>
                  <w:tcW w:w="6929" w:type="dxa"/>
                  <w:vAlign w:val="center"/>
                </w:tcPr>
                <w:p w14:paraId="3D265F82">
                  <w:pPr>
                    <w:pStyle w:val="63"/>
                    <w:spacing w:before="24" w:after="24"/>
                    <w:ind w:left="0" w:leftChars="0" w:firstLine="0" w:firstLineChars="0"/>
                    <w:jc w:val="left"/>
                    <w:rPr>
                      <w:rFonts w:hint="eastAsia" w:ascii="Times New Roman" w:hAnsi="Times New Roman" w:eastAsia="宋体" w:cs="Times New Roman"/>
                      <w:color w:val="000000" w:themeColor="text1"/>
                      <w:sz w:val="21"/>
                      <w:highlight w:val="none"/>
                      <w:u w:val="single"/>
                      <w:lang w:val="en-US" w:eastAsia="zh-CN"/>
                      <w14:textFill>
                        <w14:solidFill>
                          <w14:schemeClr w14:val="tx1"/>
                        </w14:solidFill>
                      </w14:textFill>
                    </w:rPr>
                  </w:pPr>
                  <w:r>
                    <w:rPr>
                      <w:rFonts w:hint="default" w:ascii="Times New Roman" w:hAnsi="Times New Roman" w:cs="Times New Roman"/>
                      <w:color w:val="000000" w:themeColor="text1"/>
                      <w:sz w:val="21"/>
                      <w:highlight w:val="none"/>
                      <w:u w:val="none"/>
                      <w14:textFill>
                        <w14:solidFill>
                          <w14:schemeClr w14:val="tx1"/>
                        </w14:solidFill>
                      </w14:textFill>
                    </w:rPr>
                    <w:t>16目35科63种（两栖类1目6科8种、爬行类2目6科10种、鸟类8目15科30种、兽类6目8科15种）</w:t>
                  </w:r>
                  <w:r>
                    <w:rPr>
                      <w:rFonts w:hint="eastAsia" w:ascii="Times New Roman" w:hAnsi="Times New Roman" w:cs="Times New Roman"/>
                      <w:color w:val="000000" w:themeColor="text1"/>
                      <w:sz w:val="21"/>
                      <w:highlight w:val="none"/>
                      <w:u w:val="none"/>
                      <w:lang w:eastAsia="zh-CN"/>
                      <w14:textFill>
                        <w14:solidFill>
                          <w14:schemeClr w14:val="tx1"/>
                        </w14:solidFill>
                      </w14:textFill>
                    </w:rPr>
                    <w:t>。</w:t>
                  </w:r>
                </w:p>
              </w:tc>
            </w:tr>
            <w:tr w14:paraId="58E11B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3" w:hRule="atLeast"/>
                <w:tblHeader/>
                <w:jc w:val="center"/>
              </w:trPr>
              <w:tc>
                <w:tcPr>
                  <w:tcW w:w="635" w:type="dxa"/>
                  <w:vMerge w:val="continue"/>
                  <w:vAlign w:val="center"/>
                </w:tcPr>
                <w:p w14:paraId="085EF935">
                  <w:pPr>
                    <w:pStyle w:val="63"/>
                    <w:spacing w:before="24" w:after="24"/>
                    <w:ind w:left="0" w:leftChars="0" w:firstLine="0" w:firstLineChars="0"/>
                    <w:rPr>
                      <w:color w:val="FF0000"/>
                      <w:sz w:val="21"/>
                      <w:highlight w:val="none"/>
                      <w:u w:val="single"/>
                    </w:rPr>
                  </w:pPr>
                </w:p>
              </w:tc>
              <w:tc>
                <w:tcPr>
                  <w:tcW w:w="6929" w:type="dxa"/>
                  <w:vAlign w:val="center"/>
                </w:tcPr>
                <w:p w14:paraId="5F4A6B2F">
                  <w:pPr>
                    <w:pStyle w:val="63"/>
                    <w:spacing w:before="24" w:after="24"/>
                    <w:ind w:left="0" w:leftChars="0" w:firstLine="0" w:firstLineChars="0"/>
                    <w:jc w:val="left"/>
                    <w:rPr>
                      <w:rFonts w:hint="eastAsia" w:eastAsia="宋体"/>
                      <w:color w:val="000000" w:themeColor="text1"/>
                      <w:sz w:val="21"/>
                      <w:highlight w:val="none"/>
                      <w:u w:val="single"/>
                      <w:lang w:eastAsia="zh-CN"/>
                      <w14:textFill>
                        <w14:solidFill>
                          <w14:schemeClr w14:val="tx1"/>
                        </w14:solidFill>
                      </w14:textFill>
                    </w:rPr>
                  </w:pPr>
                  <w:r>
                    <w:rPr>
                      <w:rFonts w:hint="default" w:ascii="Times New Roman" w:hAnsi="Times New Roman" w:cs="Times New Roman"/>
                      <w:color w:val="000000" w:themeColor="text1"/>
                      <w:sz w:val="21"/>
                      <w:highlight w:val="none"/>
                      <w:u w:val="none"/>
                      <w14:textFill>
                        <w14:solidFill>
                          <w14:schemeClr w14:val="tx1"/>
                        </w14:solidFill>
                      </w14:textFill>
                    </w:rPr>
                    <w:t>国家重点保护野生动物共</w:t>
                  </w:r>
                  <w:r>
                    <w:rPr>
                      <w:rFonts w:hint="eastAsia" w:ascii="Times New Roman" w:hAnsi="Times New Roman" w:cs="Times New Roman"/>
                      <w:color w:val="000000" w:themeColor="text1"/>
                      <w:sz w:val="21"/>
                      <w:highlight w:val="none"/>
                      <w:u w:val="none"/>
                      <w:lang w:val="en-US" w:eastAsia="zh-CN"/>
                      <w14:textFill>
                        <w14:solidFill>
                          <w14:schemeClr w14:val="tx1"/>
                        </w14:solidFill>
                      </w14:textFill>
                    </w:rPr>
                    <w:t>2</w:t>
                  </w:r>
                  <w:r>
                    <w:rPr>
                      <w:rFonts w:hint="default" w:ascii="Times New Roman" w:hAnsi="Times New Roman" w:cs="Times New Roman"/>
                      <w:color w:val="000000" w:themeColor="text1"/>
                      <w:sz w:val="21"/>
                      <w:highlight w:val="none"/>
                      <w:u w:val="none"/>
                      <w14:textFill>
                        <w14:solidFill>
                          <w14:schemeClr w14:val="tx1"/>
                        </w14:solidFill>
                      </w14:textFill>
                    </w:rPr>
                    <w:t>种，均为鸟类和国家Ⅱ级</w:t>
                  </w:r>
                  <w:r>
                    <w:rPr>
                      <w:rFonts w:hint="eastAsia" w:ascii="Times New Roman" w:hAnsi="Times New Roman" w:cs="Times New Roman"/>
                      <w:color w:val="000000" w:themeColor="text1"/>
                      <w:sz w:val="21"/>
                      <w:highlight w:val="none"/>
                      <w:u w:val="none"/>
                      <w:lang w:eastAsia="zh-CN"/>
                      <w14:textFill>
                        <w14:solidFill>
                          <w14:schemeClr w14:val="tx1"/>
                        </w14:solidFill>
                      </w14:textFill>
                    </w:rPr>
                    <w:t>。</w:t>
                  </w:r>
                </w:p>
              </w:tc>
            </w:tr>
            <w:bookmarkEnd w:id="76"/>
          </w:tbl>
          <w:p w14:paraId="2EAD9043">
            <w:pPr>
              <w:pStyle w:val="48"/>
              <w:ind w:firstLine="480" w:firstLineChars="200"/>
              <w:rPr>
                <w:rFonts w:hint="default" w:eastAsia="宋体"/>
                <w:color w:val="FF0000"/>
                <w:kern w:val="0"/>
                <w:szCs w:val="21"/>
                <w:highlight w:val="none"/>
                <w:lang w:val="en-US" w:eastAsia="zh-CN"/>
              </w:rPr>
            </w:pPr>
          </w:p>
        </w:tc>
      </w:tr>
      <w:tr w14:paraId="2D5DB4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715" w:type="dxa"/>
            <w:vAlign w:val="center"/>
          </w:tcPr>
          <w:p w14:paraId="687E1CFF">
            <w:pPr>
              <w:adjustRightInd w:val="0"/>
              <w:snapToGrid w:val="0"/>
              <w:jc w:val="center"/>
              <w:rPr>
                <w:color w:val="000000" w:themeColor="text1"/>
                <w:kern w:val="0"/>
                <w:highlight w:val="none"/>
                <w14:textFill>
                  <w14:solidFill>
                    <w14:schemeClr w14:val="tx1"/>
                  </w14:solidFill>
                </w14:textFill>
              </w:rPr>
            </w:pPr>
            <w:r>
              <w:rPr>
                <w:color w:val="000000" w:themeColor="text1"/>
                <w:kern w:val="0"/>
                <w:highlight w:val="none"/>
                <w14:textFill>
                  <w14:solidFill>
                    <w14:schemeClr w14:val="tx1"/>
                  </w14:solidFill>
                </w14:textFill>
              </w:rPr>
              <w:t>评价</w:t>
            </w:r>
          </w:p>
          <w:p w14:paraId="55CA53D3">
            <w:pPr>
              <w:adjustRightInd w:val="0"/>
              <w:snapToGrid w:val="0"/>
              <w:jc w:val="center"/>
              <w:rPr>
                <w:color w:val="000000" w:themeColor="text1"/>
                <w:kern w:val="0"/>
                <w:szCs w:val="21"/>
                <w:highlight w:val="none"/>
                <w14:textFill>
                  <w14:solidFill>
                    <w14:schemeClr w14:val="tx1"/>
                  </w14:solidFill>
                </w14:textFill>
              </w:rPr>
            </w:pPr>
            <w:r>
              <w:rPr>
                <w:color w:val="000000" w:themeColor="text1"/>
                <w:kern w:val="0"/>
                <w:highlight w:val="none"/>
                <w14:textFill>
                  <w14:solidFill>
                    <w14:schemeClr w14:val="tx1"/>
                  </w14:solidFill>
                </w14:textFill>
              </w:rPr>
              <w:t>标准</w:t>
            </w:r>
          </w:p>
        </w:tc>
        <w:tc>
          <w:tcPr>
            <w:tcW w:w="7804" w:type="dxa"/>
            <w:vAlign w:val="center"/>
          </w:tcPr>
          <w:p w14:paraId="0F82AFAD">
            <w:pPr>
              <w:pStyle w:val="10"/>
              <w:spacing w:before="120" w:beforeLines="50" w:after="0" w:line="360" w:lineRule="auto"/>
              <w:ind w:right="0"/>
              <w:rPr>
                <w:color w:val="000000" w:themeColor="text1"/>
                <w:sz w:val="24"/>
                <w:szCs w:val="24"/>
                <w:highlight w:val="none"/>
                <w:u w:val="wave"/>
                <w14:textFill>
                  <w14:solidFill>
                    <w14:schemeClr w14:val="tx1"/>
                  </w14:solidFill>
                </w14:textFill>
              </w:rPr>
            </w:pPr>
            <w:r>
              <w:rPr>
                <w:b/>
                <w:bCs/>
                <w:color w:val="000000" w:themeColor="text1"/>
                <w:sz w:val="24"/>
                <w:szCs w:val="24"/>
                <w:highlight w:val="none"/>
                <w:u w:val="wave"/>
                <w14:textFill>
                  <w14:solidFill>
                    <w14:schemeClr w14:val="tx1"/>
                  </w14:solidFill>
                </w14:textFill>
              </w:rPr>
              <w:t>（一）环境质量标准</w:t>
            </w:r>
          </w:p>
          <w:p w14:paraId="0C1573B4">
            <w:pPr>
              <w:pStyle w:val="63"/>
              <w:spacing w:before="0" w:beforeLines="0" w:after="0" w:afterLines="0" w:line="360" w:lineRule="auto"/>
              <w:ind w:firstLine="480" w:firstLineChars="200"/>
              <w:jc w:val="left"/>
              <w:rPr>
                <w:rFonts w:ascii="Times New Roman" w:hAnsi="Times New Roman"/>
                <w:color w:val="000000" w:themeColor="text1"/>
                <w:sz w:val="24"/>
                <w:szCs w:val="24"/>
                <w:highlight w:val="none"/>
                <w:u w:val="wave"/>
                <w14:textFill>
                  <w14:solidFill>
                    <w14:schemeClr w14:val="tx1"/>
                  </w14:solidFill>
                </w14:textFill>
              </w:rPr>
            </w:pPr>
            <w:r>
              <w:rPr>
                <w:rFonts w:ascii="Times New Roman" w:hAnsi="Times New Roman"/>
                <w:color w:val="000000" w:themeColor="text1"/>
                <w:sz w:val="24"/>
                <w:szCs w:val="24"/>
                <w:highlight w:val="none"/>
                <w:u w:val="wave"/>
                <w14:textFill>
                  <w14:solidFill>
                    <w14:schemeClr w14:val="tx1"/>
                  </w14:solidFill>
                </w14:textFill>
              </w:rPr>
              <w:t>1、环境空气：执行《环境空气质量标准》（GB3095-2012）二级标准</w:t>
            </w:r>
            <w:r>
              <w:rPr>
                <w:rFonts w:hint="eastAsia" w:ascii="Times New Roman" w:hAnsi="Times New Roman"/>
                <w:color w:val="000000" w:themeColor="text1"/>
                <w:sz w:val="24"/>
                <w:szCs w:val="24"/>
                <w:highlight w:val="none"/>
                <w:u w:val="wave"/>
                <w:lang w:val="en-US" w:eastAsia="zh-CN"/>
                <w14:textFill>
                  <w14:solidFill>
                    <w14:schemeClr w14:val="tx1"/>
                  </w14:solidFill>
                </w14:textFill>
              </w:rPr>
              <w:t>及2013修改单</w:t>
            </w:r>
            <w:r>
              <w:rPr>
                <w:rFonts w:ascii="Times New Roman" w:hAnsi="Times New Roman"/>
                <w:color w:val="000000" w:themeColor="text1"/>
                <w:sz w:val="24"/>
                <w:szCs w:val="24"/>
                <w:highlight w:val="none"/>
                <w:u w:val="wave"/>
                <w14:textFill>
                  <w14:solidFill>
                    <w14:schemeClr w14:val="tx1"/>
                  </w14:solidFill>
                </w14:textFill>
              </w:rPr>
              <w:t>；</w:t>
            </w:r>
          </w:p>
          <w:p w14:paraId="64C4F36F">
            <w:pPr>
              <w:pStyle w:val="63"/>
              <w:spacing w:before="0" w:beforeLines="0" w:after="0" w:afterLines="0" w:line="360" w:lineRule="auto"/>
              <w:ind w:firstLine="480" w:firstLineChars="200"/>
              <w:jc w:val="left"/>
              <w:rPr>
                <w:rFonts w:hint="eastAsia" w:ascii="Times New Roman" w:hAnsi="Times New Roman" w:eastAsia="宋体"/>
                <w:color w:val="000000" w:themeColor="text1"/>
                <w:sz w:val="24"/>
                <w:szCs w:val="24"/>
                <w:highlight w:val="none"/>
                <w:u w:val="wave"/>
                <w:lang w:val="en-US" w:eastAsia="zh-CN"/>
                <w14:textFill>
                  <w14:solidFill>
                    <w14:schemeClr w14:val="tx1"/>
                  </w14:solidFill>
                </w14:textFill>
              </w:rPr>
            </w:pPr>
            <w:r>
              <w:rPr>
                <w:rFonts w:ascii="Times New Roman" w:hAnsi="Times New Roman"/>
                <w:color w:val="000000" w:themeColor="text1"/>
                <w:sz w:val="24"/>
                <w:szCs w:val="24"/>
                <w:highlight w:val="none"/>
                <w:u w:val="wave"/>
                <w14:textFill>
                  <w14:solidFill>
                    <w14:schemeClr w14:val="tx1"/>
                  </w14:solidFill>
                </w14:textFill>
              </w:rPr>
              <w:t>2、地表水：</w:t>
            </w:r>
            <w:r>
              <w:rPr>
                <w:rFonts w:hint="eastAsia" w:ascii="Times New Roman" w:hAnsi="Times New Roman"/>
                <w:color w:val="000000" w:themeColor="text1"/>
                <w:sz w:val="24"/>
                <w:szCs w:val="24"/>
                <w:highlight w:val="none"/>
                <w:u w:val="wave"/>
                <w14:textFill>
                  <w14:solidFill>
                    <w14:schemeClr w14:val="tx1"/>
                  </w14:solidFill>
                </w14:textFill>
              </w:rPr>
              <w:t>执行《地表水环境质量标准》(GB 3838-2002)</w:t>
            </w:r>
            <w:r>
              <w:rPr>
                <w:rFonts w:hint="default" w:ascii="Times New Roman" w:hAnsi="Times New Roman" w:cs="Times New Roman"/>
                <w:color w:val="000000" w:themeColor="text1"/>
                <w:sz w:val="24"/>
                <w:szCs w:val="24"/>
                <w:highlight w:val="none"/>
                <w:u w:val="wave"/>
                <w14:textFill>
                  <w14:solidFill>
                    <w14:schemeClr w14:val="tx1"/>
                  </w14:solidFill>
                </w14:textFill>
              </w:rPr>
              <w:t>Ⅲ</w:t>
            </w:r>
            <w:r>
              <w:rPr>
                <w:rFonts w:hint="eastAsia" w:ascii="Times New Roman" w:hAnsi="Times New Roman"/>
                <w:color w:val="000000" w:themeColor="text1"/>
                <w:sz w:val="24"/>
                <w:szCs w:val="24"/>
                <w:highlight w:val="none"/>
                <w:u w:val="wave"/>
                <w14:textFill>
                  <w14:solidFill>
                    <w14:schemeClr w14:val="tx1"/>
                  </w14:solidFill>
                </w14:textFill>
              </w:rPr>
              <w:t>类水质标准</w:t>
            </w:r>
            <w:r>
              <w:rPr>
                <w:rFonts w:hint="eastAsia" w:ascii="Times New Roman" w:hAnsi="Times New Roman"/>
                <w:color w:val="000000" w:themeColor="text1"/>
                <w:sz w:val="24"/>
                <w:szCs w:val="24"/>
                <w:highlight w:val="none"/>
                <w:u w:val="wave"/>
                <w:lang w:val="en-US" w:eastAsia="zh-CN"/>
                <w14:textFill>
                  <w14:solidFill>
                    <w14:schemeClr w14:val="tx1"/>
                  </w14:solidFill>
                </w14:textFill>
              </w:rPr>
              <w:t>；</w:t>
            </w:r>
          </w:p>
          <w:p w14:paraId="7EAA62FF">
            <w:pPr>
              <w:pStyle w:val="63"/>
              <w:spacing w:before="0" w:beforeLines="0" w:after="0" w:afterLines="0" w:line="360" w:lineRule="auto"/>
              <w:ind w:firstLine="480" w:firstLineChars="200"/>
              <w:jc w:val="left"/>
              <w:rPr>
                <w:rFonts w:ascii="Times New Roman" w:hAnsi="Times New Roman"/>
                <w:color w:val="000000" w:themeColor="text1"/>
                <w:sz w:val="24"/>
                <w:szCs w:val="24"/>
                <w:highlight w:val="none"/>
                <w:u w:val="wave"/>
                <w14:textFill>
                  <w14:solidFill>
                    <w14:schemeClr w14:val="tx1"/>
                  </w14:solidFill>
                </w14:textFill>
              </w:rPr>
            </w:pPr>
            <w:r>
              <w:rPr>
                <w:rFonts w:hint="eastAsia" w:ascii="Times New Roman" w:hAnsi="Times New Roman"/>
                <w:color w:val="000000" w:themeColor="text1"/>
                <w:sz w:val="24"/>
                <w:szCs w:val="24"/>
                <w:highlight w:val="none"/>
                <w:u w:val="wave"/>
                <w:lang w:val="en-US" w:eastAsia="zh-CN"/>
                <w14:textFill>
                  <w14:solidFill>
                    <w14:schemeClr w14:val="tx1"/>
                  </w14:solidFill>
                </w14:textFill>
              </w:rPr>
              <w:t>3</w:t>
            </w:r>
            <w:r>
              <w:rPr>
                <w:rFonts w:ascii="Times New Roman" w:hAnsi="Times New Roman"/>
                <w:color w:val="000000" w:themeColor="text1"/>
                <w:sz w:val="24"/>
                <w:szCs w:val="24"/>
                <w:highlight w:val="none"/>
                <w:u w:val="wave"/>
                <w14:textFill>
                  <w14:solidFill>
                    <w14:schemeClr w14:val="tx1"/>
                  </w14:solidFill>
                </w14:textFill>
              </w:rPr>
              <w:t>、声环境：执行《声环境质量标准》（GB3096-2008）中的2类标准；</w:t>
            </w:r>
          </w:p>
          <w:p w14:paraId="362446AF">
            <w:pPr>
              <w:pStyle w:val="10"/>
              <w:spacing w:before="0" w:after="0" w:line="360" w:lineRule="auto"/>
              <w:ind w:right="0" w:firstLine="480" w:firstLineChars="200"/>
              <w:rPr>
                <w:color w:val="000000" w:themeColor="text1"/>
                <w:sz w:val="24"/>
                <w:szCs w:val="24"/>
                <w:highlight w:val="none"/>
                <w:u w:val="wave"/>
                <w14:textFill>
                  <w14:solidFill>
                    <w14:schemeClr w14:val="tx1"/>
                  </w14:solidFill>
                </w14:textFill>
              </w:rPr>
            </w:pPr>
            <w:r>
              <w:rPr>
                <w:rFonts w:hint="eastAsia"/>
                <w:color w:val="000000" w:themeColor="text1"/>
                <w:sz w:val="24"/>
                <w:szCs w:val="24"/>
                <w:highlight w:val="none"/>
                <w:u w:val="wave"/>
                <w:lang w:val="en-US" w:eastAsia="zh-CN"/>
                <w14:textFill>
                  <w14:solidFill>
                    <w14:schemeClr w14:val="tx1"/>
                  </w14:solidFill>
                </w14:textFill>
              </w:rPr>
              <w:t>4</w:t>
            </w:r>
            <w:r>
              <w:rPr>
                <w:color w:val="000000" w:themeColor="text1"/>
                <w:sz w:val="24"/>
                <w:szCs w:val="24"/>
                <w:highlight w:val="none"/>
                <w:u w:val="wave"/>
                <w14:textFill>
                  <w14:solidFill>
                    <w14:schemeClr w14:val="tx1"/>
                  </w14:solidFill>
                </w14:textFill>
              </w:rPr>
              <w:t>、工电磁环境：执行《电磁环境控制限值》（GB 8702-2014）有关公众</w:t>
            </w:r>
            <w:r>
              <w:rPr>
                <w:bCs/>
                <w:color w:val="000000" w:themeColor="text1"/>
                <w:sz w:val="24"/>
                <w:szCs w:val="24"/>
                <w:highlight w:val="none"/>
                <w:u w:val="wave"/>
                <w14:textFill>
                  <w14:solidFill>
                    <w14:schemeClr w14:val="tx1"/>
                  </w14:solidFill>
                </w14:textFill>
              </w:rPr>
              <w:t>曝露</w:t>
            </w:r>
            <w:r>
              <w:rPr>
                <w:color w:val="000000" w:themeColor="text1"/>
                <w:sz w:val="24"/>
                <w:szCs w:val="24"/>
                <w:highlight w:val="none"/>
                <w:u w:val="wave"/>
                <w14:textFill>
                  <w14:solidFill>
                    <w14:schemeClr w14:val="tx1"/>
                  </w14:solidFill>
                </w14:textFill>
              </w:rPr>
              <w:t>控制限值的要求，</w:t>
            </w:r>
            <w:r>
              <w:rPr>
                <w:bCs/>
                <w:color w:val="000000" w:themeColor="text1"/>
                <w:sz w:val="24"/>
                <w:szCs w:val="24"/>
                <w:highlight w:val="none"/>
                <w:u w:val="wave"/>
                <w14:textFill>
                  <w14:solidFill>
                    <w14:schemeClr w14:val="tx1"/>
                  </w14:solidFill>
                </w14:textFill>
              </w:rPr>
              <w:t>公众曝露控制限值为工频电场强度4000V/m、工频磁感应强度100μT。</w:t>
            </w:r>
          </w:p>
          <w:p w14:paraId="3CF4A82F">
            <w:pPr>
              <w:pStyle w:val="10"/>
              <w:spacing w:before="0" w:after="0" w:line="360" w:lineRule="auto"/>
              <w:ind w:right="0"/>
              <w:rPr>
                <w:b/>
                <w:bCs/>
                <w:color w:val="000000" w:themeColor="text1"/>
                <w:sz w:val="24"/>
                <w:szCs w:val="24"/>
                <w:highlight w:val="none"/>
                <w:u w:val="wave"/>
                <w14:textFill>
                  <w14:solidFill>
                    <w14:schemeClr w14:val="tx1"/>
                  </w14:solidFill>
                </w14:textFill>
              </w:rPr>
            </w:pPr>
            <w:r>
              <w:rPr>
                <w:b/>
                <w:bCs/>
                <w:color w:val="000000" w:themeColor="text1"/>
                <w:sz w:val="24"/>
                <w:szCs w:val="24"/>
                <w:highlight w:val="none"/>
                <w:u w:val="wave"/>
                <w14:textFill>
                  <w14:solidFill>
                    <w14:schemeClr w14:val="tx1"/>
                  </w14:solidFill>
                </w14:textFill>
              </w:rPr>
              <w:t>（二）污染物排放标准</w:t>
            </w:r>
          </w:p>
          <w:p w14:paraId="4314D55C">
            <w:pPr>
              <w:pStyle w:val="63"/>
              <w:spacing w:before="0" w:beforeLines="0" w:after="0" w:afterLines="0" w:line="360" w:lineRule="auto"/>
              <w:ind w:firstLine="480" w:firstLineChars="200"/>
              <w:jc w:val="left"/>
              <w:rPr>
                <w:rFonts w:hint="eastAsia" w:ascii="Times New Roman" w:hAnsi="Times New Roman"/>
                <w:color w:val="000000" w:themeColor="text1"/>
                <w:sz w:val="24"/>
                <w:szCs w:val="24"/>
                <w:highlight w:val="none"/>
                <w:u w:val="wave"/>
                <w:lang w:val="en-US" w:eastAsia="zh-CN"/>
                <w14:textFill>
                  <w14:solidFill>
                    <w14:schemeClr w14:val="tx1"/>
                  </w14:solidFill>
                </w14:textFill>
              </w:rPr>
            </w:pPr>
            <w:r>
              <w:rPr>
                <w:rFonts w:hint="eastAsia" w:ascii="Times New Roman" w:hAnsi="Times New Roman"/>
                <w:color w:val="000000" w:themeColor="text1"/>
                <w:sz w:val="24"/>
                <w:szCs w:val="24"/>
                <w:highlight w:val="none"/>
                <w:u w:val="wave"/>
                <w:lang w:val="en-US" w:eastAsia="zh-CN"/>
                <w14:textFill>
                  <w14:solidFill>
                    <w14:schemeClr w14:val="tx1"/>
                  </w14:solidFill>
                </w14:textFill>
              </w:rPr>
              <w:t>1</w:t>
            </w:r>
            <w:r>
              <w:rPr>
                <w:rFonts w:ascii="Times New Roman" w:hAnsi="Times New Roman"/>
                <w:color w:val="000000" w:themeColor="text1"/>
                <w:sz w:val="24"/>
                <w:szCs w:val="24"/>
                <w:highlight w:val="none"/>
                <w:u w:val="wave"/>
                <w14:textFill>
                  <w14:solidFill>
                    <w14:schemeClr w14:val="tx1"/>
                  </w14:solidFill>
                </w14:textFill>
              </w:rPr>
              <w:t>、废气：执行《大气污染物综合排放标准》（GB16297-1996）中的二级标准及无组织排放监控浓度限值</w:t>
            </w:r>
            <w:r>
              <w:rPr>
                <w:rFonts w:hint="eastAsia" w:ascii="Times New Roman" w:hAnsi="Times New Roman"/>
                <w:color w:val="000000" w:themeColor="text1"/>
                <w:sz w:val="24"/>
                <w:szCs w:val="24"/>
                <w:highlight w:val="none"/>
                <w:u w:val="wave"/>
                <w:lang w:val="en-US" w:eastAsia="zh-CN"/>
                <w14:textFill>
                  <w14:solidFill>
                    <w14:schemeClr w14:val="tx1"/>
                  </w14:solidFill>
                </w14:textFill>
              </w:rPr>
              <w:t>；</w:t>
            </w:r>
          </w:p>
          <w:p w14:paraId="7E5FDAB6">
            <w:pPr>
              <w:pStyle w:val="63"/>
              <w:spacing w:before="0" w:beforeLines="0" w:after="0" w:afterLines="0" w:line="360" w:lineRule="auto"/>
              <w:ind w:firstLine="480" w:firstLineChars="200"/>
              <w:jc w:val="both"/>
              <w:rPr>
                <w:rFonts w:ascii="Times New Roman" w:hAnsi="Times New Roman"/>
                <w:color w:val="000000" w:themeColor="text1"/>
                <w:sz w:val="24"/>
                <w:szCs w:val="24"/>
                <w:highlight w:val="none"/>
                <w:u w:val="wave"/>
                <w14:textFill>
                  <w14:solidFill>
                    <w14:schemeClr w14:val="tx1"/>
                  </w14:solidFill>
                </w14:textFill>
              </w:rPr>
            </w:pPr>
            <w:r>
              <w:rPr>
                <w:rFonts w:hint="eastAsia" w:ascii="Times New Roman" w:hAnsi="Times New Roman"/>
                <w:color w:val="000000" w:themeColor="text1"/>
                <w:sz w:val="24"/>
                <w:szCs w:val="24"/>
                <w:highlight w:val="none"/>
                <w:u w:val="wave"/>
                <w:lang w:val="en-US" w:eastAsia="zh-CN"/>
                <w14:textFill>
                  <w14:solidFill>
                    <w14:schemeClr w14:val="tx1"/>
                  </w14:solidFill>
                </w14:textFill>
              </w:rPr>
              <w:t>2</w:t>
            </w:r>
            <w:r>
              <w:rPr>
                <w:rFonts w:ascii="Times New Roman" w:hAnsi="Times New Roman"/>
                <w:color w:val="000000" w:themeColor="text1"/>
                <w:sz w:val="24"/>
                <w:szCs w:val="24"/>
                <w:highlight w:val="none"/>
                <w:u w:val="wave"/>
                <w14:textFill>
                  <w14:solidFill>
                    <w14:schemeClr w14:val="tx1"/>
                  </w14:solidFill>
                </w14:textFill>
              </w:rPr>
              <w:t>、噪声：施工期执行《建筑施工场界环境噪声排放标准》（GB12523-2011）表1标准，营运期升压站厂界噪声执行《工业企业厂界环境噪声排放标准》（GB12348-2008）中的2类标准；</w:t>
            </w:r>
          </w:p>
          <w:p w14:paraId="48708C64">
            <w:pPr>
              <w:adjustRightInd w:val="0"/>
              <w:snapToGrid w:val="0"/>
              <w:ind w:firstLine="480" w:firstLineChars="200"/>
              <w:rPr>
                <w:color w:val="000000" w:themeColor="text1"/>
                <w:highlight w:val="none"/>
                <w14:textFill>
                  <w14:solidFill>
                    <w14:schemeClr w14:val="tx1"/>
                  </w14:solidFill>
                </w14:textFill>
              </w:rPr>
            </w:pPr>
            <w:r>
              <w:rPr>
                <w:rFonts w:hint="eastAsia"/>
                <w:color w:val="000000" w:themeColor="text1"/>
                <w:highlight w:val="none"/>
                <w:u w:val="wave"/>
                <w:lang w:val="en-US" w:eastAsia="zh-CN"/>
                <w14:textFill>
                  <w14:solidFill>
                    <w14:schemeClr w14:val="tx1"/>
                  </w14:solidFill>
                </w14:textFill>
              </w:rPr>
              <w:t>3</w:t>
            </w:r>
            <w:r>
              <w:rPr>
                <w:color w:val="000000" w:themeColor="text1"/>
                <w:highlight w:val="none"/>
                <w:u w:val="wave"/>
                <w14:textFill>
                  <w14:solidFill>
                    <w14:schemeClr w14:val="tx1"/>
                  </w14:solidFill>
                </w14:textFill>
              </w:rPr>
              <w:t>、固体废弃物：一般工业固体废物执行《一般工业固体废物贮存和填埋污染控制标准》（GB18599-2020）；危险废物执行《危险废物贮存污染控制标准》（GB18597-20</w:t>
            </w:r>
            <w:r>
              <w:rPr>
                <w:rFonts w:hint="eastAsia"/>
                <w:color w:val="000000" w:themeColor="text1"/>
                <w:highlight w:val="none"/>
                <w:u w:val="wave"/>
                <w:lang w:val="en-US" w:eastAsia="zh-CN"/>
                <w14:textFill>
                  <w14:solidFill>
                    <w14:schemeClr w14:val="tx1"/>
                  </w14:solidFill>
                </w14:textFill>
              </w:rPr>
              <w:t>23</w:t>
            </w:r>
            <w:r>
              <w:rPr>
                <w:color w:val="000000" w:themeColor="text1"/>
                <w:highlight w:val="none"/>
                <w:u w:val="wave"/>
                <w14:textFill>
                  <w14:solidFill>
                    <w14:schemeClr w14:val="tx1"/>
                  </w14:solidFill>
                </w14:textFill>
              </w:rPr>
              <w:t>）。</w:t>
            </w:r>
          </w:p>
        </w:tc>
      </w:tr>
      <w:tr w14:paraId="49FF26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715" w:type="dxa"/>
            <w:vAlign w:val="center"/>
          </w:tcPr>
          <w:p w14:paraId="72492B40">
            <w:pPr>
              <w:adjustRightInd w:val="0"/>
              <w:snapToGrid w:val="0"/>
              <w:jc w:val="center"/>
              <w:rPr>
                <w:color w:val="000000" w:themeColor="text1"/>
                <w:kern w:val="0"/>
                <w:highlight w:val="none"/>
                <w14:textFill>
                  <w14:solidFill>
                    <w14:schemeClr w14:val="tx1"/>
                  </w14:solidFill>
                </w14:textFill>
              </w:rPr>
            </w:pPr>
            <w:r>
              <w:rPr>
                <w:color w:val="000000" w:themeColor="text1"/>
                <w:kern w:val="0"/>
                <w:highlight w:val="none"/>
                <w14:textFill>
                  <w14:solidFill>
                    <w14:schemeClr w14:val="tx1"/>
                  </w14:solidFill>
                </w14:textFill>
              </w:rPr>
              <w:t>其他</w:t>
            </w:r>
          </w:p>
        </w:tc>
        <w:tc>
          <w:tcPr>
            <w:tcW w:w="7804" w:type="dxa"/>
            <w:vAlign w:val="center"/>
          </w:tcPr>
          <w:p w14:paraId="0A8DA016">
            <w:pPr>
              <w:autoSpaceDE w:val="0"/>
              <w:adjustRightInd w:val="0"/>
              <w:spacing w:before="120" w:beforeLines="50"/>
              <w:ind w:firstLine="960" w:firstLineChars="400"/>
              <w:rPr>
                <w:color w:val="000000" w:themeColor="text1"/>
                <w14:textFill>
                  <w14:solidFill>
                    <w14:schemeClr w14:val="tx1"/>
                  </w14:solidFill>
                </w14:textFill>
              </w:rPr>
            </w:pPr>
            <w:r>
              <w:rPr>
                <w:color w:val="000000" w:themeColor="text1"/>
                <w14:textFill>
                  <w14:solidFill>
                    <w14:schemeClr w14:val="tx1"/>
                  </w14:solidFill>
                </w14:textFill>
              </w:rPr>
              <w:t>总量控制指标</w:t>
            </w:r>
            <w:r>
              <w:rPr>
                <w:rFonts w:hint="eastAsia"/>
                <w:color w:val="000000" w:themeColor="text1"/>
                <w:lang w:eastAsia="zh-CN"/>
                <w14:textFill>
                  <w14:solidFill>
                    <w14:schemeClr w14:val="tx1"/>
                  </w14:solidFill>
                </w14:textFill>
              </w:rPr>
              <w:t>：</w:t>
            </w:r>
            <w:r>
              <w:rPr>
                <w:rFonts w:ascii="Times New Roman" w:hAnsi="Times New Roman" w:eastAsia="宋体" w:cs="Times New Roman"/>
                <w:color w:val="000000" w:themeColor="text1"/>
                <w:kern w:val="2"/>
                <w:sz w:val="24"/>
                <w:szCs w:val="24"/>
                <w:lang w:val="en-US" w:eastAsia="zh-CN" w:bidi="ar-SA"/>
                <w14:textFill>
                  <w14:solidFill>
                    <w14:schemeClr w14:val="tx1"/>
                  </w14:solidFill>
                </w14:textFill>
              </w:rPr>
              <w:t>不推荐总量控制指标。</w:t>
            </w:r>
          </w:p>
        </w:tc>
      </w:tr>
    </w:tbl>
    <w:p w14:paraId="5F290857">
      <w:pPr>
        <w:pStyle w:val="2"/>
        <w:rPr>
          <w:snapToGrid w:val="0"/>
          <w:color w:val="000000" w:themeColor="text1"/>
          <w14:textFill>
            <w14:solidFill>
              <w14:schemeClr w14:val="tx1"/>
            </w14:solidFill>
          </w14:textFill>
        </w:rPr>
      </w:pPr>
      <w:r>
        <w:rPr>
          <w:snapToGrid w:val="0"/>
          <w:color w:val="FF0000"/>
          <w:kern w:val="2"/>
          <w:sz w:val="36"/>
          <w:szCs w:val="36"/>
        </w:rPr>
        <w:br w:type="page"/>
      </w:r>
      <w:bookmarkStart w:id="77" w:name="_Toc27168"/>
      <w:r>
        <w:rPr>
          <w:snapToGrid w:val="0"/>
          <w:color w:val="000000" w:themeColor="text1"/>
          <w14:textFill>
            <w14:solidFill>
              <w14:schemeClr w14:val="tx1"/>
            </w14:solidFill>
          </w14:textFill>
        </w:rPr>
        <w:t>四、生态环境影响分析</w:t>
      </w:r>
      <w:bookmarkEnd w:id="77"/>
    </w:p>
    <w:tbl>
      <w:tblPr>
        <w:tblStyle w:val="26"/>
        <w:tblW w:w="844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3"/>
        <w:gridCol w:w="7989"/>
      </w:tblGrid>
      <w:tr w14:paraId="0ABA2F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453" w:type="dxa"/>
            <w:tcMar>
              <w:left w:w="28" w:type="dxa"/>
              <w:right w:w="28" w:type="dxa"/>
            </w:tcMar>
            <w:vAlign w:val="center"/>
          </w:tcPr>
          <w:p w14:paraId="6534B183">
            <w:pPr>
              <w:pStyle w:val="23"/>
              <w:adjustRightInd w:val="0"/>
              <w:snapToGrid w:val="0"/>
              <w:spacing w:before="0" w:beforeAutospacing="0" w:after="0" w:afterAutospacing="0"/>
              <w:jc w:val="center"/>
              <w:rPr>
                <w:rFonts w:ascii="Times New Roman" w:hAnsi="Times New Roman"/>
                <w:bCs/>
                <w:color w:val="FF0000"/>
                <w:kern w:val="2"/>
              </w:rPr>
            </w:pPr>
            <w:bookmarkStart w:id="78" w:name="_Hlk49796138"/>
            <w:r>
              <w:rPr>
                <w:rFonts w:ascii="Times New Roman" w:hAnsi="Times New Roman"/>
                <w:bCs/>
                <w:color w:val="000000" w:themeColor="text1"/>
                <w:spacing w:val="10"/>
                <w:kern w:val="2"/>
                <w14:textFill>
                  <w14:solidFill>
                    <w14:schemeClr w14:val="tx1"/>
                  </w14:solidFill>
                </w14:textFill>
              </w:rPr>
              <w:t>施工期生态环境影响分析</w:t>
            </w:r>
            <w:bookmarkEnd w:id="78"/>
          </w:p>
        </w:tc>
        <w:tc>
          <w:tcPr>
            <w:tcW w:w="7989" w:type="dxa"/>
          </w:tcPr>
          <w:p w14:paraId="56DE6EF6">
            <w:pPr>
              <w:pStyle w:val="3"/>
              <w:ind w:firstLine="480" w:firstLineChars="200"/>
              <w:rPr>
                <w:rFonts w:hint="eastAsia" w:ascii="Times New Roman" w:hAnsi="Times New Roman" w:eastAsia="宋体" w:cs="Times New Roman"/>
                <w:b w:val="0"/>
                <w:bCs w:val="0"/>
                <w:color w:val="000000" w:themeColor="text1"/>
                <w:kern w:val="2"/>
                <w:sz w:val="24"/>
                <w:szCs w:val="24"/>
                <w:u w:val="none"/>
                <w:lang w:val="en-US" w:eastAsia="zh-CN" w:bidi="ar-SA"/>
                <w14:textFill>
                  <w14:solidFill>
                    <w14:schemeClr w14:val="tx1"/>
                  </w14:solidFill>
                </w14:textFill>
              </w:rPr>
            </w:pPr>
            <w:bookmarkStart w:id="79" w:name="_Toc30532236"/>
            <w:bookmarkStart w:id="80" w:name="_Toc467060345"/>
            <w:bookmarkStart w:id="81" w:name="_Toc1151"/>
            <w:bookmarkStart w:id="82" w:name="_Toc22430"/>
            <w:r>
              <w:rPr>
                <w:rFonts w:hint="eastAsia" w:ascii="Times New Roman" w:hAnsi="Times New Roman" w:eastAsia="宋体" w:cs="Times New Roman"/>
                <w:b w:val="0"/>
                <w:bCs w:val="0"/>
                <w:color w:val="000000" w:themeColor="text1"/>
                <w:kern w:val="2"/>
                <w:sz w:val="24"/>
                <w:szCs w:val="24"/>
                <w:u w:val="none"/>
                <w:lang w:val="en-US" w:eastAsia="zh-CN" w:bidi="ar-SA"/>
                <w14:textFill>
                  <w14:solidFill>
                    <w14:schemeClr w14:val="tx1"/>
                  </w14:solidFill>
                </w14:textFill>
              </w:rPr>
              <w:t>本工程施工工序主要包括：修建道路、平整场地、风电机组安装、集电线路敷设及临时性工程建设等。施工期工艺流程及产污节点见下图。</w:t>
            </w:r>
          </w:p>
          <w:p w14:paraId="14596730">
            <w:pPr>
              <w:pStyle w:val="3"/>
              <w:rPr>
                <w:rFonts w:cs="Times New Roman"/>
                <w:color w:val="000000" w:themeColor="text1"/>
                <w:u w:val="none"/>
                <w14:textFill>
                  <w14:solidFill>
                    <w14:schemeClr w14:val="tx1"/>
                  </w14:solidFill>
                </w14:textFill>
              </w:rPr>
            </w:pPr>
            <w:r>
              <w:rPr>
                <w:rFonts w:cs="Times New Roman"/>
                <w:color w:val="000000" w:themeColor="text1"/>
                <w:u w:val="none"/>
                <w14:textFill>
                  <w14:solidFill>
                    <w14:schemeClr w14:val="tx1"/>
                  </w14:solidFill>
                </w14:textFill>
              </w:rPr>
              <w:drawing>
                <wp:inline distT="0" distB="0" distL="114300" distR="114300">
                  <wp:extent cx="4935220" cy="3749675"/>
                  <wp:effectExtent l="0" t="0" r="17780" b="3175"/>
                  <wp:docPr id="13" name="图片 13" descr="1709964112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709964112748"/>
                          <pic:cNvPicPr>
                            <a:picLocks noChangeAspect="1"/>
                          </pic:cNvPicPr>
                        </pic:nvPicPr>
                        <pic:blipFill>
                          <a:blip r:embed="rId42"/>
                          <a:stretch>
                            <a:fillRect/>
                          </a:stretch>
                        </pic:blipFill>
                        <pic:spPr>
                          <a:xfrm>
                            <a:off x="0" y="0"/>
                            <a:ext cx="4935220" cy="3749675"/>
                          </a:xfrm>
                          <a:prstGeom prst="rect">
                            <a:avLst/>
                          </a:prstGeom>
                        </pic:spPr>
                      </pic:pic>
                    </a:graphicData>
                  </a:graphic>
                </wp:inline>
              </w:drawing>
            </w:r>
          </w:p>
          <w:p w14:paraId="35C31CDE">
            <w:pPr>
              <w:pStyle w:val="3"/>
              <w:ind w:firstLine="2530" w:firstLineChars="1200"/>
              <w:rPr>
                <w:rFonts w:hint="default" w:ascii="Times New Roman" w:hAnsi="Times New Roman" w:eastAsia="宋体" w:cs="Times New Roman"/>
                <w:b/>
                <w:bCs w:val="0"/>
                <w:color w:val="0D0D0D" w:themeColor="text1" w:themeTint="F2"/>
                <w:kern w:val="0"/>
                <w:sz w:val="21"/>
                <w:szCs w:val="21"/>
                <w:highlight w:val="none"/>
                <w:u w:val="none"/>
                <w:lang w:val="en-US" w:eastAsia="zh-CN" w:bidi="ar-SA"/>
                <w14:textFill>
                  <w14:solidFill>
                    <w14:schemeClr w14:val="tx1">
                      <w14:lumMod w14:val="95000"/>
                      <w14:lumOff w14:val="5000"/>
                    </w14:schemeClr>
                  </w14:solidFill>
                </w14:textFill>
              </w:rPr>
            </w:pPr>
            <w:r>
              <w:rPr>
                <w:rFonts w:hint="eastAsia" w:ascii="Times New Roman" w:hAnsi="Times New Roman" w:eastAsia="宋体" w:cs="Times New Roman"/>
                <w:b/>
                <w:bCs w:val="0"/>
                <w:color w:val="0D0D0D" w:themeColor="text1" w:themeTint="F2"/>
                <w:kern w:val="0"/>
                <w:sz w:val="21"/>
                <w:szCs w:val="21"/>
                <w:highlight w:val="none"/>
                <w:u w:val="none"/>
                <w:lang w:val="en-US" w:eastAsia="zh-CN" w:bidi="ar-SA"/>
                <w14:textFill>
                  <w14:solidFill>
                    <w14:schemeClr w14:val="tx1">
                      <w14:lumMod w14:val="95000"/>
                      <w14:lumOff w14:val="5000"/>
                    </w14:schemeClr>
                  </w14:solidFill>
                </w14:textFill>
              </w:rPr>
              <w:t>图4-1  施工流程图及产污节点图</w:t>
            </w:r>
          </w:p>
          <w:p w14:paraId="69DE9559">
            <w:pPr>
              <w:pStyle w:val="3"/>
              <w:rPr>
                <w:rFonts w:cs="Times New Roman"/>
                <w:color w:val="000000" w:themeColor="text1"/>
                <w:u w:val="none"/>
                <w14:textFill>
                  <w14:solidFill>
                    <w14:schemeClr w14:val="tx1"/>
                  </w14:solidFill>
                </w14:textFill>
              </w:rPr>
            </w:pPr>
            <w:r>
              <w:rPr>
                <w:rFonts w:cs="Times New Roman"/>
                <w:color w:val="000000" w:themeColor="text1"/>
                <w:u w:val="none"/>
                <w14:textFill>
                  <w14:solidFill>
                    <w14:schemeClr w14:val="tx1"/>
                  </w14:solidFill>
                </w14:textFill>
              </w:rPr>
              <w:t>4.1 施工期生态环境影响</w:t>
            </w:r>
            <w:bookmarkEnd w:id="79"/>
            <w:bookmarkEnd w:id="80"/>
            <w:r>
              <w:rPr>
                <w:rFonts w:cs="Times New Roman"/>
                <w:color w:val="000000" w:themeColor="text1"/>
                <w:u w:val="none"/>
                <w14:textFill>
                  <w14:solidFill>
                    <w14:schemeClr w14:val="tx1"/>
                  </w14:solidFill>
                </w14:textFill>
              </w:rPr>
              <w:t>分析</w:t>
            </w:r>
            <w:bookmarkEnd w:id="81"/>
            <w:bookmarkEnd w:id="82"/>
          </w:p>
          <w:p w14:paraId="52AB9F37">
            <w:pPr>
              <w:pStyle w:val="4"/>
              <w:numPr>
                <w:ilvl w:val="0"/>
                <w:numId w:val="6"/>
              </w:numPr>
              <w:rPr>
                <w:color w:val="000000" w:themeColor="text1"/>
                <w:szCs w:val="24"/>
                <w:u w:val="none"/>
                <w14:textFill>
                  <w14:solidFill>
                    <w14:schemeClr w14:val="tx1"/>
                  </w14:solidFill>
                </w14:textFill>
              </w:rPr>
            </w:pPr>
            <w:bookmarkStart w:id="83" w:name="_Toc5572_WPSOffice_Level2"/>
            <w:bookmarkStart w:id="84" w:name="_Toc119425301"/>
            <w:bookmarkStart w:id="85" w:name="_Toc29573"/>
            <w:bookmarkStart w:id="86" w:name="_Toc478243911"/>
            <w:bookmarkStart w:id="87" w:name="_Toc25599"/>
            <w:bookmarkStart w:id="88" w:name="_Toc26930_WPSOffice_Level2"/>
            <w:bookmarkStart w:id="89" w:name="_Toc21238"/>
            <w:r>
              <w:rPr>
                <w:color w:val="000000" w:themeColor="text1"/>
                <w:szCs w:val="24"/>
                <w:u w:val="none"/>
                <w14:textFill>
                  <w14:solidFill>
                    <w14:schemeClr w14:val="tx1"/>
                  </w14:solidFill>
                </w14:textFill>
              </w:rPr>
              <w:t>对</w:t>
            </w:r>
            <w:r>
              <w:rPr>
                <w:color w:val="000000" w:themeColor="text1"/>
                <w:u w:val="none"/>
                <w14:textFill>
                  <w14:solidFill>
                    <w14:schemeClr w14:val="tx1"/>
                  </w14:solidFill>
                </w14:textFill>
              </w:rPr>
              <w:t>生态</w:t>
            </w:r>
            <w:r>
              <w:rPr>
                <w:color w:val="000000" w:themeColor="text1"/>
                <w:szCs w:val="24"/>
                <w:u w:val="none"/>
                <w14:textFill>
                  <w14:solidFill>
                    <w14:schemeClr w14:val="tx1"/>
                  </w14:solidFill>
                </w14:textFill>
              </w:rPr>
              <w:t>系统的影响</w:t>
            </w:r>
          </w:p>
          <w:p w14:paraId="0B233E81">
            <w:pPr>
              <w:pStyle w:val="4"/>
              <w:numPr>
                <w:ilvl w:val="0"/>
                <w:numId w:val="0"/>
              </w:numPr>
              <w:ind w:left="420" w:leftChars="0"/>
              <w:rPr>
                <w:color w:val="000000" w:themeColor="text1"/>
                <w:u w:val="none"/>
                <w14:textFill>
                  <w14:solidFill>
                    <w14:schemeClr w14:val="tx1"/>
                  </w14:solidFill>
                </w14:textFill>
              </w:rPr>
            </w:pPr>
            <w:r>
              <w:rPr>
                <w:rFonts w:hint="eastAsia"/>
                <w:color w:val="000000" w:themeColor="text1"/>
                <w:u w:val="none"/>
                <w:lang w:val="en-US" w:eastAsia="zh-CN"/>
                <w14:textFill>
                  <w14:solidFill>
                    <w14:schemeClr w14:val="tx1"/>
                  </w14:solidFill>
                </w14:textFill>
              </w:rPr>
              <w:t>1）</w:t>
            </w:r>
            <w:r>
              <w:rPr>
                <w:color w:val="000000" w:themeColor="text1"/>
                <w:u w:val="none"/>
                <w14:textFill>
                  <w14:solidFill>
                    <w14:schemeClr w14:val="tx1"/>
                  </w14:solidFill>
                </w14:textFill>
              </w:rPr>
              <w:t>对森林生态系统的影响</w:t>
            </w:r>
            <w:bookmarkEnd w:id="83"/>
            <w:bookmarkEnd w:id="84"/>
            <w:bookmarkEnd w:id="85"/>
            <w:bookmarkEnd w:id="86"/>
          </w:p>
          <w:p w14:paraId="47D4A6B7">
            <w:pPr>
              <w:spacing w:line="360" w:lineRule="auto"/>
              <w:ind w:firstLine="480" w:firstLineChars="200"/>
              <w:rPr>
                <w:rFonts w:ascii="Times New Roman" w:hAnsi="Times New Roman" w:cs="Times New Roman"/>
                <w:color w:val="000000" w:themeColor="text1"/>
                <w:sz w:val="24"/>
                <w:u w:val="none"/>
                <w14:textFill>
                  <w14:solidFill>
                    <w14:schemeClr w14:val="tx1"/>
                  </w14:solidFill>
                </w14:textFill>
              </w:rPr>
            </w:pPr>
            <w:r>
              <w:rPr>
                <w:rFonts w:ascii="Times New Roman" w:hAnsi="Times New Roman" w:cs="Times New Roman"/>
                <w:color w:val="000000" w:themeColor="text1"/>
                <w:sz w:val="24"/>
                <w:u w:val="none"/>
                <w14:textFill>
                  <w14:solidFill>
                    <w14:schemeClr w14:val="tx1"/>
                  </w14:solidFill>
                </w14:textFill>
              </w:rPr>
              <w:t>工程建设对评价区森林生态系统的不利影响因素主要有施工占地、施工活动等。</w:t>
            </w:r>
          </w:p>
          <w:p w14:paraId="71B843E9">
            <w:pPr>
              <w:spacing w:line="360" w:lineRule="auto"/>
              <w:ind w:firstLine="480" w:firstLineChars="200"/>
              <w:rPr>
                <w:rFonts w:ascii="Times New Roman" w:hAnsi="Times New Roman" w:cs="Times New Roman"/>
                <w:color w:val="000000" w:themeColor="text1"/>
                <w:sz w:val="24"/>
                <w:u w:val="none"/>
                <w14:textFill>
                  <w14:solidFill>
                    <w14:schemeClr w14:val="tx1"/>
                  </w14:solidFill>
                </w14:textFill>
              </w:rPr>
            </w:pPr>
            <w:r>
              <w:rPr>
                <w:rFonts w:ascii="Times New Roman" w:hAnsi="Times New Roman" w:cs="Times New Roman"/>
                <w:color w:val="000000" w:themeColor="text1"/>
                <w:sz w:val="24"/>
                <w:u w:val="none"/>
                <w14:textFill>
                  <w14:solidFill>
                    <w14:schemeClr w14:val="tx1"/>
                  </w14:solidFill>
                </w14:textFill>
              </w:rPr>
              <w:t>（1）施工占地：工程建设将破坏占地区森林生态系统，区域生产者减少，非生物环境发生改变，局部区域能量流动和物质循环能力降低，生态系统结构及功能退化。工程建设占用评价区森林生态系统面积很小，对区域森林生态系统结构及功能的影响较小。</w:t>
            </w:r>
          </w:p>
          <w:p w14:paraId="0CDD00D5">
            <w:pPr>
              <w:spacing w:line="360" w:lineRule="auto"/>
              <w:ind w:firstLine="480" w:firstLineChars="200"/>
              <w:rPr>
                <w:rFonts w:ascii="Times New Roman" w:hAnsi="Times New Roman" w:cs="Times New Roman"/>
                <w:color w:val="FF0000"/>
                <w:sz w:val="24"/>
                <w:u w:val="none"/>
              </w:rPr>
            </w:pPr>
            <w:r>
              <w:rPr>
                <w:rFonts w:ascii="Times New Roman" w:hAnsi="Times New Roman" w:cs="Times New Roman"/>
                <w:color w:val="000000" w:themeColor="text1"/>
                <w:sz w:val="24"/>
                <w:u w:val="none"/>
                <w14:textFill>
                  <w14:solidFill>
                    <w14:schemeClr w14:val="tx1"/>
                  </w14:solidFill>
                </w14:textFill>
              </w:rPr>
              <w:t>（2）施工活动：施工活动产生的弃渣、扬尘、废气、生活垃圾等带来的污染，会直接或间接影响附近植物生境及动物的栖息环境，会使得工程区附近森林生态系统中生产者生产能力降低，会导致森林生态系统内原有的一些植物及植被受到破坏，某些动物迁移。由于本工程占地区森林植被多为次生林和人工林，植被类型及群系组成较为简单，动植物种类较少，根据现场调查，本工程占地区及周边森林生态系统内植被以杉木林、马尾松林、</w:t>
            </w:r>
            <w:r>
              <w:rPr>
                <w:rFonts w:hint="eastAsia" w:cs="Times New Roman"/>
                <w:color w:val="000000" w:themeColor="text1"/>
                <w:sz w:val="24"/>
                <w:u w:val="none"/>
                <w:lang w:val="en-US" w:eastAsia="zh-CN"/>
                <w14:textFill>
                  <w14:solidFill>
                    <w14:schemeClr w14:val="tx1"/>
                  </w14:solidFill>
                </w14:textFill>
              </w:rPr>
              <w:t>茶树、</w:t>
            </w:r>
            <w:r>
              <w:rPr>
                <w:rFonts w:ascii="Times New Roman" w:hAnsi="Times New Roman" w:cs="Times New Roman"/>
                <w:color w:val="000000" w:themeColor="text1"/>
                <w:sz w:val="24"/>
                <w:u w:val="none"/>
                <w14:textFill>
                  <w14:solidFill>
                    <w14:schemeClr w14:val="tx1"/>
                  </w14:solidFill>
                </w14:textFill>
              </w:rPr>
              <w:t>竹林为主，且群落中常见的植物有</w:t>
            </w:r>
            <w:r>
              <w:rPr>
                <w:rFonts w:hint="eastAsia" w:ascii="Times New Roman" w:hAnsi="Times New Roman" w:cs="Times New Roman"/>
                <w:color w:val="000000" w:themeColor="text1"/>
                <w:sz w:val="24"/>
                <w:u w:val="none"/>
                <w14:textFill>
                  <w14:solidFill>
                    <w14:schemeClr w14:val="tx1"/>
                  </w14:solidFill>
                </w14:textFill>
              </w:rPr>
              <w:t>针叶林、阔叶林、灌丛和草丛。</w:t>
            </w:r>
            <w:r>
              <w:rPr>
                <w:rFonts w:ascii="Times New Roman" w:hAnsi="Times New Roman" w:cs="Times New Roman"/>
                <w:color w:val="000000" w:themeColor="text1"/>
                <w:sz w:val="24"/>
                <w:u w:val="none"/>
                <w14:textFill>
                  <w14:solidFill>
                    <w14:schemeClr w14:val="tx1"/>
                  </w14:solidFill>
                </w14:textFill>
              </w:rPr>
              <w:t>工程占地区及周边森林生态系统内动植物多以抗逆性强、适应性强的种类为主，其在评价区内外均有广泛分布，工程施工活动对其影响较小。</w:t>
            </w:r>
          </w:p>
          <w:p w14:paraId="10C61595">
            <w:pPr>
              <w:ind w:firstLine="480"/>
              <w:rPr>
                <w:color w:val="000000" w:themeColor="text1"/>
                <w:u w:val="none"/>
                <w14:textFill>
                  <w14:solidFill>
                    <w14:schemeClr w14:val="tx1"/>
                  </w14:solidFill>
                </w14:textFill>
              </w:rPr>
            </w:pPr>
            <w:r>
              <w:rPr>
                <w:rFonts w:ascii="Times New Roman" w:hAnsi="Times New Roman" w:cs="Times New Roman"/>
                <w:color w:val="000000" w:themeColor="text1"/>
                <w:sz w:val="24"/>
                <w:u w:val="none"/>
                <w14:textFill>
                  <w14:solidFill>
                    <w14:schemeClr w14:val="tx1"/>
                  </w14:solidFill>
                </w14:textFill>
              </w:rPr>
              <w:t>综上所述，由于本工程建设规模较小，工程占用林地面积较小，占地区森林生态系统内群落结构简单，动植物均为常见种，因此，工程建设对评价区森林生态系统结构及功能的影响较小。且施工结束后，临时占地区将进行植被恢复，永久占地破坏的植被将采取异地种树和植草的方式进行生态补偿。因此，在采取各种相关措施后，本工程建设对森林生态系统的影响较小。</w:t>
            </w:r>
          </w:p>
          <w:p w14:paraId="40941277">
            <w:pPr>
              <w:pStyle w:val="4"/>
              <w:numPr>
                <w:ilvl w:val="0"/>
                <w:numId w:val="0"/>
              </w:numPr>
              <w:ind w:left="420" w:leftChars="0"/>
              <w:rPr>
                <w:color w:val="000000" w:themeColor="text1"/>
                <w:u w:val="none"/>
                <w14:textFill>
                  <w14:solidFill>
                    <w14:schemeClr w14:val="tx1"/>
                  </w14:solidFill>
                </w14:textFill>
              </w:rPr>
            </w:pPr>
            <w:bookmarkStart w:id="90" w:name="_Toc119425303"/>
            <w:bookmarkStart w:id="91" w:name="_Toc488064989"/>
            <w:bookmarkStart w:id="92" w:name="_Toc28357"/>
            <w:bookmarkStart w:id="93" w:name="_Toc6915_WPSOffice_Level3"/>
            <w:r>
              <w:rPr>
                <w:rFonts w:hint="eastAsia"/>
                <w:color w:val="000000" w:themeColor="text1"/>
                <w:u w:val="none"/>
                <w:lang w:val="en-US" w:eastAsia="zh-CN"/>
                <w14:textFill>
                  <w14:solidFill>
                    <w14:schemeClr w14:val="tx1"/>
                  </w14:solidFill>
                </w14:textFill>
              </w:rPr>
              <w:t>2）</w:t>
            </w:r>
            <w:r>
              <w:rPr>
                <w:color w:val="000000" w:themeColor="text1"/>
                <w:u w:val="none"/>
                <w14:textFill>
                  <w14:solidFill>
                    <w14:schemeClr w14:val="tx1"/>
                  </w14:solidFill>
                </w14:textFill>
              </w:rPr>
              <w:t>对灌丛/草地生态系统的影响</w:t>
            </w:r>
            <w:bookmarkEnd w:id="90"/>
            <w:bookmarkEnd w:id="91"/>
          </w:p>
          <w:p w14:paraId="7DB393B5">
            <w:pPr>
              <w:spacing w:line="360" w:lineRule="auto"/>
              <w:ind w:firstLine="480" w:firstLineChars="200"/>
              <w:rPr>
                <w:rFonts w:ascii="Times New Roman" w:hAnsi="Times New Roman" w:cs="Times New Roman"/>
                <w:color w:val="000000" w:themeColor="text1"/>
                <w:sz w:val="24"/>
                <w:u w:val="none"/>
                <w14:textFill>
                  <w14:solidFill>
                    <w14:schemeClr w14:val="tx1"/>
                  </w14:solidFill>
                </w14:textFill>
              </w:rPr>
            </w:pPr>
            <w:r>
              <w:rPr>
                <w:rFonts w:ascii="Times New Roman" w:hAnsi="Times New Roman" w:cs="Times New Roman"/>
                <w:color w:val="000000" w:themeColor="text1"/>
                <w:sz w:val="24"/>
                <w:u w:val="none"/>
                <w14:textFill>
                  <w14:solidFill>
                    <w14:schemeClr w14:val="tx1"/>
                  </w14:solidFill>
                </w14:textFill>
              </w:rPr>
              <w:t>工程建设对评价区灌丛/草地生态系统的不利影响因素主要有工程施工占地、施工活动等。</w:t>
            </w:r>
          </w:p>
          <w:p w14:paraId="1F866E15">
            <w:pPr>
              <w:spacing w:line="360" w:lineRule="auto"/>
              <w:ind w:firstLine="480" w:firstLineChars="200"/>
              <w:rPr>
                <w:rFonts w:ascii="Times New Roman" w:hAnsi="Times New Roman" w:cs="Times New Roman"/>
                <w:color w:val="000000" w:themeColor="text1"/>
                <w:sz w:val="24"/>
                <w:u w:val="none"/>
                <w14:textFill>
                  <w14:solidFill>
                    <w14:schemeClr w14:val="tx1"/>
                  </w14:solidFill>
                </w14:textFill>
              </w:rPr>
            </w:pPr>
            <w:r>
              <w:rPr>
                <w:rFonts w:ascii="Times New Roman" w:hAnsi="Times New Roman" w:cs="Times New Roman"/>
                <w:color w:val="000000" w:themeColor="text1"/>
                <w:sz w:val="24"/>
                <w:u w:val="none"/>
                <w14:textFill>
                  <w14:solidFill>
                    <w14:schemeClr w14:val="tx1"/>
                  </w14:solidFill>
                </w14:textFill>
              </w:rPr>
              <w:t>（1）工程占地：工程建设占用灌木林地和草地会破坏灌丛/草地生态系统，使其面积减少，结构及功能受损。根据工程布置，工程建设占用灌丛/草地生态系统面积较小，对其结构及功能的影响较小。评价区自然环境优越，施工结束后，灌丛和灌草丛会得到迅速恢复，因此，工程占地对灌丛/草地生态系统的影响较小。</w:t>
            </w:r>
          </w:p>
          <w:p w14:paraId="6E2CC2A5">
            <w:pPr>
              <w:spacing w:line="360" w:lineRule="auto"/>
              <w:ind w:firstLine="480" w:firstLineChars="200"/>
              <w:rPr>
                <w:rFonts w:ascii="Times New Roman" w:hAnsi="Times New Roman" w:cs="Times New Roman"/>
                <w:color w:val="000000" w:themeColor="text1"/>
                <w:sz w:val="24"/>
                <w:u w:val="none"/>
                <w14:textFill>
                  <w14:solidFill>
                    <w14:schemeClr w14:val="tx1"/>
                  </w14:solidFill>
                </w14:textFill>
              </w:rPr>
            </w:pPr>
            <w:r>
              <w:rPr>
                <w:rFonts w:ascii="Times New Roman" w:hAnsi="Times New Roman" w:cs="Times New Roman"/>
                <w:color w:val="000000" w:themeColor="text1"/>
                <w:sz w:val="24"/>
                <w:u w:val="none"/>
                <w14:textFill>
                  <w14:solidFill>
                    <w14:schemeClr w14:val="tx1"/>
                  </w14:solidFill>
                </w14:textFill>
              </w:rPr>
              <w:t>（2）施工活动：施工活动中机械碾压、施工人员踩踏及施工活动产生的扬尘、废水、废气、生活垃圾等，会影响灌丛/草地生态系统内动植物生命活动，会对灌丛/草地生态系统结构及功能产生不利影响。根据现场调查，工程占用灌丛/草地生态系统区植被常见的群系有</w:t>
            </w:r>
            <w:r>
              <w:rPr>
                <w:rFonts w:hint="eastAsia" w:ascii="Times New Roman" w:hAnsi="Times New Roman" w:cs="Times New Roman"/>
                <w:color w:val="000000" w:themeColor="text1"/>
                <w:sz w:val="24"/>
                <w:u w:val="none"/>
                <w14:textFill>
                  <w14:solidFill>
                    <w14:schemeClr w14:val="tx1"/>
                  </w14:solidFill>
                </w14:textFill>
              </w:rPr>
              <w:t>杉木林</w:t>
            </w:r>
            <w:r>
              <w:rPr>
                <w:rFonts w:ascii="Times New Roman" w:hAnsi="Times New Roman" w:cs="Times New Roman"/>
                <w:color w:val="000000" w:themeColor="text1"/>
                <w:sz w:val="24"/>
                <w:u w:val="none"/>
                <w14:textFill>
                  <w14:solidFill>
                    <w14:schemeClr w14:val="tx1"/>
                  </w14:solidFill>
                </w14:textFill>
              </w:rPr>
              <w:t>、</w:t>
            </w:r>
            <w:r>
              <w:rPr>
                <w:rFonts w:hint="eastAsia" w:ascii="Times New Roman" w:hAnsi="Times New Roman" w:cs="Times New Roman"/>
                <w:color w:val="000000" w:themeColor="text1"/>
                <w:sz w:val="24"/>
                <w:u w:val="none"/>
                <w14:textFill>
                  <w14:solidFill>
                    <w14:schemeClr w14:val="tx1"/>
                  </w14:solidFill>
                </w14:textFill>
              </w:rPr>
              <w:t>马尾松林</w:t>
            </w:r>
            <w:r>
              <w:rPr>
                <w:rFonts w:hint="eastAsia" w:cs="Times New Roman"/>
                <w:color w:val="000000" w:themeColor="text1"/>
                <w:sz w:val="24"/>
                <w:u w:val="none"/>
                <w:lang w:eastAsia="zh-CN"/>
                <w14:textFill>
                  <w14:solidFill>
                    <w14:schemeClr w14:val="tx1"/>
                  </w14:solidFill>
                </w14:textFill>
              </w:rPr>
              <w:t>、紫萁灌丛、卫矛灌丛、白茅灌草丛</w:t>
            </w:r>
            <w:r>
              <w:rPr>
                <w:rFonts w:ascii="Times New Roman" w:hAnsi="Times New Roman" w:cs="Times New Roman"/>
                <w:color w:val="000000" w:themeColor="text1"/>
                <w:sz w:val="24"/>
                <w:u w:val="none"/>
                <w14:textFill>
                  <w14:solidFill>
                    <w14:schemeClr w14:val="tx1"/>
                  </w14:solidFill>
                </w14:textFill>
              </w:rPr>
              <w:t>等，常见的植物有</w:t>
            </w:r>
            <w:r>
              <w:rPr>
                <w:rFonts w:hint="eastAsia" w:cs="Times New Roman"/>
                <w:color w:val="000000" w:themeColor="text1"/>
                <w:sz w:val="24"/>
                <w:u w:val="none"/>
                <w:lang w:val="en-US" w:eastAsia="zh-CN"/>
                <w14:textFill>
                  <w14:solidFill>
                    <w14:schemeClr w14:val="tx1"/>
                  </w14:solidFill>
                </w14:textFill>
              </w:rPr>
              <w:t>毛</w:t>
            </w:r>
            <w:r>
              <w:rPr>
                <w:rFonts w:ascii="Times New Roman" w:hAnsi="Times New Roman" w:cs="Times New Roman"/>
                <w:color w:val="000000" w:themeColor="text1"/>
                <w:sz w:val="24"/>
                <w:u w:val="none"/>
                <w14:textFill>
                  <w14:solidFill>
                    <w14:schemeClr w14:val="tx1"/>
                  </w14:solidFill>
                </w14:textFill>
              </w:rPr>
              <w:t>竹、杜鹃、白茅、芒萁、木姜子、山莓等，常见的动物有</w:t>
            </w:r>
            <w:r>
              <w:rPr>
                <w:rFonts w:hint="eastAsia"/>
                <w:color w:val="000000" w:themeColor="text1"/>
                <w:sz w:val="24"/>
                <w:u w:val="none"/>
                <w14:textFill>
                  <w14:solidFill>
                    <w14:schemeClr w14:val="tx1"/>
                  </w14:solidFill>
                </w14:textFill>
              </w:rPr>
              <w:t>果子狸</w:t>
            </w:r>
            <w:r>
              <w:rPr>
                <w:rFonts w:hint="eastAsia"/>
                <w:color w:val="000000" w:themeColor="text1"/>
                <w:sz w:val="24"/>
                <w:u w:val="none"/>
                <w:lang w:eastAsia="zh-CN"/>
                <w14:textFill>
                  <w14:solidFill>
                    <w14:schemeClr w14:val="tx1"/>
                  </w14:solidFill>
                </w14:textFill>
              </w:rPr>
              <w:t>、中国豪猪巢鼠、黄胸鼠</w:t>
            </w:r>
            <w:r>
              <w:rPr>
                <w:rFonts w:ascii="Times New Roman" w:hAnsi="Times New Roman" w:cs="Times New Roman"/>
                <w:color w:val="000000" w:themeColor="text1"/>
                <w:sz w:val="24"/>
                <w:u w:val="none"/>
                <w14:textFill>
                  <w14:solidFill>
                    <w14:schemeClr w14:val="tx1"/>
                  </w14:solidFill>
                </w14:textFill>
              </w:rPr>
              <w:t>等，受施工活动影响的灌丛和灌草丛群系类型单一，结构简单，动物多为常见种，植物多以生命力强、生长速度快、适应性范围广、竞争力强的灌木和草本植物为主，其在评价区分布广泛，受工程施工活动影响较小，因此，施工活动对灌丛/草地生态系统的影响亦较小。</w:t>
            </w:r>
          </w:p>
          <w:p w14:paraId="492EE017">
            <w:pPr>
              <w:pStyle w:val="4"/>
              <w:numPr>
                <w:ilvl w:val="0"/>
                <w:numId w:val="0"/>
              </w:numPr>
              <w:ind w:left="420" w:leftChars="0"/>
              <w:rPr>
                <w:color w:val="000000" w:themeColor="text1"/>
                <w:u w:val="none"/>
                <w14:textFill>
                  <w14:solidFill>
                    <w14:schemeClr w14:val="tx1"/>
                  </w14:solidFill>
                </w14:textFill>
              </w:rPr>
            </w:pPr>
            <w:bookmarkStart w:id="94" w:name="_Toc119425304"/>
            <w:r>
              <w:rPr>
                <w:rFonts w:hint="eastAsia"/>
                <w:color w:val="000000" w:themeColor="text1"/>
                <w:u w:val="none"/>
                <w:lang w:val="en-US" w:eastAsia="zh-CN"/>
                <w14:textFill>
                  <w14:solidFill>
                    <w14:schemeClr w14:val="tx1"/>
                  </w14:solidFill>
                </w14:textFill>
              </w:rPr>
              <w:t>3）</w:t>
            </w:r>
            <w:r>
              <w:rPr>
                <w:color w:val="000000" w:themeColor="text1"/>
                <w:u w:val="none"/>
                <w14:textFill>
                  <w14:solidFill>
                    <w14:schemeClr w14:val="tx1"/>
                  </w14:solidFill>
                </w14:textFill>
              </w:rPr>
              <w:t>对湿地生态系统的影响</w:t>
            </w:r>
            <w:bookmarkEnd w:id="92"/>
            <w:bookmarkEnd w:id="93"/>
            <w:bookmarkEnd w:id="94"/>
          </w:p>
          <w:p w14:paraId="67664222">
            <w:pPr>
              <w:spacing w:line="360" w:lineRule="auto"/>
              <w:ind w:firstLine="480" w:firstLineChars="200"/>
              <w:rPr>
                <w:rFonts w:ascii="Times New Roman" w:hAnsi="Times New Roman" w:cs="Times New Roman"/>
                <w:color w:val="000000" w:themeColor="text1"/>
                <w:sz w:val="24"/>
                <w:u w:val="none"/>
                <w14:textFill>
                  <w14:solidFill>
                    <w14:schemeClr w14:val="tx1"/>
                  </w14:solidFill>
                </w14:textFill>
              </w:rPr>
            </w:pPr>
            <w:r>
              <w:rPr>
                <w:rFonts w:ascii="Times New Roman" w:hAnsi="Times New Roman" w:cs="Times New Roman"/>
                <w:bCs/>
                <w:color w:val="000000" w:themeColor="text1"/>
                <w:sz w:val="24"/>
                <w:u w:val="none"/>
                <w14:textFill>
                  <w14:solidFill>
                    <w14:schemeClr w14:val="tx1"/>
                  </w14:solidFill>
                </w14:textFill>
              </w:rPr>
              <w:t>根据工程布置，本工程建设不占用评价区湿地生态系统，因此工程建设对湿地生态系统的影响有限。但工程建设施工，可能有粉尘、扬尘等污染物会对评价区内的湿地生态系统有所影响，但整体影响有限。</w:t>
            </w:r>
          </w:p>
          <w:p w14:paraId="49BDEF38">
            <w:pPr>
              <w:pStyle w:val="4"/>
              <w:numPr>
                <w:ilvl w:val="0"/>
                <w:numId w:val="0"/>
              </w:numPr>
              <w:ind w:left="420" w:leftChars="0"/>
              <w:rPr>
                <w:color w:val="000000" w:themeColor="text1"/>
                <w:u w:val="none"/>
                <w14:textFill>
                  <w14:solidFill>
                    <w14:schemeClr w14:val="tx1"/>
                  </w14:solidFill>
                </w14:textFill>
              </w:rPr>
            </w:pPr>
            <w:bookmarkStart w:id="95" w:name="_Toc478243913"/>
            <w:bookmarkStart w:id="96" w:name="_Toc26408_WPSOffice_Level3"/>
            <w:bookmarkStart w:id="97" w:name="_Toc26186"/>
            <w:bookmarkStart w:id="98" w:name="_Toc119425305"/>
            <w:r>
              <w:rPr>
                <w:rFonts w:hint="eastAsia"/>
                <w:color w:val="000000" w:themeColor="text1"/>
                <w:u w:val="none"/>
                <w:lang w:val="en-US" w:eastAsia="zh-CN"/>
                <w14:textFill>
                  <w14:solidFill>
                    <w14:schemeClr w14:val="tx1"/>
                  </w14:solidFill>
                </w14:textFill>
              </w:rPr>
              <w:t>4）</w:t>
            </w:r>
            <w:r>
              <w:rPr>
                <w:color w:val="000000" w:themeColor="text1"/>
                <w:u w:val="none"/>
                <w14:textFill>
                  <w14:solidFill>
                    <w14:schemeClr w14:val="tx1"/>
                  </w14:solidFill>
                </w14:textFill>
              </w:rPr>
              <w:t>对农田生态系统的影响</w:t>
            </w:r>
            <w:bookmarkEnd w:id="95"/>
            <w:bookmarkEnd w:id="96"/>
            <w:bookmarkEnd w:id="97"/>
            <w:bookmarkEnd w:id="98"/>
          </w:p>
          <w:p w14:paraId="60B1FF91">
            <w:pPr>
              <w:spacing w:line="360" w:lineRule="auto"/>
              <w:ind w:firstLine="480" w:firstLineChars="200"/>
              <w:rPr>
                <w:rFonts w:ascii="Times New Roman" w:hAnsi="Times New Roman" w:cs="Times New Roman"/>
                <w:bCs/>
                <w:color w:val="000000" w:themeColor="text1"/>
                <w:sz w:val="24"/>
                <w:u w:val="none"/>
                <w14:textFill>
                  <w14:solidFill>
                    <w14:schemeClr w14:val="tx1"/>
                  </w14:solidFill>
                </w14:textFill>
              </w:rPr>
            </w:pPr>
            <w:r>
              <w:rPr>
                <w:rFonts w:hint="eastAsia" w:ascii="Times New Roman" w:hAnsi="Times New Roman" w:cs="Times New Roman"/>
                <w:bCs/>
                <w:color w:val="000000" w:themeColor="text1"/>
                <w:sz w:val="24"/>
                <w:u w:val="none"/>
                <w14:textFill>
                  <w14:solidFill>
                    <w14:schemeClr w14:val="tx1"/>
                  </w14:solidFill>
                </w14:textFill>
              </w:rPr>
              <w:t>评价区内的农田生态系统比较集中，主要分布于山脚下的村落周围。根据工程布置，本工程建设不占用评价区农田生态系统。但临近农田生态系统附近工程施工时，如进场道路等，施工活动及其产生的弃渣、废水、扬尘等可能会对附近农田生态系统内环境产生不利影响。由于评价区农田生态系统受人为活动及自然环境干扰严重，农田生态系统内群落结构及物种组成较简单，农作物复种指数较小，生产力较低，动植物种类及数量较少，多以农作物、杂草及麻雀、八哥等鸟类为主，其在评价区分布广泛，且施工活动等影响可通过严格划定施工活动范围，加强施工监理等措施进行缓解，在相关措施得到落实后，本工程建设对评价区农田生态系统的影响较小。</w:t>
            </w:r>
          </w:p>
          <w:p w14:paraId="410C2D6D">
            <w:pPr>
              <w:pStyle w:val="4"/>
              <w:numPr>
                <w:ilvl w:val="0"/>
                <w:numId w:val="0"/>
              </w:numPr>
              <w:ind w:left="420" w:leftChars="0"/>
              <w:rPr>
                <w:color w:val="000000" w:themeColor="text1"/>
                <w:u w:val="none"/>
                <w14:textFill>
                  <w14:solidFill>
                    <w14:schemeClr w14:val="tx1"/>
                  </w14:solidFill>
                </w14:textFill>
              </w:rPr>
            </w:pPr>
            <w:bookmarkStart w:id="99" w:name="_Toc119425306"/>
            <w:bookmarkStart w:id="100" w:name="_Toc3530_WPSOffice_Level3"/>
            <w:bookmarkStart w:id="101" w:name="_Toc29402"/>
            <w:r>
              <w:rPr>
                <w:rFonts w:hint="eastAsia"/>
                <w:color w:val="000000" w:themeColor="text1"/>
                <w:u w:val="none"/>
                <w:lang w:val="en-US" w:eastAsia="zh-CN"/>
                <w14:textFill>
                  <w14:solidFill>
                    <w14:schemeClr w14:val="tx1"/>
                  </w14:solidFill>
                </w14:textFill>
              </w:rPr>
              <w:t>5）</w:t>
            </w:r>
            <w:r>
              <w:rPr>
                <w:color w:val="000000" w:themeColor="text1"/>
                <w:u w:val="none"/>
                <w14:textFill>
                  <w14:solidFill>
                    <w14:schemeClr w14:val="tx1"/>
                  </w14:solidFill>
                </w14:textFill>
              </w:rPr>
              <w:t>对城镇/村落生态系统的影响</w:t>
            </w:r>
            <w:bookmarkEnd w:id="99"/>
            <w:bookmarkEnd w:id="100"/>
            <w:bookmarkEnd w:id="101"/>
          </w:p>
          <w:p w14:paraId="4C0F809E">
            <w:pPr>
              <w:spacing w:line="360" w:lineRule="auto"/>
              <w:ind w:firstLine="480" w:firstLineChars="200"/>
              <w:rPr>
                <w:rFonts w:ascii="Times New Roman" w:hAnsi="Times New Roman" w:cs="Times New Roman"/>
                <w:bCs/>
                <w:color w:val="000000" w:themeColor="text1"/>
                <w:sz w:val="24"/>
                <w:u w:val="none"/>
                <w14:textFill>
                  <w14:solidFill>
                    <w14:schemeClr w14:val="tx1"/>
                  </w14:solidFill>
                </w14:textFill>
              </w:rPr>
            </w:pPr>
            <w:r>
              <w:rPr>
                <w:rFonts w:ascii="Times New Roman" w:hAnsi="Times New Roman" w:cs="Times New Roman"/>
                <w:bCs/>
                <w:color w:val="000000" w:themeColor="text1"/>
                <w:sz w:val="24"/>
                <w:u w:val="none"/>
                <w14:textFill>
                  <w14:solidFill>
                    <w14:schemeClr w14:val="tx1"/>
                  </w14:solidFill>
                </w14:textFill>
              </w:rPr>
              <w:t>工程施工期，城镇/村落道路的物流运输车辆增加，交通承载力增大，对路面、路基等均会造成损坏，另外施工期间运输车辆产生的噪声增加，对城镇/村落生态系统产生一定的影响。但由于施工期仅为12个月，施工时间较短，施工完成后，会对评价区内城镇、村落道路进行维护、修补，因此本工程建设对评价区城镇/村落生态系统影响时间较短，危害较小。</w:t>
            </w:r>
          </w:p>
          <w:bookmarkEnd w:id="87"/>
          <w:bookmarkEnd w:id="88"/>
          <w:p w14:paraId="6F82B102">
            <w:pPr>
              <w:pStyle w:val="4"/>
              <w:numPr>
                <w:ilvl w:val="0"/>
                <w:numId w:val="6"/>
              </w:numPr>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对植物及植被的影响</w:t>
            </w:r>
          </w:p>
          <w:p w14:paraId="21563947">
            <w:pPr>
              <w:pStyle w:val="5"/>
              <w:numPr>
                <w:ilvl w:val="0"/>
                <w:numId w:val="0"/>
              </w:numPr>
              <w:ind w:leftChars="0" w:firstLine="482" w:firstLineChars="200"/>
              <w:rPr>
                <w:color w:val="000000" w:themeColor="text1"/>
                <w:u w:val="none"/>
                <w14:textFill>
                  <w14:solidFill>
                    <w14:schemeClr w14:val="tx1"/>
                  </w14:solidFill>
                </w14:textFill>
              </w:rPr>
            </w:pPr>
            <w:r>
              <w:rPr>
                <w:rFonts w:hint="eastAsia"/>
                <w:color w:val="000000" w:themeColor="text1"/>
                <w:u w:val="none"/>
                <w:lang w:val="en-US" w:eastAsia="zh-CN"/>
                <w14:textFill>
                  <w14:solidFill>
                    <w14:schemeClr w14:val="tx1"/>
                  </w14:solidFill>
                </w14:textFill>
              </w:rPr>
              <w:t>1）</w:t>
            </w:r>
            <w:r>
              <w:rPr>
                <w:color w:val="000000" w:themeColor="text1"/>
                <w:u w:val="none"/>
                <w14:textFill>
                  <w14:solidFill>
                    <w14:schemeClr w14:val="tx1"/>
                  </w14:solidFill>
                </w14:textFill>
              </w:rPr>
              <w:t>施工占地对植物及植被的影响</w:t>
            </w:r>
            <w:r>
              <w:rPr>
                <w:rFonts w:hint="eastAsia"/>
                <w:color w:val="000000" w:themeColor="text1"/>
                <w:u w:val="none"/>
                <w14:textFill>
                  <w14:solidFill>
                    <w14:schemeClr w14:val="tx1"/>
                  </w14:solidFill>
                </w14:textFill>
              </w:rPr>
              <w:t>：</w:t>
            </w:r>
          </w:p>
          <w:p w14:paraId="58A71101">
            <w:pPr>
              <w:adjustRightInd w:val="0"/>
              <w:snapToGrid w:val="0"/>
              <w:spacing w:line="360" w:lineRule="auto"/>
              <w:ind w:firstLine="480" w:firstLineChars="200"/>
              <w:rPr>
                <w:rFonts w:ascii="Times New Roman" w:hAnsi="Times New Roman" w:cs="Times New Roman"/>
                <w:bCs/>
                <w:color w:val="000000" w:themeColor="text1"/>
                <w:sz w:val="24"/>
                <w:u w:val="none"/>
                <w14:textFill>
                  <w14:solidFill>
                    <w14:schemeClr w14:val="tx1"/>
                  </w14:solidFill>
                </w14:textFill>
              </w:rPr>
            </w:pPr>
            <w:r>
              <w:rPr>
                <w:rFonts w:ascii="Times New Roman" w:hAnsi="Times New Roman" w:cs="Times New Roman"/>
                <w:bCs/>
                <w:color w:val="000000" w:themeColor="text1"/>
                <w:sz w:val="24"/>
                <w:u w:val="none"/>
                <w14:textFill>
                  <w14:solidFill>
                    <w14:schemeClr w14:val="tx1"/>
                  </w14:solidFill>
                </w14:textFill>
              </w:rPr>
              <w:t>本工程施工占地不可避免会破坏占地区植物及植被。工程施工总用地面积为</w:t>
            </w:r>
            <w:r>
              <w:rPr>
                <w:rFonts w:hint="eastAsia" w:cs="Times New Roman"/>
                <w:bCs/>
                <w:color w:val="000000" w:themeColor="text1"/>
                <w:sz w:val="24"/>
                <w:u w:val="none"/>
                <w:lang w:val="en-US" w:eastAsia="zh-CN"/>
                <w14:textFill>
                  <w14:solidFill>
                    <w14:schemeClr w14:val="tx1"/>
                  </w14:solidFill>
                </w14:textFill>
              </w:rPr>
              <w:t>44.01</w:t>
            </w:r>
            <w:r>
              <w:rPr>
                <w:rFonts w:ascii="Times New Roman" w:hAnsi="Times New Roman" w:cs="Times New Roman"/>
                <w:bCs/>
                <w:color w:val="000000" w:themeColor="text1"/>
                <w:sz w:val="24"/>
                <w:u w:val="none"/>
                <w14:textFill>
                  <w14:solidFill>
                    <w14:schemeClr w14:val="tx1"/>
                  </w14:solidFill>
                </w14:textFill>
              </w:rPr>
              <w:t>hm</w:t>
            </w:r>
            <w:r>
              <w:rPr>
                <w:rFonts w:ascii="Times New Roman" w:hAnsi="Times New Roman" w:cs="Times New Roman"/>
                <w:bCs/>
                <w:color w:val="000000" w:themeColor="text1"/>
                <w:sz w:val="24"/>
                <w:u w:val="none"/>
                <w:vertAlign w:val="superscript"/>
                <w14:textFill>
                  <w14:solidFill>
                    <w14:schemeClr w14:val="tx1"/>
                  </w14:solidFill>
                </w14:textFill>
              </w:rPr>
              <w:t>2</w:t>
            </w:r>
            <w:r>
              <w:rPr>
                <w:rFonts w:ascii="Times New Roman" w:hAnsi="Times New Roman" w:cs="Times New Roman"/>
                <w:bCs/>
                <w:color w:val="000000" w:themeColor="text1"/>
                <w:sz w:val="24"/>
                <w:u w:val="none"/>
                <w14:textFill>
                  <w14:solidFill>
                    <w14:schemeClr w14:val="tx1"/>
                  </w14:solidFill>
                </w14:textFill>
              </w:rPr>
              <w:t>，其中永久占地面积为</w:t>
            </w:r>
            <w:r>
              <w:rPr>
                <w:rFonts w:hint="eastAsia" w:cs="Times New Roman"/>
                <w:bCs/>
                <w:color w:val="000000" w:themeColor="text1"/>
                <w:sz w:val="24"/>
                <w:u w:val="none"/>
                <w:lang w:val="en-US" w:eastAsia="zh-CN"/>
                <w14:textFill>
                  <w14:solidFill>
                    <w14:schemeClr w14:val="tx1"/>
                  </w14:solidFill>
                </w14:textFill>
              </w:rPr>
              <w:t>1.61</w:t>
            </w:r>
            <w:r>
              <w:rPr>
                <w:rFonts w:ascii="Times New Roman" w:hAnsi="Times New Roman" w:cs="Times New Roman"/>
                <w:bCs/>
                <w:color w:val="000000" w:themeColor="text1"/>
                <w:sz w:val="24"/>
                <w:u w:val="none"/>
                <w14:textFill>
                  <w14:solidFill>
                    <w14:schemeClr w14:val="tx1"/>
                  </w14:solidFill>
                </w14:textFill>
              </w:rPr>
              <w:t>hm</w:t>
            </w:r>
            <w:r>
              <w:rPr>
                <w:rFonts w:ascii="Times New Roman" w:hAnsi="Times New Roman" w:cs="Times New Roman"/>
                <w:bCs/>
                <w:color w:val="000000" w:themeColor="text1"/>
                <w:sz w:val="24"/>
                <w:u w:val="none"/>
                <w:vertAlign w:val="superscript"/>
                <w14:textFill>
                  <w14:solidFill>
                    <w14:schemeClr w14:val="tx1"/>
                  </w14:solidFill>
                </w14:textFill>
              </w:rPr>
              <w:t>2</w:t>
            </w:r>
            <w:r>
              <w:rPr>
                <w:rFonts w:ascii="Times New Roman" w:hAnsi="Times New Roman" w:cs="Times New Roman"/>
                <w:bCs/>
                <w:color w:val="000000" w:themeColor="text1"/>
                <w:sz w:val="24"/>
                <w:u w:val="none"/>
                <w14:textFill>
                  <w14:solidFill>
                    <w14:schemeClr w14:val="tx1"/>
                  </w14:solidFill>
                </w14:textFill>
              </w:rPr>
              <w:t>，临时占地面积为</w:t>
            </w:r>
            <w:r>
              <w:rPr>
                <w:rFonts w:hint="eastAsia" w:cs="Times New Roman"/>
                <w:bCs/>
                <w:color w:val="000000" w:themeColor="text1"/>
                <w:sz w:val="24"/>
                <w:u w:val="none"/>
                <w:lang w:val="en-US" w:eastAsia="zh-CN"/>
                <w14:textFill>
                  <w14:solidFill>
                    <w14:schemeClr w14:val="tx1"/>
                  </w14:solidFill>
                </w14:textFill>
              </w:rPr>
              <w:t>42.4</w:t>
            </w:r>
            <w:r>
              <w:rPr>
                <w:rFonts w:ascii="Times New Roman" w:hAnsi="Times New Roman" w:cs="Times New Roman"/>
                <w:bCs/>
                <w:color w:val="000000" w:themeColor="text1"/>
                <w:sz w:val="24"/>
                <w:u w:val="none"/>
                <w14:textFill>
                  <w14:solidFill>
                    <w14:schemeClr w14:val="tx1"/>
                  </w14:solidFill>
                </w14:textFill>
              </w:rPr>
              <w:t>hm</w:t>
            </w:r>
            <w:r>
              <w:rPr>
                <w:rFonts w:ascii="Times New Roman" w:hAnsi="Times New Roman" w:cs="Times New Roman"/>
                <w:bCs/>
                <w:color w:val="000000" w:themeColor="text1"/>
                <w:sz w:val="24"/>
                <w:u w:val="none"/>
                <w:vertAlign w:val="superscript"/>
                <w14:textFill>
                  <w14:solidFill>
                    <w14:schemeClr w14:val="tx1"/>
                  </w14:solidFill>
                </w14:textFill>
              </w:rPr>
              <w:t>2</w:t>
            </w:r>
            <w:r>
              <w:rPr>
                <w:rFonts w:ascii="Times New Roman" w:hAnsi="Times New Roman" w:cs="Times New Roman"/>
                <w:bCs/>
                <w:color w:val="000000" w:themeColor="text1"/>
                <w:sz w:val="24"/>
                <w:u w:val="none"/>
                <w14:textFill>
                  <w14:solidFill>
                    <w14:schemeClr w14:val="tx1"/>
                  </w14:solidFill>
                </w14:textFill>
              </w:rPr>
              <w:t>，占用植被类型主要为林地和草地。</w:t>
            </w:r>
          </w:p>
          <w:p w14:paraId="4E55780E">
            <w:pPr>
              <w:adjustRightInd w:val="0"/>
              <w:snapToGrid w:val="0"/>
              <w:spacing w:line="360" w:lineRule="auto"/>
              <w:ind w:firstLine="480" w:firstLineChars="200"/>
              <w:rPr>
                <w:rFonts w:ascii="Times New Roman" w:hAnsi="Times New Roman" w:cs="Times New Roman"/>
                <w:bCs/>
                <w:color w:val="000000" w:themeColor="text1"/>
                <w:sz w:val="24"/>
                <w:u w:val="none"/>
                <w14:textFill>
                  <w14:solidFill>
                    <w14:schemeClr w14:val="tx1"/>
                  </w14:solidFill>
                </w14:textFill>
              </w:rPr>
            </w:pPr>
            <w:r>
              <w:rPr>
                <w:rFonts w:ascii="Times New Roman" w:hAnsi="Times New Roman" w:cs="Times New Roman"/>
                <w:bCs/>
                <w:color w:val="000000" w:themeColor="text1"/>
                <w:sz w:val="24"/>
                <w:u w:val="none"/>
                <w14:textFill>
                  <w14:solidFill>
                    <w14:schemeClr w14:val="tx1"/>
                  </w14:solidFill>
                </w14:textFill>
              </w:rPr>
              <w:t>工程永久占地对占地区植物及植被的影响是长期的、不可逆的，临时占地对占地区植物及植被的影响是暂时的、可恢复的。工程占地区施工将使区域内土地利用类型发生改变，植物个体损失，植被生物量减少。根据工程布置，工程占地区土地利用类型以灌草地、林地为主。根据现场调查，占地区林地植被以</w:t>
            </w:r>
            <w:r>
              <w:rPr>
                <w:rFonts w:hint="eastAsia" w:ascii="Times New Roman" w:hAnsi="Times New Roman" w:cs="Times New Roman"/>
                <w:bCs/>
                <w:color w:val="000000" w:themeColor="text1"/>
                <w:sz w:val="24"/>
                <w:u w:val="none"/>
                <w14:textFill>
                  <w14:solidFill>
                    <w14:schemeClr w14:val="tx1"/>
                  </w14:solidFill>
                </w14:textFill>
              </w:rPr>
              <w:t>杉木林、马尾松林、刚竹林</w:t>
            </w:r>
            <w:r>
              <w:rPr>
                <w:rFonts w:ascii="Times New Roman" w:hAnsi="Times New Roman" w:cs="Times New Roman"/>
                <w:bCs/>
                <w:color w:val="000000" w:themeColor="text1"/>
                <w:sz w:val="24"/>
                <w:u w:val="none"/>
                <w14:textFill>
                  <w14:solidFill>
                    <w14:schemeClr w14:val="tx1"/>
                  </w14:solidFill>
                </w14:textFill>
              </w:rPr>
              <w:t>为主，灌丛和灌草丛植被有</w:t>
            </w:r>
            <w:r>
              <w:rPr>
                <w:rFonts w:hint="eastAsia" w:ascii="Times New Roman" w:hAnsi="Times New Roman" w:cs="Times New Roman"/>
                <w:bCs/>
                <w:color w:val="000000" w:themeColor="text1"/>
                <w:sz w:val="24"/>
                <w:u w:val="none"/>
                <w14:textFill>
                  <w14:solidFill>
                    <w14:schemeClr w14:val="tx1"/>
                  </w14:solidFill>
                </w14:textFill>
              </w:rPr>
              <w:t>盐肤木灌丛、紫萁灌丛、卫矛灌丛、白茅灌草丛</w:t>
            </w:r>
            <w:r>
              <w:rPr>
                <w:rFonts w:ascii="Times New Roman" w:hAnsi="Times New Roman" w:cs="Times New Roman"/>
                <w:bCs/>
                <w:color w:val="000000" w:themeColor="text1"/>
                <w:sz w:val="24"/>
                <w:u w:val="none"/>
                <w14:textFill>
                  <w14:solidFill>
                    <w14:schemeClr w14:val="tx1"/>
                  </w14:solidFill>
                </w14:textFill>
              </w:rPr>
              <w:t>等，受工程占地影响的植物均为常见种，受工程占地影响的植被均为常见类型且在评价区分布较广泛，且随着施工结束，临时施工区植物及植被在适宜条件下可迅速得到恢复。因此，本工程占地对评价区内植物及植被影响有限，仅为个体损失、植被生物量减少。施工结束后，对临时占地区土地平整、复耕、植被恢复，在一定程度上缓解其影响。因此，本工程占地对占地区植物种类、植被类型及生物量的影响有限。</w:t>
            </w:r>
          </w:p>
          <w:p w14:paraId="4ABFDC86">
            <w:pPr>
              <w:pStyle w:val="5"/>
              <w:numPr>
                <w:ilvl w:val="0"/>
                <w:numId w:val="0"/>
              </w:numPr>
              <w:ind w:leftChars="0" w:firstLine="482" w:firstLineChars="200"/>
              <w:rPr>
                <w:color w:val="000000" w:themeColor="text1"/>
                <w:u w:val="none"/>
                <w14:textFill>
                  <w14:solidFill>
                    <w14:schemeClr w14:val="tx1"/>
                  </w14:solidFill>
                </w14:textFill>
              </w:rPr>
            </w:pPr>
            <w:r>
              <w:rPr>
                <w:rFonts w:hint="eastAsia"/>
                <w:color w:val="000000" w:themeColor="text1"/>
                <w:u w:val="none"/>
                <w:lang w:val="en-US" w:eastAsia="zh-CN"/>
                <w14:textFill>
                  <w14:solidFill>
                    <w14:schemeClr w14:val="tx1"/>
                  </w14:solidFill>
                </w14:textFill>
              </w:rPr>
              <w:t>2）</w:t>
            </w:r>
            <w:r>
              <w:rPr>
                <w:color w:val="000000" w:themeColor="text1"/>
                <w:u w:val="none"/>
                <w14:textFill>
                  <w14:solidFill>
                    <w14:schemeClr w14:val="tx1"/>
                  </w14:solidFill>
                </w14:textFill>
              </w:rPr>
              <w:t>施工活动对植物及植被的影响</w:t>
            </w:r>
            <w:r>
              <w:rPr>
                <w:rFonts w:hint="eastAsia"/>
                <w:color w:val="000000" w:themeColor="text1"/>
                <w:u w:val="none"/>
                <w14:textFill>
                  <w14:solidFill>
                    <w14:schemeClr w14:val="tx1"/>
                  </w14:solidFill>
                </w14:textFill>
              </w:rPr>
              <w:t>：</w:t>
            </w:r>
          </w:p>
          <w:p w14:paraId="12FDED8C">
            <w:pPr>
              <w:adjustRightInd w:val="0"/>
              <w:snapToGrid w:val="0"/>
              <w:spacing w:line="360" w:lineRule="auto"/>
              <w:ind w:firstLine="480" w:firstLineChars="200"/>
              <w:rPr>
                <w:rFonts w:ascii="Times New Roman" w:hAnsi="Times New Roman" w:cs="Times New Roman"/>
                <w:bCs/>
                <w:color w:val="000000" w:themeColor="text1"/>
                <w:sz w:val="24"/>
                <w:u w:val="none"/>
                <w14:textFill>
                  <w14:solidFill>
                    <w14:schemeClr w14:val="tx1"/>
                  </w14:solidFill>
                </w14:textFill>
              </w:rPr>
            </w:pPr>
            <w:r>
              <w:rPr>
                <w:rFonts w:ascii="Times New Roman" w:hAnsi="Times New Roman" w:cs="Times New Roman"/>
                <w:bCs/>
                <w:color w:val="000000" w:themeColor="text1"/>
                <w:sz w:val="24"/>
                <w:u w:val="none"/>
                <w14:textFill>
                  <w14:solidFill>
                    <w14:schemeClr w14:val="tx1"/>
                  </w14:solidFill>
                </w14:textFill>
              </w:rPr>
              <w:t>施工期施工活动对评价区植物及植被的影响因素主要有：施工活动产生的弃渣、废水、废气、固废物及人为干扰等。依据施工活动对植物的影响方式，可分为直接影响及间接影响，直接影响主要是指人员活动、车辆碾压等会使周边植物个体损失，植被生物量减少；间接影响主要是指施工过程中产生的废气、废水、弃渣、固废、扬尘等会使周边植物的生命活动受阻。</w:t>
            </w:r>
          </w:p>
          <w:p w14:paraId="0ED223F8">
            <w:pPr>
              <w:adjustRightInd w:val="0"/>
              <w:snapToGrid w:val="0"/>
              <w:spacing w:line="360" w:lineRule="auto"/>
              <w:ind w:firstLine="480" w:firstLineChars="200"/>
              <w:rPr>
                <w:rFonts w:ascii="Times New Roman" w:hAnsi="Times New Roman" w:cs="Times New Roman"/>
                <w:bCs/>
                <w:color w:val="000000" w:themeColor="text1"/>
                <w:sz w:val="24"/>
                <w:u w:val="none"/>
                <w14:textFill>
                  <w14:solidFill>
                    <w14:schemeClr w14:val="tx1"/>
                  </w14:solidFill>
                </w14:textFill>
              </w:rPr>
            </w:pPr>
            <w:r>
              <w:rPr>
                <w:rFonts w:ascii="Times New Roman" w:hAnsi="Times New Roman" w:cs="Times New Roman"/>
                <w:bCs/>
                <w:color w:val="000000" w:themeColor="text1"/>
                <w:sz w:val="24"/>
                <w:u w:val="none"/>
                <w14:textFill>
                  <w14:solidFill>
                    <w14:schemeClr w14:val="tx1"/>
                  </w14:solidFill>
                </w14:textFill>
              </w:rPr>
              <w:t>（1）废气对植物及植被的影响：施工期废气主要来源于燃油机械的尾气，其主要污染物为SO</w:t>
            </w:r>
            <w:r>
              <w:rPr>
                <w:rFonts w:ascii="Times New Roman" w:hAnsi="Times New Roman" w:cs="Times New Roman"/>
                <w:bCs/>
                <w:color w:val="000000" w:themeColor="text1"/>
                <w:sz w:val="24"/>
                <w:u w:val="none"/>
                <w:vertAlign w:val="subscript"/>
                <w14:textFill>
                  <w14:solidFill>
                    <w14:schemeClr w14:val="tx1"/>
                  </w14:solidFill>
                </w14:textFill>
              </w:rPr>
              <w:t>2</w:t>
            </w:r>
            <w:r>
              <w:rPr>
                <w:rFonts w:ascii="Times New Roman" w:hAnsi="Times New Roman" w:cs="Times New Roman"/>
                <w:bCs/>
                <w:color w:val="000000" w:themeColor="text1"/>
                <w:sz w:val="24"/>
                <w:u w:val="none"/>
                <w14:textFill>
                  <w14:solidFill>
                    <w14:schemeClr w14:val="tx1"/>
                  </w14:solidFill>
                </w14:textFill>
              </w:rPr>
              <w:t>、NO</w:t>
            </w:r>
            <w:r>
              <w:rPr>
                <w:rFonts w:ascii="Times New Roman" w:hAnsi="Times New Roman" w:cs="Times New Roman"/>
                <w:bCs/>
                <w:color w:val="000000" w:themeColor="text1"/>
                <w:sz w:val="24"/>
                <w:u w:val="none"/>
                <w:vertAlign w:val="subscript"/>
                <w14:textFill>
                  <w14:solidFill>
                    <w14:schemeClr w14:val="tx1"/>
                  </w14:solidFill>
                </w14:textFill>
              </w:rPr>
              <w:t>2</w:t>
            </w:r>
            <w:r>
              <w:rPr>
                <w:rFonts w:ascii="Times New Roman" w:hAnsi="Times New Roman" w:cs="Times New Roman"/>
                <w:bCs/>
                <w:color w:val="000000" w:themeColor="text1"/>
                <w:sz w:val="24"/>
                <w:u w:val="none"/>
                <w14:textFill>
                  <w14:solidFill>
                    <w14:schemeClr w14:val="tx1"/>
                  </w14:solidFill>
                </w14:textFill>
              </w:rPr>
              <w:t>、CO等。废气对植物的影响主要是在叶脉间或边缘出现不规则水渍状，导致叶片逐渐坏死，植物光合生产受阻，生长发育变缓。由于本工程施工较分散，燃油机械相对较少，燃油机械的废气排放量相对较低，再加上施工期机械尾气属移动线源排放，因此施工期废气对植物及植被的影响有限。</w:t>
            </w:r>
          </w:p>
          <w:p w14:paraId="30709893">
            <w:pPr>
              <w:adjustRightInd w:val="0"/>
              <w:snapToGrid w:val="0"/>
              <w:spacing w:line="360" w:lineRule="auto"/>
              <w:ind w:firstLine="480" w:firstLineChars="200"/>
              <w:rPr>
                <w:rFonts w:ascii="Times New Roman" w:hAnsi="Times New Roman" w:cs="Times New Roman"/>
                <w:bCs/>
                <w:color w:val="000000" w:themeColor="text1"/>
                <w:sz w:val="24"/>
                <w:u w:val="none"/>
                <w14:textFill>
                  <w14:solidFill>
                    <w14:schemeClr w14:val="tx1"/>
                  </w14:solidFill>
                </w14:textFill>
              </w:rPr>
            </w:pPr>
            <w:r>
              <w:rPr>
                <w:rFonts w:ascii="Times New Roman" w:hAnsi="Times New Roman" w:cs="Times New Roman"/>
                <w:bCs/>
                <w:color w:val="000000" w:themeColor="text1"/>
                <w:sz w:val="24"/>
                <w:u w:val="none"/>
                <w14:textFill>
                  <w14:solidFill>
                    <w14:schemeClr w14:val="tx1"/>
                  </w14:solidFill>
                </w14:textFill>
              </w:rPr>
              <w:t>（2）废水对植物及植被的影响：施工期废水分为生产废水和生活污水，生产废水主要来源于砂石料冲洗废水和机械检修场含油废水等，废水对植物的影响主要是废水的随意排放会改变土壤理化性质，改变植物生长发育环境，进而影响其正常生命活动。但这种影响可通过在生产生活区布置污水处理系统等进行缓解。</w:t>
            </w:r>
          </w:p>
          <w:p w14:paraId="44CB1658">
            <w:pPr>
              <w:adjustRightInd w:val="0"/>
              <w:snapToGrid w:val="0"/>
              <w:spacing w:line="360" w:lineRule="auto"/>
              <w:ind w:firstLine="480" w:firstLineChars="200"/>
              <w:rPr>
                <w:rFonts w:ascii="Times New Roman" w:hAnsi="Times New Roman" w:cs="Times New Roman"/>
                <w:bCs/>
                <w:color w:val="000000" w:themeColor="text1"/>
                <w:sz w:val="24"/>
                <w:u w:val="none"/>
                <w14:textFill>
                  <w14:solidFill>
                    <w14:schemeClr w14:val="tx1"/>
                  </w14:solidFill>
                </w14:textFill>
              </w:rPr>
            </w:pPr>
            <w:r>
              <w:rPr>
                <w:rFonts w:ascii="Times New Roman" w:hAnsi="Times New Roman" w:cs="Times New Roman"/>
                <w:bCs/>
                <w:color w:val="000000" w:themeColor="text1"/>
                <w:sz w:val="24"/>
                <w:u w:val="none"/>
                <w14:textFill>
                  <w14:solidFill>
                    <w14:schemeClr w14:val="tx1"/>
                  </w14:solidFill>
                </w14:textFill>
              </w:rPr>
              <w:t>（3）弃渣对植物及植被的影响：弃渣主要来源于基础开挖、施工场地以及施工道路建设等，弃渣的随意堆放不仅会压覆区域内植物及植被，改变区域生境条件，还可能导致局部区域的水土流失。但这种影响可通过对弃渣等进行统一调配与处理等措施进行缓解。</w:t>
            </w:r>
          </w:p>
          <w:p w14:paraId="177B331F">
            <w:pPr>
              <w:adjustRightInd w:val="0"/>
              <w:snapToGrid w:val="0"/>
              <w:spacing w:line="360" w:lineRule="auto"/>
              <w:ind w:firstLine="480" w:firstLineChars="200"/>
              <w:rPr>
                <w:rFonts w:ascii="Times New Roman" w:hAnsi="Times New Roman" w:cs="Times New Roman"/>
                <w:bCs/>
                <w:color w:val="000000" w:themeColor="text1"/>
                <w:sz w:val="24"/>
                <w:u w:val="none"/>
                <w14:textFill>
                  <w14:solidFill>
                    <w14:schemeClr w14:val="tx1"/>
                  </w14:solidFill>
                </w14:textFill>
              </w:rPr>
            </w:pPr>
            <w:r>
              <w:rPr>
                <w:rFonts w:ascii="Times New Roman" w:hAnsi="Times New Roman" w:cs="Times New Roman"/>
                <w:bCs/>
                <w:color w:val="000000" w:themeColor="text1"/>
                <w:sz w:val="24"/>
                <w:u w:val="none"/>
                <w14:textFill>
                  <w14:solidFill>
                    <w14:schemeClr w14:val="tx1"/>
                  </w14:solidFill>
                </w14:textFill>
              </w:rPr>
              <w:t>（4）扬尘对植物及植被的影响：扬尘主要来源于开辟施工便道，土石方调配，建筑物施工，直至工程竣工后场地清理、恢复等诸多工程，其中以运输车辆引起的二次扬尘影响时间最长，对周围植物及植被影响最严重。扬尘粗颗粒随风飘落到附近地面或植物叶、茎、花表面，会使其生命活动受到一定影响。由于评价区处亚热带季风气候区，区域内空气湿度相对较大，扬尘扩散范围相对较小，再加上施工期如能采取洒水抑尘等措施，可有效减轻扬尘对周围植物及植被的影响。</w:t>
            </w:r>
          </w:p>
          <w:p w14:paraId="1927DE74">
            <w:pPr>
              <w:pStyle w:val="5"/>
              <w:numPr>
                <w:ilvl w:val="0"/>
                <w:numId w:val="0"/>
              </w:numPr>
              <w:ind w:leftChars="0" w:firstLine="482" w:firstLineChars="200"/>
              <w:rPr>
                <w:color w:val="000000" w:themeColor="text1"/>
                <w:u w:val="none"/>
                <w14:textFill>
                  <w14:solidFill>
                    <w14:schemeClr w14:val="tx1"/>
                  </w14:solidFill>
                </w14:textFill>
              </w:rPr>
            </w:pPr>
            <w:r>
              <w:rPr>
                <w:rFonts w:hint="eastAsia"/>
                <w:color w:val="000000" w:themeColor="text1"/>
                <w:u w:val="none"/>
                <w:lang w:val="en-US" w:eastAsia="zh-CN"/>
                <w14:textFill>
                  <w14:solidFill>
                    <w14:schemeClr w14:val="tx1"/>
                  </w14:solidFill>
                </w14:textFill>
              </w:rPr>
              <w:t>3）</w:t>
            </w:r>
            <w:r>
              <w:rPr>
                <w:color w:val="000000" w:themeColor="text1"/>
                <w:u w:val="none"/>
                <w14:textFill>
                  <w14:solidFill>
                    <w14:schemeClr w14:val="tx1"/>
                  </w14:solidFill>
                </w14:textFill>
              </w:rPr>
              <w:t>人为干扰对植物及植被的影响</w:t>
            </w:r>
            <w:r>
              <w:rPr>
                <w:rFonts w:hint="eastAsia"/>
                <w:color w:val="000000" w:themeColor="text1"/>
                <w:u w:val="none"/>
                <w14:textFill>
                  <w14:solidFill>
                    <w14:schemeClr w14:val="tx1"/>
                  </w14:solidFill>
                </w14:textFill>
              </w:rPr>
              <w:t>：</w:t>
            </w:r>
          </w:p>
          <w:p w14:paraId="561A71A5">
            <w:pPr>
              <w:adjustRightInd w:val="0"/>
              <w:snapToGrid w:val="0"/>
              <w:spacing w:line="360" w:lineRule="auto"/>
              <w:ind w:firstLine="480" w:firstLineChars="200"/>
              <w:rPr>
                <w:rFonts w:ascii="Times New Roman" w:hAnsi="Times New Roman" w:cs="Times New Roman"/>
                <w:bCs/>
                <w:color w:val="000000" w:themeColor="text1"/>
                <w:sz w:val="24"/>
                <w:u w:val="none"/>
                <w14:textFill>
                  <w14:solidFill>
                    <w14:schemeClr w14:val="tx1"/>
                  </w14:solidFill>
                </w14:textFill>
              </w:rPr>
            </w:pPr>
            <w:r>
              <w:rPr>
                <w:rFonts w:ascii="Times New Roman" w:hAnsi="Times New Roman" w:cs="Times New Roman"/>
                <w:bCs/>
                <w:color w:val="000000" w:themeColor="text1"/>
                <w:sz w:val="24"/>
                <w:u w:val="none"/>
                <w14:textFill>
                  <w14:solidFill>
                    <w14:schemeClr w14:val="tx1"/>
                  </w14:solidFill>
                </w14:textFill>
              </w:rPr>
              <w:t>本工程人为干扰对植物及植被的影响因素主要有人为砍伐、践踏、刮伤、运输作业等。人为干扰对植物及植被的影响主要影响有：</w:t>
            </w:r>
          </w:p>
          <w:p w14:paraId="2748D3B6">
            <w:pPr>
              <w:adjustRightInd w:val="0"/>
              <w:snapToGrid w:val="0"/>
              <w:spacing w:line="360" w:lineRule="auto"/>
              <w:ind w:firstLine="480" w:firstLineChars="200"/>
              <w:rPr>
                <w:rFonts w:ascii="Times New Roman" w:hAnsi="Times New Roman" w:cs="Times New Roman"/>
                <w:bCs/>
                <w:color w:val="000000" w:themeColor="text1"/>
                <w:sz w:val="24"/>
                <w:u w:val="none"/>
                <w14:textFill>
                  <w14:solidFill>
                    <w14:schemeClr w14:val="tx1"/>
                  </w14:solidFill>
                </w14:textFill>
              </w:rPr>
            </w:pPr>
            <w:r>
              <w:rPr>
                <w:rFonts w:ascii="Times New Roman" w:hAnsi="Times New Roman" w:cs="Times New Roman"/>
                <w:bCs/>
                <w:color w:val="000000" w:themeColor="text1"/>
                <w:sz w:val="24"/>
                <w:u w:val="none"/>
                <w14:textFill>
                  <w14:solidFill>
                    <w14:schemeClr w14:val="tx1"/>
                  </w14:solidFill>
                </w14:textFill>
              </w:rPr>
              <w:t>（1）施工期工程区人员增多，施工人员砍伐会破坏区域内植物及其生境，会影响群落结构及种类组成；</w:t>
            </w:r>
          </w:p>
          <w:p w14:paraId="6694F3C0">
            <w:pPr>
              <w:adjustRightInd w:val="0"/>
              <w:snapToGrid w:val="0"/>
              <w:spacing w:line="360" w:lineRule="auto"/>
              <w:ind w:firstLine="480" w:firstLineChars="200"/>
              <w:rPr>
                <w:rFonts w:ascii="Times New Roman" w:hAnsi="Times New Roman" w:cs="Times New Roman"/>
                <w:bCs/>
                <w:color w:val="000000" w:themeColor="text1"/>
                <w:sz w:val="24"/>
                <w:u w:val="none"/>
                <w14:textFill>
                  <w14:solidFill>
                    <w14:schemeClr w14:val="tx1"/>
                  </w14:solidFill>
                </w14:textFill>
              </w:rPr>
            </w:pPr>
            <w:r>
              <w:rPr>
                <w:rFonts w:ascii="Times New Roman" w:hAnsi="Times New Roman" w:cs="Times New Roman"/>
                <w:bCs/>
                <w:color w:val="000000" w:themeColor="text1"/>
                <w:sz w:val="24"/>
                <w:u w:val="none"/>
                <w14:textFill>
                  <w14:solidFill>
                    <w14:schemeClr w14:val="tx1"/>
                  </w14:solidFill>
                </w14:textFill>
              </w:rPr>
              <w:t>（2）施工期施工人员践踏、施工机械碾压会对植物地上部分造成机械性伤害，从而影响植物的生长发育，同时践踏等造成的土壤结构变化会间接影响区域内植物的生长发育；</w:t>
            </w:r>
          </w:p>
          <w:p w14:paraId="4F9903FE">
            <w:pPr>
              <w:adjustRightInd w:val="0"/>
              <w:snapToGrid w:val="0"/>
              <w:spacing w:line="360" w:lineRule="auto"/>
              <w:ind w:firstLine="480" w:firstLineChars="200"/>
              <w:rPr>
                <w:rFonts w:ascii="Times New Roman" w:hAnsi="Times New Roman" w:cs="Times New Roman"/>
                <w:bCs/>
                <w:color w:val="000000" w:themeColor="text1"/>
                <w:sz w:val="24"/>
                <w:u w:val="none"/>
                <w14:textFill>
                  <w14:solidFill>
                    <w14:schemeClr w14:val="tx1"/>
                  </w14:solidFill>
                </w14:textFill>
              </w:rPr>
            </w:pPr>
            <w:r>
              <w:rPr>
                <w:rFonts w:ascii="Times New Roman" w:hAnsi="Times New Roman" w:cs="Times New Roman"/>
                <w:bCs/>
                <w:color w:val="000000" w:themeColor="text1"/>
                <w:sz w:val="24"/>
                <w:u w:val="none"/>
                <w14:textFill>
                  <w14:solidFill>
                    <w14:schemeClr w14:val="tx1"/>
                  </w14:solidFill>
                </w14:textFill>
              </w:rPr>
              <w:t>（3）施工期施工人员，工程机械、运输车辆等有意或无意对植物造成刮伤等会影响其物质运输，伤口暴露后易导致病虫害，进而会影响其生长发育；</w:t>
            </w:r>
          </w:p>
          <w:p w14:paraId="71A288C4">
            <w:pPr>
              <w:adjustRightInd w:val="0"/>
              <w:snapToGrid w:val="0"/>
              <w:spacing w:line="360" w:lineRule="auto"/>
              <w:ind w:firstLine="480" w:firstLineChars="200"/>
              <w:rPr>
                <w:rFonts w:ascii="Times New Roman" w:hAnsi="Times New Roman" w:cs="Times New Roman"/>
                <w:bCs/>
                <w:color w:val="000000" w:themeColor="text1"/>
                <w:sz w:val="24"/>
                <w:u w:val="none"/>
                <w14:textFill>
                  <w14:solidFill>
                    <w14:schemeClr w14:val="tx1"/>
                  </w14:solidFill>
                </w14:textFill>
              </w:rPr>
            </w:pPr>
            <w:r>
              <w:rPr>
                <w:rFonts w:ascii="Times New Roman" w:hAnsi="Times New Roman" w:cs="Times New Roman"/>
                <w:bCs/>
                <w:color w:val="000000" w:themeColor="text1"/>
                <w:sz w:val="24"/>
                <w:u w:val="none"/>
                <w14:textFill>
                  <w14:solidFill>
                    <w14:schemeClr w14:val="tx1"/>
                  </w14:solidFill>
                </w14:textFill>
              </w:rPr>
              <w:t>（4）施工期运输作业传播种子，可能导致评价区杂草横行破坏原区域内植物及其生境。</w:t>
            </w:r>
          </w:p>
          <w:p w14:paraId="5BAF312A">
            <w:pPr>
              <w:adjustRightInd w:val="0"/>
              <w:snapToGrid w:val="0"/>
              <w:spacing w:line="360" w:lineRule="auto"/>
              <w:ind w:firstLine="480" w:firstLineChars="200"/>
              <w:rPr>
                <w:rFonts w:ascii="Times New Roman" w:hAnsi="Times New Roman" w:cs="Times New Roman"/>
                <w:bCs/>
                <w:color w:val="000000" w:themeColor="text1"/>
                <w:sz w:val="24"/>
                <w:u w:val="none"/>
                <w14:textFill>
                  <w14:solidFill>
                    <w14:schemeClr w14:val="tx1"/>
                  </w14:solidFill>
                </w14:textFill>
              </w:rPr>
            </w:pPr>
            <w:r>
              <w:rPr>
                <w:rFonts w:ascii="Times New Roman" w:hAnsi="Times New Roman" w:cs="Times New Roman"/>
                <w:bCs/>
                <w:color w:val="000000" w:themeColor="text1"/>
                <w:sz w:val="24"/>
                <w:u w:val="none"/>
                <w14:textFill>
                  <w14:solidFill>
                    <w14:schemeClr w14:val="tx1"/>
                  </w14:solidFill>
                </w14:textFill>
              </w:rPr>
              <w:t>由于本工程规模较小，施工人员不多，施工区植物多以抗逆性强的种类为主，施工期人为干扰对植物及植被的影响有限，同时施工期人为干扰等可通过加强宣传教育活动，加强施工监理，在施工前严格划定施工范围，规范施工人员活动等进行缓解，在相对措施得到落实后，人为干扰对植物及植被的影响可得到缓解。</w:t>
            </w:r>
          </w:p>
          <w:p w14:paraId="0BDCDE74">
            <w:pPr>
              <w:pStyle w:val="5"/>
              <w:numPr>
                <w:ilvl w:val="0"/>
                <w:numId w:val="0"/>
              </w:numPr>
              <w:ind w:leftChars="0" w:firstLine="482" w:firstLineChars="200"/>
              <w:rPr>
                <w:color w:val="000000" w:themeColor="text1"/>
                <w:u w:val="none"/>
                <w14:textFill>
                  <w14:solidFill>
                    <w14:schemeClr w14:val="tx1"/>
                  </w14:solidFill>
                </w14:textFill>
              </w:rPr>
            </w:pPr>
            <w:r>
              <w:rPr>
                <w:rFonts w:hint="eastAsia"/>
                <w:color w:val="000000" w:themeColor="text1"/>
                <w:u w:val="none"/>
                <w:lang w:val="en-US" w:eastAsia="zh-CN"/>
                <w14:textFill>
                  <w14:solidFill>
                    <w14:schemeClr w14:val="tx1"/>
                  </w14:solidFill>
                </w14:textFill>
              </w:rPr>
              <w:t>4）</w:t>
            </w:r>
            <w:r>
              <w:rPr>
                <w:color w:val="000000" w:themeColor="text1"/>
                <w:u w:val="none"/>
                <w14:textFill>
                  <w14:solidFill>
                    <w14:schemeClr w14:val="tx1"/>
                  </w14:solidFill>
                </w14:textFill>
              </w:rPr>
              <w:t>水土流失对植物及植被的影响</w:t>
            </w:r>
            <w:r>
              <w:rPr>
                <w:rFonts w:hint="eastAsia"/>
                <w:color w:val="000000" w:themeColor="text1"/>
                <w:u w:val="none"/>
                <w14:textFill>
                  <w14:solidFill>
                    <w14:schemeClr w14:val="tx1"/>
                  </w14:solidFill>
                </w14:textFill>
              </w:rPr>
              <w:t>：</w:t>
            </w:r>
          </w:p>
          <w:p w14:paraId="5550D902">
            <w:pPr>
              <w:adjustRightInd w:val="0"/>
              <w:snapToGrid w:val="0"/>
              <w:spacing w:line="360" w:lineRule="auto"/>
              <w:ind w:firstLine="480" w:firstLineChars="200"/>
              <w:rPr>
                <w:rFonts w:ascii="Times New Roman" w:hAnsi="Times New Roman" w:cs="Times New Roman"/>
                <w:bCs/>
                <w:color w:val="000000" w:themeColor="text1"/>
                <w:sz w:val="24"/>
                <w:u w:val="none"/>
                <w14:textFill>
                  <w14:solidFill>
                    <w14:schemeClr w14:val="tx1"/>
                  </w14:solidFill>
                </w14:textFill>
              </w:rPr>
            </w:pPr>
            <w:r>
              <w:rPr>
                <w:rFonts w:ascii="Times New Roman" w:hAnsi="Times New Roman" w:cs="Times New Roman"/>
                <w:bCs/>
                <w:color w:val="000000" w:themeColor="text1"/>
                <w:sz w:val="24"/>
                <w:u w:val="none"/>
                <w14:textFill>
                  <w14:solidFill>
                    <w14:schemeClr w14:val="tx1"/>
                  </w14:solidFill>
                </w14:textFill>
              </w:rPr>
              <w:t>在工程施工过程中，施工期占地区开挖、施工场地平整、施工道路建设等扰动地表，会进一步的造成表土裸露，受雨水冲击时易造成水土流失，将对植物及其生境造成不利影响，同时，水土流失易导致土壤中的有机质也不断流失，从而破坏了土壤的结构，增加植被复垦工作的难度。但本工程在可研阶段充分考虑到了水土流失问题，采取表层土剥离并单独保存、开挖区下游侧拦挡、场地截排水、弃渣场综合防护、施工场地及时绿化等措施为水土流失做保障，只要切实落实水土保持方案，本工程水土流失对区域植物及植被的影响可以缓解。</w:t>
            </w:r>
          </w:p>
          <w:p w14:paraId="28F987D5">
            <w:pPr>
              <w:pStyle w:val="5"/>
              <w:ind w:firstLine="482" w:firstLineChars="200"/>
              <w:rPr>
                <w:color w:val="000000" w:themeColor="text1"/>
                <w:u w:val="none"/>
                <w14:textFill>
                  <w14:solidFill>
                    <w14:schemeClr w14:val="tx1"/>
                  </w14:solidFill>
                </w14:textFill>
              </w:rPr>
            </w:pPr>
            <w:bookmarkStart w:id="102" w:name="_Toc478243918"/>
            <w:bookmarkStart w:id="103" w:name="_Toc10597"/>
            <w:bookmarkStart w:id="104" w:name="_Toc28855_WPSOffice_Level3"/>
            <w:bookmarkStart w:id="105" w:name="_Toc119425310"/>
            <w:r>
              <w:rPr>
                <w:rFonts w:hint="eastAsia"/>
                <w:color w:val="000000" w:themeColor="text1"/>
                <w:u w:val="none"/>
                <w:lang w:val="en-US" w:eastAsia="zh-CN"/>
                <w14:textFill>
                  <w14:solidFill>
                    <w14:schemeClr w14:val="tx1"/>
                  </w14:solidFill>
                </w14:textFill>
              </w:rPr>
              <w:t>5）</w:t>
            </w:r>
            <w:r>
              <w:rPr>
                <w:rFonts w:hint="eastAsia"/>
                <w:color w:val="000000" w:themeColor="text1"/>
                <w:u w:val="none"/>
                <w14:textFill>
                  <w14:solidFill>
                    <w14:schemeClr w14:val="tx1"/>
                  </w14:solidFill>
                </w14:textFill>
              </w:rPr>
              <w:t>对保护植物及古树名木的影响</w:t>
            </w:r>
            <w:bookmarkEnd w:id="102"/>
            <w:bookmarkEnd w:id="103"/>
            <w:bookmarkEnd w:id="104"/>
            <w:bookmarkEnd w:id="105"/>
          </w:p>
          <w:p w14:paraId="77EBD4DF">
            <w:pPr>
              <w:widowControl/>
              <w:ind w:firstLine="480"/>
              <w:jc w:val="left"/>
              <w:rPr>
                <w:bCs/>
                <w:color w:val="000000" w:themeColor="text1"/>
                <w:u w:val="none"/>
                <w14:textFill>
                  <w14:solidFill>
                    <w14:schemeClr w14:val="tx1"/>
                  </w14:solidFill>
                </w14:textFill>
              </w:rPr>
            </w:pPr>
            <w:r>
              <w:rPr>
                <w:bCs/>
                <w:color w:val="000000" w:themeColor="text1"/>
                <w:u w:val="none"/>
                <w14:textFill>
                  <w14:solidFill>
                    <w14:schemeClr w14:val="tx1"/>
                  </w14:solidFill>
                </w14:textFill>
              </w:rPr>
              <w:t>（1）对保护植物的影响</w:t>
            </w:r>
          </w:p>
          <w:p w14:paraId="46340D84">
            <w:pPr>
              <w:widowControl/>
              <w:ind w:firstLine="480"/>
              <w:jc w:val="left"/>
              <w:rPr>
                <w:bCs/>
                <w:color w:val="000000" w:themeColor="text1"/>
                <w:u w:val="none"/>
                <w14:textFill>
                  <w14:solidFill>
                    <w14:schemeClr w14:val="tx1"/>
                  </w14:solidFill>
                </w14:textFill>
              </w:rPr>
            </w:pPr>
            <w:r>
              <w:rPr>
                <w:rFonts w:ascii="Times New Roman" w:hAnsi="Times New Roman" w:cs="Times New Roman"/>
                <w:bCs/>
                <w:color w:val="000000" w:themeColor="text1"/>
                <w:sz w:val="24"/>
                <w:u w:val="none"/>
                <w14:textFill>
                  <w14:solidFill>
                    <w14:schemeClr w14:val="tx1"/>
                  </w14:solidFill>
                </w14:textFill>
              </w:rPr>
              <w:t>根据现场调查，评价区</w:t>
            </w:r>
            <w:r>
              <w:rPr>
                <w:rFonts w:hint="eastAsia" w:cs="Times New Roman"/>
                <w:bCs/>
                <w:color w:val="000000" w:themeColor="text1"/>
                <w:sz w:val="24"/>
                <w:u w:val="none"/>
                <w:lang w:val="en-US" w:eastAsia="zh-CN"/>
                <w14:textFill>
                  <w14:solidFill>
                    <w14:schemeClr w14:val="tx1"/>
                  </w14:solidFill>
                </w14:textFill>
              </w:rPr>
              <w:t>无</w:t>
            </w:r>
            <w:r>
              <w:rPr>
                <w:rFonts w:hint="eastAsia" w:ascii="Times New Roman" w:hAnsi="Times New Roman" w:cs="Times New Roman"/>
                <w:bCs/>
                <w:color w:val="000000" w:themeColor="text1"/>
                <w:sz w:val="24"/>
                <w:u w:val="none"/>
                <w14:textFill>
                  <w14:solidFill>
                    <w14:schemeClr w14:val="tx1"/>
                  </w14:solidFill>
                </w14:textFill>
              </w:rPr>
              <w:t>国家保护植物</w:t>
            </w:r>
            <w:r>
              <w:rPr>
                <w:rFonts w:ascii="Times New Roman" w:hAnsi="Times New Roman" w:cs="Times New Roman"/>
                <w:bCs/>
                <w:color w:val="000000" w:themeColor="text1"/>
                <w:sz w:val="24"/>
                <w:u w:val="none"/>
                <w14:textFill>
                  <w14:solidFill>
                    <w14:schemeClr w14:val="tx1"/>
                  </w14:solidFill>
                </w14:textFill>
              </w:rPr>
              <w:t>。工程施工占地不会对其产生的影响，场内道路施工活动如施工扬尘粉尘等对其会产生一定的不利影响</w:t>
            </w:r>
            <w:r>
              <w:rPr>
                <w:rFonts w:hint="eastAsia" w:cs="Times New Roman"/>
                <w:bCs/>
                <w:color w:val="000000" w:themeColor="text1"/>
                <w:sz w:val="24"/>
                <w:u w:val="none"/>
                <w:lang w:eastAsia="zh-CN"/>
                <w14:textFill>
                  <w14:solidFill>
                    <w14:schemeClr w14:val="tx1"/>
                  </w14:solidFill>
                </w14:textFill>
              </w:rPr>
              <w:t>，</w:t>
            </w:r>
            <w:r>
              <w:rPr>
                <w:rFonts w:ascii="Times New Roman" w:hAnsi="Times New Roman" w:cs="Times New Roman"/>
                <w:bCs/>
                <w:color w:val="000000" w:themeColor="text1"/>
                <w:sz w:val="24"/>
                <w:u w:val="none"/>
                <w14:textFill>
                  <w14:solidFill>
                    <w14:schemeClr w14:val="tx1"/>
                  </w14:solidFill>
                </w14:textFill>
              </w:rPr>
              <w:t>在施工过程中对施工区采取洒水除尘措施后，施工扬尘粉尘对其基本不会产生影响。</w:t>
            </w:r>
          </w:p>
          <w:p w14:paraId="2F1F6DD1">
            <w:pPr>
              <w:widowControl/>
              <w:ind w:firstLine="480"/>
              <w:jc w:val="left"/>
              <w:rPr>
                <w:bCs/>
                <w:color w:val="000000" w:themeColor="text1"/>
                <w:u w:val="none"/>
                <w14:textFill>
                  <w14:solidFill>
                    <w14:schemeClr w14:val="tx1"/>
                  </w14:solidFill>
                </w14:textFill>
              </w:rPr>
            </w:pPr>
            <w:r>
              <w:rPr>
                <w:bCs/>
                <w:color w:val="000000" w:themeColor="text1"/>
                <w:u w:val="none"/>
                <w14:textFill>
                  <w14:solidFill>
                    <w14:schemeClr w14:val="tx1"/>
                  </w14:solidFill>
                </w14:textFill>
              </w:rPr>
              <w:t>（2）对古树名木的影响</w:t>
            </w:r>
          </w:p>
          <w:p w14:paraId="1F637638">
            <w:pPr>
              <w:adjustRightInd w:val="0"/>
              <w:snapToGrid w:val="0"/>
              <w:spacing w:line="360" w:lineRule="auto"/>
              <w:ind w:firstLine="480" w:firstLineChars="200"/>
              <w:rPr>
                <w:rFonts w:hint="default" w:ascii="Times New Roman" w:hAnsi="Times New Roman" w:eastAsia="宋体" w:cs="Times New Roman"/>
                <w:bCs/>
                <w:color w:val="000000" w:themeColor="text1"/>
                <w:sz w:val="24"/>
                <w:u w:val="none"/>
                <w:lang w:val="en-US" w:eastAsia="zh-CN"/>
                <w14:textFill>
                  <w14:solidFill>
                    <w14:schemeClr w14:val="tx1"/>
                  </w14:solidFill>
                </w14:textFill>
              </w:rPr>
            </w:pPr>
            <w:r>
              <w:rPr>
                <w:rFonts w:ascii="Times New Roman" w:hAnsi="Times New Roman" w:cs="Times New Roman"/>
                <w:bCs/>
                <w:color w:val="000000" w:themeColor="text1"/>
                <w:sz w:val="24"/>
                <w:u w:val="none"/>
                <w14:textFill>
                  <w14:solidFill>
                    <w14:schemeClr w14:val="tx1"/>
                  </w14:solidFill>
                </w14:textFill>
              </w:rPr>
              <w:t>根据现场调查以及对附近村民进行访问，评价范围</w:t>
            </w:r>
            <w:r>
              <w:rPr>
                <w:rFonts w:hint="eastAsia" w:cs="Times New Roman"/>
                <w:bCs/>
                <w:color w:val="000000" w:themeColor="text1"/>
                <w:sz w:val="24"/>
                <w:u w:val="none"/>
                <w:lang w:eastAsia="zh-CN"/>
                <w14:textFill>
                  <w14:solidFill>
                    <w14:schemeClr w14:val="tx1"/>
                  </w14:solidFill>
                </w14:textFill>
              </w:rPr>
              <w:t>未发现名树古木</w:t>
            </w:r>
            <w:r>
              <w:rPr>
                <w:rFonts w:hint="eastAsia" w:cs="Times New Roman"/>
                <w:bCs/>
                <w:color w:val="000000" w:themeColor="text1"/>
                <w:sz w:val="24"/>
                <w:u w:val="none"/>
                <w:lang w:val="en-US" w:eastAsia="zh-CN"/>
                <w14:textFill>
                  <w14:solidFill>
                    <w14:schemeClr w14:val="tx1"/>
                  </w14:solidFill>
                </w14:textFill>
              </w:rPr>
              <w:t>。</w:t>
            </w:r>
          </w:p>
          <w:p w14:paraId="6CD4A1FD">
            <w:pPr>
              <w:pStyle w:val="4"/>
              <w:ind w:firstLine="482" w:firstLineChars="200"/>
              <w:rPr>
                <w:color w:val="000000" w:themeColor="text1"/>
                <w:u w:val="none"/>
                <w14:textFill>
                  <w14:solidFill>
                    <w14:schemeClr w14:val="tx1"/>
                  </w14:solidFill>
                </w14:textFill>
              </w:rPr>
            </w:pPr>
            <w:bookmarkStart w:id="106" w:name="_Toc18352"/>
            <w:bookmarkStart w:id="107" w:name="_Toc470013453"/>
            <w:bookmarkStart w:id="108" w:name="_Toc14482_WPSOffice_Level3"/>
            <w:bookmarkStart w:id="109" w:name="_Toc119425312"/>
            <w:r>
              <w:rPr>
                <w:rFonts w:hint="eastAsia"/>
                <w:color w:val="000000" w:themeColor="text1"/>
                <w:u w:val="none"/>
                <w:lang w:val="en-US" w:eastAsia="zh-CN"/>
                <w14:textFill>
                  <w14:solidFill>
                    <w14:schemeClr w14:val="tx1"/>
                  </w14:solidFill>
                </w14:textFill>
              </w:rPr>
              <w:t>6）</w:t>
            </w:r>
            <w:r>
              <w:rPr>
                <w:color w:val="000000" w:themeColor="text1"/>
                <w:u w:val="none"/>
                <w14:textFill>
                  <w14:solidFill>
                    <w14:schemeClr w14:val="tx1"/>
                  </w14:solidFill>
                </w14:textFill>
              </w:rPr>
              <w:t>外来入侵物种的影响</w:t>
            </w:r>
            <w:bookmarkEnd w:id="106"/>
            <w:bookmarkEnd w:id="107"/>
            <w:bookmarkEnd w:id="108"/>
            <w:bookmarkEnd w:id="109"/>
          </w:p>
          <w:p w14:paraId="1CDDE28D">
            <w:pPr>
              <w:adjustRightInd w:val="0"/>
              <w:snapToGrid w:val="0"/>
              <w:spacing w:line="360" w:lineRule="auto"/>
              <w:ind w:firstLine="480" w:firstLineChars="200"/>
              <w:rPr>
                <w:rFonts w:ascii="Times New Roman" w:hAnsi="Times New Roman" w:cs="Times New Roman"/>
                <w:bCs/>
                <w:color w:val="000000" w:themeColor="text1"/>
                <w:sz w:val="24"/>
                <w:u w:val="none"/>
                <w14:textFill>
                  <w14:solidFill>
                    <w14:schemeClr w14:val="tx1"/>
                  </w14:solidFill>
                </w14:textFill>
              </w:rPr>
            </w:pPr>
            <w:r>
              <w:rPr>
                <w:rFonts w:ascii="Times New Roman" w:hAnsi="Times New Roman" w:cs="Times New Roman"/>
                <w:bCs/>
                <w:color w:val="000000" w:themeColor="text1"/>
                <w:sz w:val="24"/>
                <w:u w:val="none"/>
                <w14:textFill>
                  <w14:solidFill>
                    <w14:schemeClr w14:val="tx1"/>
                  </w14:solidFill>
                </w14:textFill>
              </w:rPr>
              <w:t>通过现场调查，评价区</w:t>
            </w:r>
            <w:r>
              <w:rPr>
                <w:rFonts w:hint="eastAsia" w:cs="Times New Roman"/>
                <w:bCs/>
                <w:color w:val="000000" w:themeColor="text1"/>
                <w:sz w:val="24"/>
                <w:u w:val="none"/>
                <w:lang w:eastAsia="zh-CN"/>
                <w14:textFill>
                  <w14:solidFill>
                    <w14:schemeClr w14:val="tx1"/>
                  </w14:solidFill>
                </w14:textFill>
              </w:rPr>
              <w:t>内未</w:t>
            </w:r>
            <w:r>
              <w:rPr>
                <w:rFonts w:ascii="Times New Roman" w:hAnsi="Times New Roman" w:cs="Times New Roman"/>
                <w:bCs/>
                <w:color w:val="000000" w:themeColor="text1"/>
                <w:sz w:val="24"/>
                <w:u w:val="none"/>
                <w14:textFill>
                  <w14:solidFill>
                    <w14:schemeClr w14:val="tx1"/>
                  </w14:solidFill>
                </w14:textFill>
              </w:rPr>
              <w:t>发现外来入侵种。</w:t>
            </w:r>
          </w:p>
          <w:p w14:paraId="636CF38D">
            <w:pPr>
              <w:pStyle w:val="4"/>
              <w:numPr>
                <w:ilvl w:val="0"/>
                <w:numId w:val="6"/>
              </w:numPr>
              <w:rPr>
                <w:color w:val="auto"/>
                <w:u w:val="none"/>
              </w:rPr>
            </w:pPr>
            <w:bookmarkStart w:id="110" w:name="_Toc12046_WPSOffice_Level2"/>
            <w:bookmarkStart w:id="111" w:name="_Toc119425313"/>
            <w:bookmarkStart w:id="112" w:name="_Toc24215"/>
            <w:r>
              <w:rPr>
                <w:rFonts w:hint="eastAsia"/>
                <w:color w:val="auto"/>
                <w:u w:val="none"/>
              </w:rPr>
              <w:t>对陆生动物的影响</w:t>
            </w:r>
            <w:bookmarkEnd w:id="110"/>
            <w:bookmarkEnd w:id="111"/>
            <w:bookmarkEnd w:id="112"/>
          </w:p>
          <w:p w14:paraId="1AA311B7">
            <w:pPr>
              <w:adjustRightInd w:val="0"/>
              <w:snapToGrid w:val="0"/>
              <w:spacing w:line="360" w:lineRule="auto"/>
              <w:ind w:firstLine="480" w:firstLineChars="200"/>
              <w:rPr>
                <w:rFonts w:ascii="Times New Roman" w:hAnsi="Times New Roman" w:cs="Times New Roman"/>
                <w:bCs/>
                <w:color w:val="000000" w:themeColor="text1"/>
                <w:sz w:val="24"/>
                <w:u w:val="none"/>
                <w14:textFill>
                  <w14:solidFill>
                    <w14:schemeClr w14:val="tx1"/>
                  </w14:solidFill>
                </w14:textFill>
              </w:rPr>
            </w:pPr>
            <w:r>
              <w:rPr>
                <w:rFonts w:hint="eastAsia" w:cs="Times New Roman"/>
                <w:bCs/>
                <w:color w:val="000000" w:themeColor="text1"/>
                <w:sz w:val="24"/>
                <w:u w:val="none"/>
                <w:lang w:eastAsia="zh-CN"/>
                <w14:textFill>
                  <w14:solidFill>
                    <w14:schemeClr w14:val="tx1"/>
                  </w14:solidFill>
                </w14:textFill>
              </w:rPr>
              <w:t>湖南华电通道太平山风电场项目</w:t>
            </w:r>
            <w:r>
              <w:rPr>
                <w:rFonts w:hint="eastAsia" w:ascii="Times New Roman" w:hAnsi="Times New Roman" w:cs="Times New Roman"/>
                <w:bCs/>
                <w:color w:val="000000" w:themeColor="text1"/>
                <w:sz w:val="24"/>
                <w:u w:val="none"/>
                <w14:textFill>
                  <w14:solidFill>
                    <w14:schemeClr w14:val="tx1"/>
                  </w14:solidFill>
                </w14:textFill>
              </w:rPr>
              <w:t>位于怀化市</w:t>
            </w:r>
            <w:r>
              <w:rPr>
                <w:rFonts w:hint="eastAsia" w:cs="Times New Roman"/>
                <w:bCs/>
                <w:color w:val="000000" w:themeColor="text1"/>
                <w:sz w:val="24"/>
                <w:u w:val="none"/>
                <w:lang w:eastAsia="zh-CN"/>
                <w14:textFill>
                  <w14:solidFill>
                    <w14:schemeClr w14:val="tx1"/>
                  </w14:solidFill>
                </w14:textFill>
              </w:rPr>
              <w:t>通道县牙屯堡镇、坦坪乡、双江镇</w:t>
            </w:r>
            <w:r>
              <w:rPr>
                <w:rFonts w:hint="eastAsia" w:ascii="Times New Roman" w:hAnsi="Times New Roman" w:cs="Times New Roman"/>
                <w:bCs/>
                <w:color w:val="auto"/>
                <w:sz w:val="24"/>
                <w:u w:val="none"/>
              </w:rPr>
              <w:t>，呈不规则形状。</w:t>
            </w:r>
            <w:r>
              <w:rPr>
                <w:rFonts w:hint="eastAsia" w:ascii="Times New Roman" w:hAnsi="Times New Roman" w:cs="Times New Roman"/>
                <w:bCs/>
                <w:color w:val="000000" w:themeColor="text1"/>
                <w:sz w:val="24"/>
                <w:u w:val="none"/>
                <w14:textFill>
                  <w14:solidFill>
                    <w14:schemeClr w14:val="tx1"/>
                  </w14:solidFill>
                </w14:textFill>
              </w:rPr>
              <w:t>风电场所在区域地形为山地，场址高程介于</w:t>
            </w:r>
            <w:r>
              <w:rPr>
                <w:rFonts w:hint="eastAsia" w:cs="Times New Roman"/>
                <w:bCs/>
                <w:color w:val="000000" w:themeColor="text1"/>
                <w:sz w:val="24"/>
                <w:u w:val="none"/>
                <w:lang w:val="en-US" w:eastAsia="zh-CN"/>
                <w14:textFill>
                  <w14:solidFill>
                    <w14:schemeClr w14:val="tx1"/>
                  </w14:solidFill>
                </w14:textFill>
              </w:rPr>
              <w:t>60</w:t>
            </w:r>
            <w:r>
              <w:rPr>
                <w:rFonts w:hint="eastAsia" w:ascii="Times New Roman" w:hAnsi="Times New Roman" w:cs="Times New Roman"/>
                <w:bCs/>
                <w:color w:val="000000" w:themeColor="text1"/>
                <w:sz w:val="24"/>
                <w:u w:val="none"/>
                <w14:textFill>
                  <w14:solidFill>
                    <w14:schemeClr w14:val="tx1"/>
                  </w14:solidFill>
                </w14:textFill>
              </w:rPr>
              <w:t>0m~</w:t>
            </w:r>
            <w:r>
              <w:rPr>
                <w:rFonts w:hint="eastAsia" w:cs="Times New Roman"/>
                <w:bCs/>
                <w:color w:val="000000" w:themeColor="text1"/>
                <w:sz w:val="24"/>
                <w:u w:val="none"/>
                <w:lang w:val="en-US" w:eastAsia="zh-CN"/>
                <w14:textFill>
                  <w14:solidFill>
                    <w14:schemeClr w14:val="tx1"/>
                  </w14:solidFill>
                </w14:textFill>
              </w:rPr>
              <w:t>1000</w:t>
            </w:r>
            <w:r>
              <w:rPr>
                <w:rFonts w:hint="eastAsia" w:ascii="Times New Roman" w:hAnsi="Times New Roman" w:cs="Times New Roman"/>
                <w:bCs/>
                <w:color w:val="000000" w:themeColor="text1"/>
                <w:sz w:val="24"/>
                <w:u w:val="none"/>
                <w14:textFill>
                  <w14:solidFill>
                    <w14:schemeClr w14:val="tx1"/>
                  </w14:solidFill>
                </w14:textFill>
              </w:rPr>
              <w:t>m之间。</w:t>
            </w:r>
            <w:r>
              <w:rPr>
                <w:rFonts w:ascii="Times New Roman" w:hAnsi="Times New Roman" w:cs="Times New Roman"/>
                <w:bCs/>
                <w:color w:val="000000" w:themeColor="text1"/>
                <w:sz w:val="24"/>
                <w:u w:val="none"/>
                <w:lang w:bidi="ar"/>
                <w14:textFill>
                  <w14:solidFill>
                    <w14:schemeClr w14:val="tx1"/>
                  </w14:solidFill>
                </w14:textFill>
              </w:rPr>
              <w:t>根据《</w:t>
            </w:r>
            <w:r>
              <w:rPr>
                <w:rFonts w:hint="eastAsia" w:cs="Times New Roman"/>
                <w:bCs/>
                <w:color w:val="000000" w:themeColor="text1"/>
                <w:sz w:val="24"/>
                <w:u w:val="none"/>
                <w:lang w:eastAsia="zh-CN" w:bidi="ar"/>
                <w14:textFill>
                  <w14:solidFill>
                    <w14:schemeClr w14:val="tx1"/>
                  </w14:solidFill>
                </w14:textFill>
              </w:rPr>
              <w:t>湖南华电通道太平山风电场项目</w:t>
            </w:r>
            <w:r>
              <w:rPr>
                <w:rFonts w:ascii="Times New Roman" w:hAnsi="Times New Roman" w:cs="Times New Roman"/>
                <w:bCs/>
                <w:color w:val="000000" w:themeColor="text1"/>
                <w:sz w:val="24"/>
                <w:u w:val="none"/>
                <w:lang w:bidi="ar"/>
                <w14:textFill>
                  <w14:solidFill>
                    <w14:schemeClr w14:val="tx1"/>
                  </w14:solidFill>
                </w14:textFill>
              </w:rPr>
              <w:t>可行性研究报告》《</w:t>
            </w:r>
            <w:r>
              <w:rPr>
                <w:rFonts w:hint="eastAsia" w:cs="Times New Roman"/>
                <w:bCs/>
                <w:color w:val="000000" w:themeColor="text1"/>
                <w:sz w:val="24"/>
                <w:u w:val="none"/>
                <w:lang w:eastAsia="zh-CN" w:bidi="ar"/>
                <w14:textFill>
                  <w14:solidFill>
                    <w14:schemeClr w14:val="tx1"/>
                  </w14:solidFill>
                </w14:textFill>
              </w:rPr>
              <w:t>湖南华电通道太平山风电场项目</w:t>
            </w:r>
            <w:r>
              <w:rPr>
                <w:rFonts w:ascii="Times New Roman" w:hAnsi="Times New Roman" w:cs="Times New Roman"/>
                <w:bCs/>
                <w:color w:val="000000" w:themeColor="text1"/>
                <w:sz w:val="24"/>
                <w:u w:val="none"/>
                <w:lang w:bidi="ar"/>
                <w14:textFill>
                  <w14:solidFill>
                    <w14:schemeClr w14:val="tx1"/>
                  </w14:solidFill>
                </w14:textFill>
              </w:rPr>
              <w:t>水土保持方案报告书》</w:t>
            </w:r>
            <w:r>
              <w:rPr>
                <w:rFonts w:ascii="Times New Roman" w:hAnsi="Times New Roman" w:cs="Times New Roman"/>
                <w:bCs/>
                <w:color w:val="000000" w:themeColor="text1"/>
                <w:sz w:val="24"/>
                <w:u w:val="none"/>
                <w14:textFill>
                  <w14:solidFill>
                    <w14:schemeClr w14:val="tx1"/>
                  </w14:solidFill>
                </w14:textFill>
              </w:rPr>
              <w:t>，工程布置主要包括风机及箱变基础、升压站、场内施工道路、集电线路、弃渣场及临时施工场地等。</w:t>
            </w:r>
          </w:p>
          <w:p w14:paraId="2B74E4FC">
            <w:pPr>
              <w:adjustRightInd w:val="0"/>
              <w:snapToGrid w:val="0"/>
              <w:spacing w:line="360" w:lineRule="auto"/>
              <w:ind w:firstLine="480" w:firstLineChars="200"/>
              <w:rPr>
                <w:rFonts w:ascii="Times New Roman" w:hAnsi="Times New Roman" w:cs="Times New Roman"/>
                <w:bCs/>
                <w:color w:val="000000" w:themeColor="text1"/>
                <w:sz w:val="24"/>
                <w:u w:val="none"/>
                <w14:textFill>
                  <w14:solidFill>
                    <w14:schemeClr w14:val="tx1"/>
                  </w14:solidFill>
                </w14:textFill>
              </w:rPr>
            </w:pPr>
            <w:r>
              <w:rPr>
                <w:rFonts w:ascii="Times New Roman" w:hAnsi="Times New Roman" w:cs="Times New Roman"/>
                <w:bCs/>
                <w:color w:val="000000" w:themeColor="text1"/>
                <w:sz w:val="24"/>
                <w:u w:val="none"/>
                <w14:textFill>
                  <w14:solidFill>
                    <w14:schemeClr w14:val="tx1"/>
                  </w14:solidFill>
                </w14:textFill>
              </w:rPr>
              <w:t>在施工期对陆生野生动物的影响主要包括施工道路、风机及箱变基础、弃渣场等的占地对其生境的占用和破坏；施工噪音、施工人员活动以及夜间光照等对动物栖息、觅食、求偶繁殖等行为的影响；施工产生的废水、弃渣、建筑材料堆积等均会在不同程度上对动物及其生境产生一定影响。</w:t>
            </w:r>
          </w:p>
          <w:p w14:paraId="32C69FE0">
            <w:pPr>
              <w:pStyle w:val="87"/>
              <w:numPr>
                <w:ilvl w:val="0"/>
                <w:numId w:val="0"/>
              </w:numPr>
              <w:adjustRightInd w:val="0"/>
              <w:snapToGrid w:val="0"/>
              <w:ind w:left="240" w:leftChars="0" w:firstLine="241" w:firstLineChars="100"/>
              <w:rPr>
                <w:b/>
                <w:color w:val="auto"/>
                <w:u w:val="none"/>
              </w:rPr>
            </w:pPr>
            <w:r>
              <w:rPr>
                <w:rFonts w:hint="eastAsia"/>
                <w:b/>
                <w:color w:val="auto"/>
                <w:u w:val="none"/>
                <w:lang w:val="en-US" w:eastAsia="zh-CN"/>
              </w:rPr>
              <w:t>1</w:t>
            </w:r>
            <w:r>
              <w:rPr>
                <w:rFonts w:hint="eastAsia"/>
                <w:b/>
                <w:color w:val="auto"/>
                <w:u w:val="none"/>
                <w:lang w:eastAsia="zh-CN"/>
              </w:rPr>
              <w:t>）</w:t>
            </w:r>
            <w:r>
              <w:rPr>
                <w:b/>
                <w:color w:val="auto"/>
                <w:u w:val="none"/>
              </w:rPr>
              <w:t>工程占地对动物生境的影响</w:t>
            </w:r>
          </w:p>
          <w:p w14:paraId="4CD7A8C0">
            <w:pPr>
              <w:adjustRightInd w:val="0"/>
              <w:snapToGrid w:val="0"/>
              <w:spacing w:line="360" w:lineRule="auto"/>
              <w:ind w:firstLine="480" w:firstLineChars="200"/>
              <w:rPr>
                <w:rFonts w:hint="eastAsia" w:cs="Times New Roman"/>
                <w:color w:val="FF0000"/>
                <w:sz w:val="24"/>
                <w:u w:val="none"/>
                <w:lang w:eastAsia="zh-CN"/>
              </w:rPr>
            </w:pPr>
            <w:r>
              <w:rPr>
                <w:rFonts w:ascii="Times New Roman" w:hAnsi="Times New Roman" w:cs="Times New Roman"/>
                <w:color w:val="auto"/>
                <w:sz w:val="24"/>
                <w:u w:val="none"/>
              </w:rPr>
              <w:t>依据可研报告，</w:t>
            </w:r>
            <w:r>
              <w:rPr>
                <w:rFonts w:hint="eastAsia"/>
                <w:color w:val="auto"/>
                <w:u w:val="none"/>
              </w:rPr>
              <w:t>本工程总占地面积</w:t>
            </w:r>
            <w:r>
              <w:rPr>
                <w:rFonts w:hint="eastAsia"/>
                <w:color w:val="auto"/>
                <w:u w:val="none"/>
                <w:lang w:val="en-US" w:eastAsia="zh-CN"/>
              </w:rPr>
              <w:t>44.01</w:t>
            </w:r>
            <w:r>
              <w:rPr>
                <w:rFonts w:hint="eastAsia"/>
                <w:color w:val="auto"/>
                <w:u w:val="none"/>
              </w:rPr>
              <w:t>hm</w:t>
            </w:r>
            <w:r>
              <w:rPr>
                <w:rFonts w:hint="eastAsia"/>
                <w:color w:val="auto"/>
                <w:u w:val="none"/>
                <w:vertAlign w:val="superscript"/>
              </w:rPr>
              <w:t>2</w:t>
            </w:r>
            <w:r>
              <w:rPr>
                <w:rFonts w:hint="eastAsia"/>
                <w:color w:val="auto"/>
                <w:u w:val="none"/>
              </w:rPr>
              <w:t>，其中永久占地</w:t>
            </w:r>
            <w:r>
              <w:rPr>
                <w:rFonts w:hint="eastAsia"/>
                <w:color w:val="auto"/>
                <w:u w:val="none"/>
                <w:lang w:val="en-US" w:eastAsia="zh-CN"/>
              </w:rPr>
              <w:t>1.61</w:t>
            </w:r>
            <w:r>
              <w:rPr>
                <w:rFonts w:hint="eastAsia"/>
                <w:color w:val="auto"/>
                <w:u w:val="none"/>
              </w:rPr>
              <w:t>hm</w:t>
            </w:r>
            <w:r>
              <w:rPr>
                <w:rFonts w:hint="eastAsia"/>
                <w:color w:val="auto"/>
                <w:u w:val="none"/>
                <w:vertAlign w:val="superscript"/>
              </w:rPr>
              <w:t>2</w:t>
            </w:r>
            <w:r>
              <w:rPr>
                <w:rFonts w:hint="eastAsia"/>
                <w:color w:val="auto"/>
                <w:u w:val="none"/>
              </w:rPr>
              <w:t>，临时占地</w:t>
            </w:r>
            <w:r>
              <w:rPr>
                <w:rFonts w:hint="eastAsia"/>
                <w:color w:val="auto"/>
                <w:u w:val="none"/>
                <w:lang w:val="en-US" w:eastAsia="zh-CN"/>
              </w:rPr>
              <w:t>42.4</w:t>
            </w:r>
            <w:r>
              <w:rPr>
                <w:rFonts w:hint="eastAsia"/>
                <w:color w:val="auto"/>
                <w:u w:val="none"/>
              </w:rPr>
              <w:t>hm</w:t>
            </w:r>
            <w:r>
              <w:rPr>
                <w:rFonts w:hint="eastAsia"/>
                <w:color w:val="auto"/>
                <w:u w:val="none"/>
                <w:vertAlign w:val="superscript"/>
              </w:rPr>
              <w:t>2</w:t>
            </w:r>
            <w:r>
              <w:rPr>
                <w:rFonts w:hint="eastAsia" w:ascii="Times New Roman" w:hAnsi="Times New Roman" w:cs="Times New Roman"/>
                <w:color w:val="auto"/>
                <w:sz w:val="24"/>
                <w:u w:val="none"/>
              </w:rPr>
              <w:t>。永久性占地包括风电机组及箱变基础用地</w:t>
            </w:r>
            <w:r>
              <w:rPr>
                <w:rFonts w:hint="eastAsia" w:cs="Times New Roman"/>
                <w:color w:val="auto"/>
                <w:sz w:val="24"/>
                <w:u w:val="none"/>
                <w:lang w:val="en-US" w:eastAsia="zh-CN"/>
              </w:rPr>
              <w:t>0.57</w:t>
            </w:r>
            <w:r>
              <w:rPr>
                <w:rFonts w:hint="eastAsia" w:ascii="Times New Roman" w:hAnsi="Times New Roman" w:cs="Times New Roman"/>
                <w:color w:val="auto"/>
                <w:sz w:val="24"/>
                <w:u w:val="none"/>
              </w:rPr>
              <w:t>hm</w:t>
            </w:r>
            <w:r>
              <w:rPr>
                <w:rFonts w:hint="eastAsia" w:ascii="Times New Roman" w:hAnsi="Times New Roman" w:cs="Times New Roman"/>
                <w:color w:val="auto"/>
                <w:sz w:val="24"/>
                <w:u w:val="none"/>
                <w:vertAlign w:val="superscript"/>
              </w:rPr>
              <w:t>2</w:t>
            </w:r>
            <w:r>
              <w:rPr>
                <w:rFonts w:hint="eastAsia" w:ascii="Times New Roman" w:hAnsi="Times New Roman" w:cs="Times New Roman"/>
                <w:color w:val="auto"/>
                <w:sz w:val="24"/>
                <w:u w:val="none"/>
              </w:rPr>
              <w:t>、升压站占地0.</w:t>
            </w:r>
            <w:r>
              <w:rPr>
                <w:rFonts w:hint="eastAsia" w:cs="Times New Roman"/>
                <w:color w:val="auto"/>
                <w:sz w:val="24"/>
                <w:u w:val="none"/>
                <w:lang w:val="en-US" w:eastAsia="zh-CN"/>
              </w:rPr>
              <w:t>8</w:t>
            </w:r>
            <w:r>
              <w:rPr>
                <w:rFonts w:hint="eastAsia" w:ascii="Times New Roman" w:hAnsi="Times New Roman" w:cs="Times New Roman"/>
                <w:color w:val="auto"/>
                <w:sz w:val="24"/>
                <w:u w:val="none"/>
              </w:rPr>
              <w:t>hm</w:t>
            </w:r>
            <w:r>
              <w:rPr>
                <w:rFonts w:hint="eastAsia" w:ascii="Times New Roman" w:hAnsi="Times New Roman" w:cs="Times New Roman"/>
                <w:color w:val="auto"/>
                <w:sz w:val="24"/>
                <w:u w:val="none"/>
                <w:vertAlign w:val="superscript"/>
              </w:rPr>
              <w:t>2</w:t>
            </w:r>
            <w:r>
              <w:rPr>
                <w:rFonts w:hint="eastAsia" w:ascii="Times New Roman" w:hAnsi="Times New Roman" w:cs="Times New Roman"/>
                <w:color w:val="auto"/>
                <w:sz w:val="24"/>
                <w:u w:val="none"/>
              </w:rPr>
              <w:t>，临时性占地包括风电机组安装场地</w:t>
            </w:r>
            <w:r>
              <w:rPr>
                <w:rFonts w:hint="eastAsia" w:cs="Times New Roman"/>
                <w:color w:val="auto"/>
                <w:sz w:val="24"/>
                <w:u w:val="none"/>
                <w:lang w:val="en-US" w:eastAsia="zh-CN"/>
              </w:rPr>
              <w:t>3.0</w:t>
            </w:r>
            <w:r>
              <w:rPr>
                <w:rFonts w:hint="eastAsia" w:ascii="Times New Roman" w:hAnsi="Times New Roman" w:cs="Times New Roman"/>
                <w:color w:val="auto"/>
                <w:sz w:val="24"/>
                <w:u w:val="none"/>
              </w:rPr>
              <w:t>hm</w:t>
            </w:r>
            <w:r>
              <w:rPr>
                <w:rFonts w:hint="eastAsia" w:ascii="Times New Roman" w:hAnsi="Times New Roman" w:cs="Times New Roman"/>
                <w:color w:val="auto"/>
                <w:sz w:val="24"/>
                <w:u w:val="none"/>
                <w:vertAlign w:val="superscript"/>
              </w:rPr>
              <w:t>2</w:t>
            </w:r>
            <w:r>
              <w:rPr>
                <w:rFonts w:hint="eastAsia" w:ascii="Times New Roman" w:hAnsi="Times New Roman" w:cs="Times New Roman"/>
                <w:color w:val="auto"/>
                <w:sz w:val="24"/>
                <w:u w:val="none"/>
              </w:rPr>
              <w:t>、道路工程</w:t>
            </w:r>
            <w:r>
              <w:rPr>
                <w:rFonts w:hint="eastAsia" w:cs="Times New Roman"/>
                <w:color w:val="auto"/>
                <w:sz w:val="24"/>
                <w:u w:val="none"/>
                <w:lang w:val="en-US" w:eastAsia="zh-CN"/>
              </w:rPr>
              <w:t>29.64</w:t>
            </w:r>
            <w:r>
              <w:rPr>
                <w:rFonts w:hint="eastAsia" w:ascii="Times New Roman" w:hAnsi="Times New Roman" w:cs="Times New Roman"/>
                <w:color w:val="auto"/>
                <w:sz w:val="24"/>
                <w:u w:val="none"/>
              </w:rPr>
              <w:t>hm</w:t>
            </w:r>
            <w:r>
              <w:rPr>
                <w:rFonts w:hint="eastAsia" w:ascii="Times New Roman" w:hAnsi="Times New Roman" w:cs="Times New Roman"/>
                <w:color w:val="auto"/>
                <w:sz w:val="24"/>
                <w:u w:val="none"/>
                <w:vertAlign w:val="superscript"/>
              </w:rPr>
              <w:t>2</w:t>
            </w:r>
            <w:r>
              <w:rPr>
                <w:rFonts w:hint="eastAsia" w:ascii="Times New Roman" w:hAnsi="Times New Roman" w:cs="Times New Roman"/>
                <w:color w:val="auto"/>
                <w:sz w:val="24"/>
                <w:u w:val="none"/>
              </w:rPr>
              <w:t>、集电线路</w:t>
            </w:r>
            <w:r>
              <w:rPr>
                <w:rFonts w:hint="eastAsia" w:cs="Times New Roman"/>
                <w:color w:val="auto"/>
                <w:sz w:val="24"/>
                <w:u w:val="none"/>
                <w:lang w:val="en-US" w:eastAsia="zh-CN"/>
              </w:rPr>
              <w:t>2.4</w:t>
            </w:r>
            <w:r>
              <w:rPr>
                <w:rFonts w:hint="eastAsia" w:ascii="Times New Roman" w:hAnsi="Times New Roman" w:cs="Times New Roman"/>
                <w:color w:val="auto"/>
                <w:sz w:val="24"/>
                <w:u w:val="none"/>
              </w:rPr>
              <w:t>hm</w:t>
            </w:r>
            <w:r>
              <w:rPr>
                <w:rFonts w:hint="eastAsia" w:ascii="Times New Roman" w:hAnsi="Times New Roman" w:cs="Times New Roman"/>
                <w:color w:val="auto"/>
                <w:sz w:val="24"/>
                <w:u w:val="none"/>
                <w:vertAlign w:val="superscript"/>
              </w:rPr>
              <w:t>2</w:t>
            </w:r>
            <w:r>
              <w:rPr>
                <w:rFonts w:hint="eastAsia" w:ascii="Times New Roman" w:hAnsi="Times New Roman" w:cs="Times New Roman"/>
                <w:color w:val="auto"/>
                <w:sz w:val="24"/>
                <w:u w:val="none"/>
              </w:rPr>
              <w:t>、弃渣场</w:t>
            </w:r>
            <w:r>
              <w:rPr>
                <w:rFonts w:hint="eastAsia" w:cs="Times New Roman"/>
                <w:color w:val="auto"/>
                <w:sz w:val="24"/>
                <w:u w:val="none"/>
                <w:lang w:val="en-US" w:eastAsia="zh-CN"/>
              </w:rPr>
              <w:t>7.2</w:t>
            </w:r>
            <w:r>
              <w:rPr>
                <w:rFonts w:hint="eastAsia" w:ascii="Times New Roman" w:hAnsi="Times New Roman" w:cs="Times New Roman"/>
                <w:color w:val="auto"/>
                <w:sz w:val="24"/>
                <w:u w:val="none"/>
              </w:rPr>
              <w:t>hm</w:t>
            </w:r>
            <w:r>
              <w:rPr>
                <w:rFonts w:hint="eastAsia" w:ascii="Times New Roman" w:hAnsi="Times New Roman" w:cs="Times New Roman"/>
                <w:color w:val="auto"/>
                <w:sz w:val="24"/>
                <w:u w:val="none"/>
                <w:vertAlign w:val="superscript"/>
              </w:rPr>
              <w:t>2</w:t>
            </w:r>
            <w:r>
              <w:rPr>
                <w:rFonts w:hint="eastAsia" w:cs="Times New Roman"/>
                <w:color w:val="auto"/>
                <w:sz w:val="24"/>
                <w:u w:val="none"/>
                <w:lang w:eastAsia="zh-CN"/>
              </w:rPr>
              <w:t>。</w:t>
            </w:r>
          </w:p>
          <w:p w14:paraId="4F1CB3C2">
            <w:pPr>
              <w:adjustRightInd w:val="0"/>
              <w:snapToGrid w:val="0"/>
              <w:spacing w:line="360" w:lineRule="auto"/>
              <w:ind w:firstLine="480" w:firstLineChars="200"/>
              <w:rPr>
                <w:rFonts w:ascii="Times New Roman" w:hAnsi="Times New Roman" w:cs="Times New Roman"/>
                <w:color w:val="auto"/>
                <w:sz w:val="24"/>
                <w:u w:val="none"/>
              </w:rPr>
            </w:pPr>
            <w:r>
              <w:rPr>
                <w:rFonts w:hint="eastAsia" w:ascii="Times New Roman" w:hAnsi="Times New Roman" w:cs="Times New Roman"/>
                <w:bCs/>
                <w:color w:val="000000" w:themeColor="text1"/>
                <w:sz w:val="24"/>
                <w:u w:val="none"/>
                <w14:textFill>
                  <w14:solidFill>
                    <w14:schemeClr w14:val="tx1"/>
                  </w14:solidFill>
                </w14:textFill>
              </w:rPr>
              <w:t>本工程风机平台呈点状分布</w:t>
            </w:r>
            <w:r>
              <w:rPr>
                <w:rFonts w:ascii="Times New Roman" w:hAnsi="Times New Roman" w:cs="Times New Roman"/>
                <w:bCs/>
                <w:color w:val="000000" w:themeColor="text1"/>
                <w:sz w:val="24"/>
                <w:u w:val="none"/>
                <w14:textFill>
                  <w14:solidFill>
                    <w14:schemeClr w14:val="tx1"/>
                  </w14:solidFill>
                </w14:textFill>
              </w:rPr>
              <w:t>，</w:t>
            </w:r>
            <w:r>
              <w:rPr>
                <w:rFonts w:ascii="Times New Roman" w:hAnsi="Times New Roman" w:cs="Times New Roman"/>
                <w:color w:val="000000" w:themeColor="text1"/>
                <w:sz w:val="24"/>
                <w:u w:val="none"/>
                <w14:textFill>
                  <w14:solidFill>
                    <w14:schemeClr w14:val="tx1"/>
                  </w14:solidFill>
                </w14:textFill>
              </w:rPr>
              <w:t>占</w:t>
            </w:r>
            <w:r>
              <w:rPr>
                <w:rFonts w:ascii="Times New Roman" w:hAnsi="Times New Roman" w:cs="Times New Roman"/>
                <w:color w:val="auto"/>
                <w:sz w:val="24"/>
                <w:u w:val="none"/>
              </w:rPr>
              <w:t>地类型主要为林地、草地及其他用地</w:t>
            </w:r>
            <w:r>
              <w:rPr>
                <w:rFonts w:ascii="Times New Roman" w:hAnsi="Times New Roman" w:cs="Times New Roman"/>
                <w:bCs/>
                <w:color w:val="auto"/>
                <w:sz w:val="24"/>
                <w:u w:val="none"/>
              </w:rPr>
              <w:t>，常见的陆生野生动物主要为小型鸣禽、爬行动物及小型兽类等常见种。工程占地将一定程度上占用和破坏野生动物的生境，缩小野生动物的栖息空间，限制部分陆生野生动物的活动区域、觅食范围等，从而对陆生野生动物的生存产生一定的影响。但考虑本工程布置</w:t>
            </w:r>
            <w:r>
              <w:rPr>
                <w:rFonts w:hint="eastAsia" w:cs="Times New Roman"/>
                <w:bCs/>
                <w:color w:val="auto"/>
                <w:sz w:val="24"/>
                <w:u w:val="none"/>
                <w:lang w:val="en-US" w:eastAsia="zh-CN"/>
              </w:rPr>
              <w:t>15</w:t>
            </w:r>
            <w:r>
              <w:rPr>
                <w:rFonts w:ascii="Times New Roman" w:hAnsi="Times New Roman" w:cs="Times New Roman"/>
                <w:bCs/>
                <w:color w:val="auto"/>
                <w:sz w:val="24"/>
                <w:u w:val="none"/>
              </w:rPr>
              <w:t>台风机，</w:t>
            </w:r>
            <w:r>
              <w:rPr>
                <w:rFonts w:ascii="Times New Roman" w:hAnsi="Times New Roman" w:cs="Times New Roman"/>
                <w:color w:val="auto"/>
                <w:sz w:val="24"/>
                <w:u w:val="none"/>
              </w:rPr>
              <w:t>每个风机占地面积相对较小，</w:t>
            </w:r>
            <w:r>
              <w:rPr>
                <w:rFonts w:ascii="Times New Roman" w:hAnsi="Times New Roman" w:cs="Times New Roman"/>
                <w:bCs/>
                <w:color w:val="auto"/>
                <w:sz w:val="24"/>
                <w:u w:val="none"/>
              </w:rPr>
              <w:t>且</w:t>
            </w:r>
            <w:r>
              <w:rPr>
                <w:rFonts w:ascii="Times New Roman" w:hAnsi="Times New Roman" w:cs="Times New Roman"/>
                <w:color w:val="auto"/>
                <w:sz w:val="24"/>
                <w:u w:val="none"/>
              </w:rPr>
              <w:t>位置较分散。因此，工程占地不会对野生动物生存造成威胁</w:t>
            </w:r>
            <w:r>
              <w:rPr>
                <w:rFonts w:ascii="Times New Roman" w:hAnsi="Times New Roman" w:cs="Times New Roman"/>
                <w:bCs/>
                <w:color w:val="auto"/>
                <w:sz w:val="24"/>
                <w:u w:val="none"/>
              </w:rPr>
              <w:t>。此外，工程周边的适宜生境较多，野生动物在受到占地的不利影响时可迁徙到附近区域活动。</w:t>
            </w:r>
          </w:p>
          <w:p w14:paraId="5A3434BC">
            <w:pPr>
              <w:pStyle w:val="87"/>
              <w:numPr>
                <w:ilvl w:val="0"/>
                <w:numId w:val="0"/>
              </w:numPr>
              <w:adjustRightInd w:val="0"/>
              <w:snapToGrid w:val="0"/>
              <w:ind w:firstLine="482" w:firstLineChars="200"/>
              <w:rPr>
                <w:b/>
                <w:color w:val="000000" w:themeColor="text1"/>
                <w:u w:val="none"/>
                <w14:textFill>
                  <w14:solidFill>
                    <w14:schemeClr w14:val="tx1"/>
                  </w14:solidFill>
                </w14:textFill>
              </w:rPr>
            </w:pPr>
            <w:r>
              <w:rPr>
                <w:rFonts w:hint="eastAsia"/>
                <w:b/>
                <w:color w:val="000000" w:themeColor="text1"/>
                <w:u w:val="none"/>
                <w:lang w:val="en-US" w:eastAsia="zh-CN"/>
                <w14:textFill>
                  <w14:solidFill>
                    <w14:schemeClr w14:val="tx1"/>
                  </w14:solidFill>
                </w14:textFill>
              </w:rPr>
              <w:t>2）</w:t>
            </w:r>
            <w:r>
              <w:rPr>
                <w:rFonts w:hint="eastAsia"/>
                <w:b/>
                <w:color w:val="000000" w:themeColor="text1"/>
                <w:u w:val="none"/>
                <w14:textFill>
                  <w14:solidFill>
                    <w14:schemeClr w14:val="tx1"/>
                  </w14:solidFill>
                </w14:textFill>
              </w:rPr>
              <w:t>施工道路修建对动物的影响</w:t>
            </w:r>
          </w:p>
          <w:p w14:paraId="628A2905">
            <w:pPr>
              <w:keepNext w:val="0"/>
              <w:keepLines w:val="0"/>
              <w:widowControl/>
              <w:suppressLineNumbers w:val="0"/>
              <w:ind w:firstLine="480" w:firstLineChars="200"/>
              <w:jc w:val="left"/>
            </w:pPr>
            <w:r>
              <w:rPr>
                <w:rFonts w:hint="default" w:ascii="Times New Roman" w:hAnsi="Times New Roman" w:eastAsia="宋体" w:cs="Times New Roman"/>
                <w:bCs/>
                <w:color w:val="000000"/>
                <w:kern w:val="2"/>
                <w:sz w:val="24"/>
                <w:szCs w:val="24"/>
                <w:u w:val="none"/>
                <w:lang w:val="en-US" w:eastAsia="zh-CN" w:bidi="ar"/>
              </w:rPr>
              <w:t>根据本风电场风机布置点位和现场踏勘了解，风机点位根据布置情况大致沿山脊从东北部向西南部分布。结合当地交通规划图，通过实地踏勘了解，本工程大件运输道路推荐如下： 风机厂家-国家各干线公路-高速G65-国道G209-县道X083-村村通公路-风电场场内临时施工检修道路-风机点位施工区。通过现场踏勘了解，高速、国道、省道、大部分县道基本可满足大件运输需求。部分县道、乡道及大件运输所经村村通道路路况较差，局部急转弯路段经加宽处理后可满足大件运输要求。整个风场改造和新建道路总长为39.50km。其中改造道路为局部条件较差的乡道或已有村村通道路，需改造长度约5.50km。</w:t>
            </w:r>
            <w:r>
              <w:rPr>
                <w:rFonts w:hint="default" w:ascii="Times New Roman" w:hAnsi="Times New Roman" w:eastAsia="宋体" w:cs="Times New Roman"/>
                <w:bCs/>
                <w:color w:val="000000" w:themeColor="text1"/>
                <w:kern w:val="2"/>
                <w:sz w:val="24"/>
                <w:szCs w:val="24"/>
                <w:u w:val="none"/>
                <w:lang w:val="en-US" w:eastAsia="zh-CN" w:bidi="ar"/>
                <w14:textFill>
                  <w14:solidFill>
                    <w14:schemeClr w14:val="tx1"/>
                  </w14:solidFill>
                </w14:textFill>
              </w:rPr>
              <w:t>道路路面宽4.5m，路基宽5.5m，采用 180mm厚山皮石道路。</w:t>
            </w:r>
            <w:r>
              <w:rPr>
                <w:rFonts w:hint="eastAsia" w:ascii="Times New Roman" w:hAnsi="Times New Roman" w:cs="Times New Roman"/>
                <w:bCs/>
                <w:color w:val="000000" w:themeColor="text1"/>
                <w:sz w:val="24"/>
                <w:u w:val="none"/>
                <w14:textFill>
                  <w14:solidFill>
                    <w14:schemeClr w14:val="tx1"/>
                  </w14:solidFill>
                </w14:textFill>
              </w:rPr>
              <w:t>实际占用临时用地</w:t>
            </w:r>
            <w:r>
              <w:rPr>
                <w:rFonts w:hint="default" w:cs="Times New Roman"/>
                <w:bCs/>
                <w:color w:val="000000" w:themeColor="text1"/>
                <w:sz w:val="24"/>
                <w:u w:val="none"/>
                <w:lang w:val="en-US" w:eastAsia="zh-CN"/>
                <w14:textFill>
                  <w14:solidFill>
                    <w14:schemeClr w14:val="tx1"/>
                  </w14:solidFill>
                </w14:textFill>
              </w:rPr>
              <w:t>55.1</w:t>
            </w:r>
            <w:r>
              <w:rPr>
                <w:rFonts w:hint="eastAsia" w:ascii="Times New Roman" w:hAnsi="Times New Roman" w:cs="Times New Roman"/>
                <w:bCs/>
                <w:color w:val="000000" w:themeColor="text1"/>
                <w:sz w:val="24"/>
                <w:u w:val="none"/>
                <w14:textFill>
                  <w14:solidFill>
                    <w14:schemeClr w14:val="tx1"/>
                  </w14:solidFill>
                </w14:textFill>
              </w:rPr>
              <w:t>hm</w:t>
            </w:r>
            <w:r>
              <w:rPr>
                <w:rFonts w:hint="default" w:ascii="Times New Roman" w:hAnsi="Times New Roman" w:cs="Times New Roman"/>
                <w:bCs/>
                <w:color w:val="000000" w:themeColor="text1"/>
                <w:sz w:val="24"/>
                <w:u w:val="none"/>
                <w:vertAlign w:val="superscript"/>
                <w:lang w:val="en-US" w:eastAsia="zh-CN"/>
                <w14:textFill>
                  <w14:solidFill>
                    <w14:schemeClr w14:val="tx1"/>
                  </w14:solidFill>
                </w14:textFill>
              </w:rPr>
              <w:t>2</w:t>
            </w:r>
            <w:r>
              <w:rPr>
                <w:rFonts w:ascii="Times New Roman" w:hAnsi="Times New Roman" w:cs="Times New Roman"/>
                <w:bCs/>
                <w:color w:val="000000" w:themeColor="text1"/>
                <w:sz w:val="24"/>
                <w:u w:val="none"/>
                <w14:textFill>
                  <w14:solidFill>
                    <w14:schemeClr w14:val="tx1"/>
                  </w14:solidFill>
                </w14:textFill>
              </w:rPr>
              <w:t>。施工道路的建设在施工期对野生动物的影响主要有：生境丧失及生境片段化和活动阻隔的影响。</w:t>
            </w:r>
          </w:p>
          <w:p w14:paraId="0AAF564D">
            <w:pPr>
              <w:adjustRightInd w:val="0"/>
              <w:snapToGrid w:val="0"/>
              <w:spacing w:line="360" w:lineRule="auto"/>
              <w:ind w:firstLine="480" w:firstLineChars="200"/>
              <w:rPr>
                <w:rFonts w:ascii="Times New Roman" w:hAnsi="Times New Roman" w:cs="Times New Roman"/>
                <w:bCs/>
                <w:color w:val="000000" w:themeColor="text1"/>
                <w:sz w:val="24"/>
                <w:u w:val="none"/>
                <w14:textFill>
                  <w14:solidFill>
                    <w14:schemeClr w14:val="tx1"/>
                  </w14:solidFill>
                </w14:textFill>
              </w:rPr>
            </w:pPr>
            <w:r>
              <w:rPr>
                <w:rFonts w:ascii="Times New Roman" w:hAnsi="Times New Roman" w:cs="Times New Roman"/>
                <w:bCs/>
                <w:color w:val="000000" w:themeColor="text1"/>
                <w:sz w:val="24"/>
                <w:u w:val="none"/>
                <w14:textFill>
                  <w14:solidFill>
                    <w14:schemeClr w14:val="tx1"/>
                  </w14:solidFill>
                </w14:textFill>
              </w:rPr>
              <w:t>生境丧失及生境片段化的影响：施工道路的占地伴随着两栖、爬行动物生境的丧失、生境的片段化，两栖爬行动物被迫寻找新的生活环境，从而加剧种内种间竞争。片段化的两栖爬行动物的生境，使其觅食范围、活动区域减少，对其栖息、觅食、求偶繁殖等有一定的影响，但两栖动物具有一定的迁移能力，且工程占地面积较小，周围分布有大量的林地、灌丛、草地等适宜生境，为避开不利影响，一般会向附近适宜生境中迁移。同时，随着施工区植被恢复、水土保持等工程的实施，原有栖息地将会得到部分恢复。因此，施工道路的修建对两栖爬行动物的影响不大。施工道路的修建会使得鸟类、兽类的部分生境被占用，但鸟类、兽类的迁移能力较强，且道路周围类似生境较多，其可以迁往其他适宜其栖息、觅食、求偶繁殖等活动区生境，故施工道路的修建对鸟类和兽类的影响不大。</w:t>
            </w:r>
          </w:p>
          <w:p w14:paraId="2AFD8CF2">
            <w:pPr>
              <w:adjustRightInd w:val="0"/>
              <w:snapToGrid w:val="0"/>
              <w:spacing w:line="360" w:lineRule="auto"/>
              <w:ind w:firstLine="480" w:firstLineChars="200"/>
              <w:rPr>
                <w:rFonts w:ascii="Times New Roman" w:hAnsi="Times New Roman" w:cs="Times New Roman"/>
                <w:bCs/>
                <w:color w:val="FF0000"/>
                <w:sz w:val="24"/>
                <w:u w:val="none"/>
              </w:rPr>
            </w:pPr>
            <w:r>
              <w:rPr>
                <w:rFonts w:ascii="Times New Roman" w:hAnsi="Times New Roman" w:cs="Times New Roman"/>
                <w:bCs/>
                <w:color w:val="000000" w:themeColor="text1"/>
                <w:sz w:val="24"/>
                <w:u w:val="none"/>
                <w14:textFill>
                  <w14:solidFill>
                    <w14:schemeClr w14:val="tx1"/>
                  </w14:solidFill>
                </w14:textFill>
              </w:rPr>
              <w:t>对动物活动的阻隔影响：施工道路修建时材料运输车辆通行，以及公路本身，阻断了两边动物的正常交流，对其觅食、求偶繁殖等活动有一定的影响，可能造成其种群数量的下降。这类影响也主要是针对运动能力较弱的两栖、爬行类动物。由于本项目施工期短，施工结束后会对破坏的动物生境进行恢复，且施工道路路面为山皮石路面，施工结束后通行车辆较少，一些草本植被可以自然生长。因此，动物生境丧失及生境片段化、公路的阻隔作用对动物的影响不大。</w:t>
            </w:r>
          </w:p>
          <w:p w14:paraId="3EEA99E3">
            <w:pPr>
              <w:pStyle w:val="87"/>
              <w:numPr>
                <w:ilvl w:val="-1"/>
                <w:numId w:val="0"/>
              </w:numPr>
              <w:adjustRightInd w:val="0"/>
              <w:snapToGrid w:val="0"/>
              <w:ind w:left="240" w:leftChars="0" w:firstLine="241" w:firstLineChars="100"/>
              <w:rPr>
                <w:b/>
                <w:color w:val="000000" w:themeColor="text1"/>
                <w:u w:val="none"/>
                <w14:textFill>
                  <w14:solidFill>
                    <w14:schemeClr w14:val="tx1"/>
                  </w14:solidFill>
                </w14:textFill>
              </w:rPr>
            </w:pPr>
            <w:r>
              <w:rPr>
                <w:rFonts w:hint="eastAsia"/>
                <w:b/>
                <w:color w:val="000000" w:themeColor="text1"/>
                <w:u w:val="none"/>
                <w:lang w:val="en-US" w:eastAsia="zh-CN"/>
                <w14:textFill>
                  <w14:solidFill>
                    <w14:schemeClr w14:val="tx1"/>
                  </w14:solidFill>
                </w14:textFill>
              </w:rPr>
              <w:t>1）</w:t>
            </w:r>
            <w:r>
              <w:rPr>
                <w:b/>
                <w:color w:val="000000" w:themeColor="text1"/>
                <w:u w:val="none"/>
                <w14:textFill>
                  <w14:solidFill>
                    <w14:schemeClr w14:val="tx1"/>
                  </w14:solidFill>
                </w14:textFill>
              </w:rPr>
              <w:t>施工时的噪音对野生动物的影响</w:t>
            </w:r>
          </w:p>
          <w:p w14:paraId="033E8D7B">
            <w:pPr>
              <w:adjustRightInd w:val="0"/>
              <w:snapToGrid w:val="0"/>
              <w:spacing w:line="360" w:lineRule="auto"/>
              <w:ind w:firstLine="480" w:firstLineChars="200"/>
              <w:rPr>
                <w:rFonts w:ascii="Times New Roman" w:hAnsi="Times New Roman" w:cs="Times New Roman"/>
                <w:color w:val="000000" w:themeColor="text1"/>
                <w:kern w:val="0"/>
                <w:sz w:val="24"/>
                <w:u w:val="none"/>
                <w14:textFill>
                  <w14:solidFill>
                    <w14:schemeClr w14:val="tx1"/>
                  </w14:solidFill>
                </w14:textFill>
              </w:rPr>
            </w:pPr>
            <w:r>
              <w:rPr>
                <w:rFonts w:ascii="Times New Roman" w:hAnsi="Times New Roman" w:cs="Times New Roman"/>
                <w:color w:val="000000" w:themeColor="text1"/>
                <w:kern w:val="0"/>
                <w:sz w:val="24"/>
                <w:u w:val="none"/>
                <w14:textFill>
                  <w14:solidFill>
                    <w14:schemeClr w14:val="tx1"/>
                  </w14:solidFill>
                </w14:textFill>
              </w:rPr>
              <w:t>施工过程中噪声主要来自施工机械、交通运输工具等，产生的噪音在60</w:t>
            </w:r>
            <w:r>
              <w:rPr>
                <w:rFonts w:ascii="Times New Roman" w:hAnsi="Times New Roman" w:cs="Times New Roman"/>
                <w:color w:val="000000" w:themeColor="text1"/>
                <w:sz w:val="24"/>
                <w:u w:val="none"/>
                <w14:textFill>
                  <w14:solidFill>
                    <w14:schemeClr w14:val="tx1"/>
                  </w14:solidFill>
                </w14:textFill>
              </w:rPr>
              <w:t>～105 dB（A）</w:t>
            </w:r>
            <w:r>
              <w:rPr>
                <w:rFonts w:ascii="Times New Roman" w:hAnsi="Times New Roman" w:cs="Times New Roman"/>
                <w:color w:val="000000" w:themeColor="text1"/>
                <w:kern w:val="0"/>
                <w:sz w:val="24"/>
                <w:u w:val="none"/>
                <w14:textFill>
                  <w14:solidFill>
                    <w14:schemeClr w14:val="tx1"/>
                  </w14:solidFill>
                </w14:textFill>
              </w:rPr>
              <w:t>。</w:t>
            </w:r>
          </w:p>
          <w:p w14:paraId="0FCB93B4">
            <w:pPr>
              <w:autoSpaceDE w:val="0"/>
              <w:autoSpaceDN w:val="0"/>
              <w:adjustRightInd w:val="0"/>
              <w:spacing w:line="360" w:lineRule="auto"/>
              <w:ind w:firstLine="480" w:firstLineChars="200"/>
              <w:rPr>
                <w:rFonts w:hint="eastAsia" w:ascii="Times New Roman" w:hAnsi="Times New Roman" w:eastAsia="宋体" w:cs="Times New Roman"/>
                <w:color w:val="000000" w:themeColor="text1"/>
                <w:sz w:val="24"/>
                <w:u w:val="none"/>
                <w:lang w:eastAsia="zh-CN"/>
                <w14:textFill>
                  <w14:solidFill>
                    <w14:schemeClr w14:val="tx1"/>
                  </w14:solidFill>
                </w14:textFill>
              </w:rPr>
            </w:pPr>
            <w:r>
              <w:rPr>
                <w:rFonts w:ascii="Times New Roman" w:hAnsi="Times New Roman" w:cs="Times New Roman"/>
                <w:color w:val="000000" w:themeColor="text1"/>
                <w:sz w:val="24"/>
                <w:u w:val="none"/>
                <w14:textFill>
                  <w14:solidFill>
                    <w14:schemeClr w14:val="tx1"/>
                  </w14:solidFill>
                </w14:textFill>
              </w:rPr>
              <w:t>根据相关研究（辜小安，1999），通常鸟类栖息地意外背景噪声（如树叶摇动等）平均为45 dB（A），当等效连续A声级L</w:t>
            </w:r>
            <w:r>
              <w:rPr>
                <w:rFonts w:ascii="Times New Roman" w:hAnsi="Times New Roman" w:cs="Times New Roman"/>
                <w:color w:val="000000" w:themeColor="text1"/>
                <w:sz w:val="24"/>
                <w:u w:val="none"/>
                <w:vertAlign w:val="subscript"/>
                <w14:textFill>
                  <w14:solidFill>
                    <w14:schemeClr w14:val="tx1"/>
                  </w14:solidFill>
                </w14:textFill>
              </w:rPr>
              <w:t>Aeq</w:t>
            </w:r>
            <w:r>
              <w:rPr>
                <w:rFonts w:hint="eastAsia" w:cs="Times New Roman"/>
                <w:color w:val="000000" w:themeColor="text1"/>
                <w:sz w:val="24"/>
                <w:u w:val="none"/>
                <w:lang w:eastAsia="zh-CN"/>
                <w14:textFill>
                  <w14:solidFill>
                    <w14:schemeClr w14:val="tx1"/>
                  </w14:solidFill>
                </w14:textFill>
              </w:rPr>
              <w:t>，</w:t>
            </w:r>
            <w:r>
              <w:rPr>
                <w:rFonts w:ascii="Times New Roman" w:hAnsi="Times New Roman" w:cs="Times New Roman"/>
                <w:color w:val="000000" w:themeColor="text1"/>
                <w:sz w:val="24"/>
                <w:u w:val="none"/>
                <w14:textFill>
                  <w14:solidFill>
                    <w14:schemeClr w14:val="tx1"/>
                  </w14:solidFill>
                </w14:textFill>
              </w:rPr>
              <w:t>24h超过50 dB（A），可能对鸟类的栖息和繁殖产生影响。根据</w:t>
            </w:r>
            <w:r>
              <w:rPr>
                <w:rFonts w:ascii="Times New Roman" w:hAnsi="Times New Roman" w:cs="Times New Roman"/>
                <w:color w:val="000000" w:themeColor="text1"/>
                <w:kern w:val="0"/>
                <w:sz w:val="24"/>
                <w:u w:val="none"/>
                <w14:textFill>
                  <w14:solidFill>
                    <w14:schemeClr w14:val="tx1"/>
                  </w14:solidFill>
                </w14:textFill>
              </w:rPr>
              <w:t>施工设备噪声随距离衰减的预测结果，同时</w:t>
            </w:r>
            <w:r>
              <w:rPr>
                <w:rFonts w:ascii="Times New Roman" w:hAnsi="Times New Roman" w:cs="Times New Roman"/>
                <w:color w:val="000000" w:themeColor="text1"/>
                <w:sz w:val="24"/>
                <w:u w:val="none"/>
                <w14:textFill>
                  <w14:solidFill>
                    <w14:schemeClr w14:val="tx1"/>
                  </w14:solidFill>
                </w14:textFill>
              </w:rPr>
              <w:t>考虑到周边植被等遮挡物的原因，预测施工噪声会对周边400 m以内范围的鸟类栖息都会产生一定干扰，迫使鸟类远离施工区域，造成短期内项目区鸟类分布的种类、数量等发生变化。此外，考虑到本工程的施工期为12个月（包括2个月的工程筹建期），可见在大多数鸟类的繁殖月份（3～6月）仍有施工活动，施工产生的噪音对附近鸟类的繁殖产生不利影响。但由于鸟类的迁徙能力强，在受到不利影响时，可以迁徙到施工区周边的适宜生境中，从而避开施工噪声对其的影响</w:t>
            </w:r>
            <w:r>
              <w:rPr>
                <w:rFonts w:hint="eastAsia" w:cs="Times New Roman"/>
                <w:color w:val="000000" w:themeColor="text1"/>
                <w:sz w:val="24"/>
                <w:u w:val="none"/>
                <w:lang w:eastAsia="zh-CN"/>
                <w14:textFill>
                  <w14:solidFill>
                    <w14:schemeClr w14:val="tx1"/>
                  </w14:solidFill>
                </w14:textFill>
              </w:rPr>
              <w:t>。</w:t>
            </w:r>
          </w:p>
          <w:p w14:paraId="3720E240">
            <w:pPr>
              <w:autoSpaceDE w:val="0"/>
              <w:autoSpaceDN w:val="0"/>
              <w:adjustRightInd w:val="0"/>
              <w:spacing w:line="360" w:lineRule="auto"/>
              <w:ind w:firstLine="480" w:firstLineChars="200"/>
              <w:rPr>
                <w:rFonts w:ascii="Times New Roman" w:hAnsi="Times New Roman" w:cs="Times New Roman"/>
                <w:color w:val="000000" w:themeColor="text1"/>
                <w:sz w:val="24"/>
                <w:u w:val="none"/>
                <w14:textFill>
                  <w14:solidFill>
                    <w14:schemeClr w14:val="tx1"/>
                  </w14:solidFill>
                </w14:textFill>
              </w:rPr>
            </w:pPr>
            <w:r>
              <w:rPr>
                <w:rFonts w:ascii="Times New Roman" w:hAnsi="Times New Roman" w:cs="Times New Roman"/>
                <w:color w:val="000000" w:themeColor="text1"/>
                <w:sz w:val="24"/>
                <w:u w:val="none"/>
                <w14:textFill>
                  <w14:solidFill>
                    <w14:schemeClr w14:val="tx1"/>
                  </w14:solidFill>
                </w14:textFill>
              </w:rPr>
              <w:t>除鸟类之外，还分布有两栖动物、爬行动物和兽类，噪声的干扰可能对其造成不利影响。由于工程施工时间短、各风机设置点分散，这些不利影响会将随施工的结束而逐渐消失。</w:t>
            </w:r>
          </w:p>
          <w:p w14:paraId="3EC3272F">
            <w:pPr>
              <w:pStyle w:val="87"/>
              <w:numPr>
                <w:ilvl w:val="0"/>
                <w:numId w:val="0"/>
              </w:numPr>
              <w:adjustRightInd w:val="0"/>
              <w:snapToGrid w:val="0"/>
              <w:ind w:left="0" w:leftChars="0" w:firstLine="482" w:firstLineChars="200"/>
              <w:rPr>
                <w:b/>
                <w:color w:val="000000" w:themeColor="text1"/>
                <w:u w:val="none"/>
                <w14:textFill>
                  <w14:solidFill>
                    <w14:schemeClr w14:val="tx1"/>
                  </w14:solidFill>
                </w14:textFill>
              </w:rPr>
            </w:pPr>
            <w:r>
              <w:rPr>
                <w:rFonts w:hint="eastAsia"/>
                <w:b/>
                <w:color w:val="000000" w:themeColor="text1"/>
                <w:u w:val="none"/>
                <w:lang w:val="en-US" w:eastAsia="zh-CN"/>
                <w14:textFill>
                  <w14:solidFill>
                    <w14:schemeClr w14:val="tx1"/>
                  </w14:solidFill>
                </w14:textFill>
              </w:rPr>
              <w:t>2）</w:t>
            </w:r>
            <w:r>
              <w:rPr>
                <w:b/>
                <w:color w:val="000000" w:themeColor="text1"/>
                <w:u w:val="none"/>
                <w14:textFill>
                  <w14:solidFill>
                    <w14:schemeClr w14:val="tx1"/>
                  </w14:solidFill>
                </w14:textFill>
              </w:rPr>
              <w:t>施工污染物对动物的影响</w:t>
            </w:r>
          </w:p>
          <w:p w14:paraId="072990BA">
            <w:pPr>
              <w:adjustRightInd w:val="0"/>
              <w:snapToGrid w:val="0"/>
              <w:spacing w:line="360" w:lineRule="auto"/>
              <w:ind w:firstLine="480" w:firstLineChars="200"/>
              <w:rPr>
                <w:rFonts w:ascii="Times New Roman" w:hAnsi="Times New Roman" w:cs="Times New Roman"/>
                <w:color w:val="000000" w:themeColor="text1"/>
                <w:kern w:val="0"/>
                <w:sz w:val="24"/>
                <w:u w:val="none"/>
                <w14:textFill>
                  <w14:solidFill>
                    <w14:schemeClr w14:val="tx1"/>
                  </w14:solidFill>
                </w14:textFill>
              </w:rPr>
            </w:pPr>
            <w:r>
              <w:rPr>
                <w:rFonts w:ascii="Times New Roman" w:hAnsi="Times New Roman" w:cs="Times New Roman"/>
                <w:color w:val="000000" w:themeColor="text1"/>
                <w:kern w:val="0"/>
                <w:sz w:val="24"/>
                <w:u w:val="none"/>
                <w14:textFill>
                  <w14:solidFill>
                    <w14:schemeClr w14:val="tx1"/>
                  </w14:solidFill>
                </w14:textFill>
              </w:rPr>
              <w:t>施工期间，施工污染物主要包括施工废水，来自机械设备及车辆的清洗污水，施工废水中的主要污染物有SS和石油类；生活污水，来自施工人员，生活污水中主要污染物是SS、COD</w:t>
            </w:r>
            <w:r>
              <w:rPr>
                <w:rFonts w:ascii="Times New Roman" w:hAnsi="Times New Roman" w:cs="Times New Roman"/>
                <w:color w:val="000000" w:themeColor="text1"/>
                <w:kern w:val="0"/>
                <w:sz w:val="24"/>
                <w:u w:val="none"/>
                <w:vertAlign w:val="subscript"/>
                <w14:textFill>
                  <w14:solidFill>
                    <w14:schemeClr w14:val="tx1"/>
                  </w14:solidFill>
                </w14:textFill>
              </w:rPr>
              <w:t>Cr</w:t>
            </w:r>
            <w:r>
              <w:rPr>
                <w:rFonts w:ascii="Times New Roman" w:hAnsi="Times New Roman" w:cs="Times New Roman"/>
                <w:color w:val="000000" w:themeColor="text1"/>
                <w:kern w:val="0"/>
                <w:sz w:val="24"/>
                <w:u w:val="none"/>
                <w14:textFill>
                  <w14:solidFill>
                    <w14:schemeClr w14:val="tx1"/>
                  </w14:solidFill>
                </w14:textFill>
              </w:rPr>
              <w:t>；粉尘，来自施工现场、未完工场地、堆场、进出工地车辆等敞开源的粉尘污染和动力机械、运输车辆排放的燃油尾气；施工弃渣，来自于土石方开挖，基本上属无毒害的天然风化物；生活垃圾，来自施工人员。</w:t>
            </w:r>
          </w:p>
          <w:p w14:paraId="3D177270">
            <w:pPr>
              <w:adjustRightInd w:val="0"/>
              <w:snapToGrid w:val="0"/>
              <w:spacing w:line="360" w:lineRule="auto"/>
              <w:ind w:firstLine="480" w:firstLineChars="200"/>
              <w:rPr>
                <w:rFonts w:ascii="Times New Roman" w:hAnsi="Times New Roman" w:cs="Times New Roman"/>
                <w:color w:val="000000" w:themeColor="text1"/>
                <w:kern w:val="0"/>
                <w:sz w:val="24"/>
                <w:u w:val="none"/>
                <w14:textFill>
                  <w14:solidFill>
                    <w14:schemeClr w14:val="tx1"/>
                  </w14:solidFill>
                </w14:textFill>
              </w:rPr>
            </w:pPr>
            <w:r>
              <w:rPr>
                <w:rFonts w:ascii="Times New Roman" w:hAnsi="Times New Roman" w:cs="Times New Roman"/>
                <w:color w:val="000000" w:themeColor="text1"/>
                <w:kern w:val="0"/>
                <w:sz w:val="24"/>
                <w:u w:val="none"/>
                <w14:textFill>
                  <w14:solidFill>
                    <w14:schemeClr w14:val="tx1"/>
                  </w14:solidFill>
                </w14:textFill>
              </w:rPr>
              <w:t>施工期间，施工污染物若随意排放，会对评价区内的生态环境造成污染，降低陆生脊椎动物栖息地的质量，迫使野生动物向附近区域移动，改变了区域陆生脊椎动物的分布格局，但不会造成物种消失。</w:t>
            </w:r>
          </w:p>
          <w:p w14:paraId="07668558">
            <w:pPr>
              <w:pStyle w:val="87"/>
              <w:numPr>
                <w:ilvl w:val="0"/>
                <w:numId w:val="0"/>
              </w:numPr>
              <w:adjustRightInd w:val="0"/>
              <w:snapToGrid w:val="0"/>
              <w:ind w:left="664" w:leftChars="199" w:hanging="186" w:hangingChars="77"/>
              <w:rPr>
                <w:b/>
                <w:color w:val="000000" w:themeColor="text1"/>
                <w:kern w:val="0"/>
                <w:u w:val="none"/>
                <w14:textFill>
                  <w14:solidFill>
                    <w14:schemeClr w14:val="tx1"/>
                  </w14:solidFill>
                </w14:textFill>
              </w:rPr>
            </w:pPr>
            <w:r>
              <w:rPr>
                <w:rFonts w:hint="eastAsia" w:cs="Times New Roman"/>
                <w:b/>
                <w:color w:val="000000" w:themeColor="text1"/>
                <w:kern w:val="0"/>
                <w:sz w:val="24"/>
                <w:szCs w:val="24"/>
                <w:lang w:val="en-US" w:eastAsia="zh-CN" w:bidi="ar-SA"/>
                <w14:textFill>
                  <w14:solidFill>
                    <w14:schemeClr w14:val="tx1"/>
                  </w14:solidFill>
                </w14:textFill>
              </w:rPr>
              <w:t>3）</w:t>
            </w:r>
            <w:r>
              <w:rPr>
                <w:b/>
                <w:color w:val="000000" w:themeColor="text1"/>
                <w:u w:val="none"/>
                <w14:textFill>
                  <w14:solidFill>
                    <w14:schemeClr w14:val="tx1"/>
                  </w14:solidFill>
                </w14:textFill>
              </w:rPr>
              <w:t>人为干扰对动物的影响</w:t>
            </w:r>
          </w:p>
          <w:p w14:paraId="29FF9CF8">
            <w:pPr>
              <w:adjustRightInd w:val="0"/>
              <w:snapToGrid w:val="0"/>
              <w:spacing w:line="360" w:lineRule="auto"/>
              <w:ind w:firstLine="480" w:firstLineChars="200"/>
              <w:rPr>
                <w:rFonts w:ascii="Times New Roman" w:hAnsi="Times New Roman" w:cs="Times New Roman"/>
                <w:color w:val="000000" w:themeColor="text1"/>
                <w:kern w:val="0"/>
                <w:sz w:val="24"/>
                <w:u w:val="none"/>
                <w14:textFill>
                  <w14:solidFill>
                    <w14:schemeClr w14:val="tx1"/>
                  </w14:solidFill>
                </w14:textFill>
              </w:rPr>
            </w:pPr>
            <w:r>
              <w:rPr>
                <w:rFonts w:ascii="Times New Roman" w:hAnsi="Times New Roman" w:cs="Times New Roman"/>
                <w:color w:val="000000" w:themeColor="text1"/>
                <w:kern w:val="0"/>
                <w:sz w:val="24"/>
                <w:u w:val="none"/>
                <w14:textFill>
                  <w14:solidFill>
                    <w14:schemeClr w14:val="tx1"/>
                  </w14:solidFill>
                </w14:textFill>
              </w:rPr>
              <w:t>工程施工期间，施工人员可能对一些有经济价值、观赏价值和食用价值的动物进行捕杀，如一些两栖纲的蛙类、爬行纲的蛇类、鸟纲的鸡形目、雀形目等种类、兽纲食肉目、鲸偶蹄目等种类，将造成动物种群数量的减少。对于这种干扰，</w:t>
            </w:r>
            <w:r>
              <w:rPr>
                <w:rFonts w:ascii="Times New Roman" w:hAnsi="Times New Roman" w:cs="Times New Roman"/>
                <w:bCs/>
                <w:color w:val="000000" w:themeColor="text1"/>
                <w:kern w:val="0"/>
                <w:sz w:val="24"/>
                <w:u w:val="none"/>
                <w14:textFill>
                  <w14:solidFill>
                    <w14:schemeClr w14:val="tx1"/>
                  </w14:solidFill>
                </w14:textFill>
              </w:rPr>
              <w:t>必须通过加强法律宣传教育和严格的惩罚制度以及明令禁止的方式进行约束</w:t>
            </w:r>
            <w:r>
              <w:rPr>
                <w:rFonts w:ascii="Times New Roman" w:hAnsi="Times New Roman" w:cs="Times New Roman"/>
                <w:color w:val="000000" w:themeColor="text1"/>
                <w:kern w:val="0"/>
                <w:sz w:val="24"/>
                <w:u w:val="none"/>
                <w14:textFill>
                  <w14:solidFill>
                    <w14:schemeClr w14:val="tx1"/>
                  </w14:solidFill>
                </w14:textFill>
              </w:rPr>
              <w:t>，从而减轻或避免工程施工过程中人为干扰对野生动物的影响。</w:t>
            </w:r>
          </w:p>
          <w:p w14:paraId="24CC0E0C">
            <w:pPr>
              <w:spacing w:line="360" w:lineRule="auto"/>
              <w:ind w:firstLine="480" w:firstLineChars="200"/>
              <w:rPr>
                <w:rFonts w:ascii="Times New Roman" w:hAnsi="Times New Roman" w:cs="Times New Roman"/>
                <w:color w:val="FF0000"/>
                <w:sz w:val="24"/>
                <w:u w:val="none"/>
              </w:rPr>
            </w:pPr>
            <w:r>
              <w:rPr>
                <w:rFonts w:ascii="Times New Roman" w:hAnsi="Times New Roman" w:cs="Times New Roman"/>
                <w:color w:val="000000" w:themeColor="text1"/>
                <w:kern w:val="0"/>
                <w:sz w:val="24"/>
                <w:u w:val="none"/>
                <w14:textFill>
                  <w14:solidFill>
                    <w14:schemeClr w14:val="tx1"/>
                  </w14:solidFill>
                </w14:textFill>
              </w:rPr>
              <w:t>以上分析表明，本项目在施工期对野生动物影响较小，且影响时间相对较短，对动物的影响将随着施工的结束和临时占地植被的恢复而缓解乃至消失。</w:t>
            </w:r>
          </w:p>
          <w:p w14:paraId="43F7418C">
            <w:pPr>
              <w:pStyle w:val="4"/>
              <w:ind w:firstLine="482" w:firstLineChars="200"/>
              <w:rPr>
                <w:color w:val="000000" w:themeColor="text1"/>
                <w:u w:val="none"/>
                <w14:textFill>
                  <w14:solidFill>
                    <w14:schemeClr w14:val="tx1"/>
                  </w14:solidFill>
                </w14:textFill>
              </w:rPr>
            </w:pPr>
            <w:bookmarkStart w:id="113" w:name="_Toc119425316"/>
            <w:r>
              <w:rPr>
                <w:rFonts w:hint="eastAsia"/>
                <w:color w:val="000000" w:themeColor="text1"/>
                <w:u w:val="none"/>
                <w:lang w:val="en-US" w:eastAsia="zh-CN"/>
                <w14:textFill>
                  <w14:solidFill>
                    <w14:schemeClr w14:val="tx1"/>
                  </w14:solidFill>
                </w14:textFill>
              </w:rPr>
              <w:t>（四）</w:t>
            </w:r>
            <w:r>
              <w:rPr>
                <w:color w:val="000000" w:themeColor="text1"/>
                <w:u w:val="none"/>
                <w14:textFill>
                  <w14:solidFill>
                    <w14:schemeClr w14:val="tx1"/>
                  </w14:solidFill>
                </w14:textFill>
              </w:rPr>
              <w:t>对重点保护野生动物的影响</w:t>
            </w:r>
            <w:bookmarkEnd w:id="113"/>
          </w:p>
          <w:p w14:paraId="6690B869">
            <w:pPr>
              <w:adjustRightInd w:val="0"/>
              <w:snapToGrid w:val="0"/>
              <w:spacing w:line="360" w:lineRule="auto"/>
              <w:ind w:firstLine="480" w:firstLineChars="200"/>
              <w:rPr>
                <w:rFonts w:ascii="Times New Roman" w:hAnsi="Times New Roman" w:cs="Times New Roman"/>
                <w:color w:val="000000" w:themeColor="text1"/>
                <w:sz w:val="24"/>
                <w:u w:val="none"/>
                <w14:textFill>
                  <w14:solidFill>
                    <w14:schemeClr w14:val="tx1"/>
                  </w14:solidFill>
                </w14:textFill>
              </w:rPr>
            </w:pPr>
            <w:r>
              <w:rPr>
                <w:rFonts w:hint="eastAsia" w:ascii="Times New Roman" w:hAnsi="Times New Roman" w:cs="Times New Roman"/>
                <w:color w:val="000000" w:themeColor="text1"/>
                <w:sz w:val="24"/>
                <w:u w:val="none"/>
                <w14:textFill>
                  <w14:solidFill>
                    <w14:schemeClr w14:val="tx1"/>
                  </w14:solidFill>
                </w14:textFill>
              </w:rPr>
              <w:t>评价区国家重点保护野生动物共</w:t>
            </w:r>
            <w:r>
              <w:rPr>
                <w:rFonts w:hint="eastAsia" w:cs="Times New Roman"/>
                <w:color w:val="000000" w:themeColor="text1"/>
                <w:sz w:val="24"/>
                <w:u w:val="none"/>
                <w:lang w:val="en-US" w:eastAsia="zh-CN"/>
                <w14:textFill>
                  <w14:solidFill>
                    <w14:schemeClr w14:val="tx1"/>
                  </w14:solidFill>
                </w14:textFill>
              </w:rPr>
              <w:t>2</w:t>
            </w:r>
            <w:r>
              <w:rPr>
                <w:rFonts w:hint="eastAsia" w:ascii="Times New Roman" w:hAnsi="Times New Roman" w:cs="Times New Roman"/>
                <w:color w:val="000000" w:themeColor="text1"/>
                <w:sz w:val="24"/>
                <w:u w:val="none"/>
                <w14:textFill>
                  <w14:solidFill>
                    <w14:schemeClr w14:val="tx1"/>
                  </w14:solidFill>
                </w14:textFill>
              </w:rPr>
              <w:t>种，均为鸟类和国家Ⅱ级，</w:t>
            </w:r>
            <w:r>
              <w:rPr>
                <w:rFonts w:ascii="Times New Roman" w:hAnsi="Times New Roman" w:cs="Times New Roman"/>
                <w:color w:val="000000" w:themeColor="text1"/>
                <w:sz w:val="24"/>
                <w:u w:val="none"/>
                <w14:textFill>
                  <w14:solidFill>
                    <w14:schemeClr w14:val="tx1"/>
                  </w14:solidFill>
                </w14:textFill>
              </w:rPr>
              <w:t>工程施工对其影响主要是噪声影响和占地影响，施工噪声干扰会使他们远离施工区，在其他地方寻找新的活动觅食场所、工程占地也会导致野生动物的栖息地和活动范围减小或者割裂。工程影响区附近的生境类似，这些野生动物很容易在其他区域寻找到新的活动场所，因此工程对其影响较小。</w:t>
            </w:r>
          </w:p>
          <w:p w14:paraId="4F24ADF9">
            <w:pPr>
              <w:adjustRightInd w:val="0"/>
              <w:snapToGrid w:val="0"/>
              <w:ind w:firstLine="482"/>
              <w:rPr>
                <w:b/>
                <w:color w:val="000000" w:themeColor="text1"/>
                <w:u w:val="none"/>
                <w14:textFill>
                  <w14:solidFill>
                    <w14:schemeClr w14:val="tx1"/>
                  </w14:solidFill>
                </w14:textFill>
              </w:rPr>
            </w:pPr>
            <w:r>
              <w:rPr>
                <w:b/>
                <w:color w:val="000000" w:themeColor="text1"/>
                <w:u w:val="none"/>
                <w14:textFill>
                  <w14:solidFill>
                    <w14:schemeClr w14:val="tx1"/>
                  </w14:solidFill>
                </w14:textFill>
              </w:rPr>
              <w:t>（1）</w:t>
            </w:r>
            <w:bookmarkStart w:id="114" w:name="_Toc322593921"/>
            <w:bookmarkStart w:id="115" w:name="_Toc342465760"/>
            <w:r>
              <w:rPr>
                <w:b/>
                <w:color w:val="000000" w:themeColor="text1"/>
                <w:u w:val="none"/>
                <w14:textFill>
                  <w14:solidFill>
                    <w14:schemeClr w14:val="tx1"/>
                  </w14:solidFill>
                </w14:textFill>
              </w:rPr>
              <w:t>对国家重点保护野生动物的影响</w:t>
            </w:r>
            <w:bookmarkEnd w:id="114"/>
            <w:bookmarkEnd w:id="115"/>
          </w:p>
          <w:p w14:paraId="37685B3A">
            <w:pPr>
              <w:adjustRightInd w:val="0"/>
              <w:snapToGrid w:val="0"/>
              <w:spacing w:line="360" w:lineRule="auto"/>
              <w:ind w:firstLine="480" w:firstLineChars="200"/>
              <w:rPr>
                <w:rFonts w:ascii="Times New Roman" w:hAnsi="Times New Roman" w:cs="Times New Roman"/>
                <w:color w:val="000000" w:themeColor="text1"/>
                <w:sz w:val="24"/>
                <w:u w:val="none"/>
                <w14:textFill>
                  <w14:solidFill>
                    <w14:schemeClr w14:val="tx1"/>
                  </w14:solidFill>
                </w14:textFill>
              </w:rPr>
            </w:pPr>
            <w:r>
              <w:rPr>
                <w:rFonts w:ascii="Times New Roman" w:hAnsi="Times New Roman" w:cs="Times New Roman"/>
                <w:color w:val="000000" w:themeColor="text1"/>
                <w:sz w:val="24"/>
                <w:u w:val="none"/>
                <w14:textFill>
                  <w14:solidFill>
                    <w14:schemeClr w14:val="tx1"/>
                  </w14:solidFill>
                </w14:textFill>
              </w:rPr>
              <w:t>评价区内有国家</w:t>
            </w:r>
            <w:r>
              <w:rPr>
                <w:rFonts w:ascii="Times New Roman" w:hAnsi="Times New Roman" w:cs="Times New Roman"/>
                <w:color w:val="000000" w:themeColor="text1"/>
                <w:sz w:val="24"/>
                <w:u w:val="none"/>
                <w14:textFill>
                  <w14:solidFill>
                    <w14:schemeClr w14:val="tx1"/>
                  </w14:solidFill>
                </w14:textFill>
              </w:rPr>
              <w:fldChar w:fldCharType="begin"/>
            </w:r>
            <w:r>
              <w:rPr>
                <w:rFonts w:ascii="Times New Roman" w:hAnsi="Times New Roman" w:cs="Times New Roman"/>
                <w:color w:val="000000" w:themeColor="text1"/>
                <w:sz w:val="24"/>
                <w:u w:val="none"/>
                <w14:textFill>
                  <w14:solidFill>
                    <w14:schemeClr w14:val="tx1"/>
                  </w14:solidFill>
                </w14:textFill>
              </w:rPr>
              <w:instrText xml:space="preserve"> = 2 \* ROMAN \* MERGEFORMAT </w:instrText>
            </w:r>
            <w:r>
              <w:rPr>
                <w:rFonts w:ascii="Times New Roman" w:hAnsi="Times New Roman" w:cs="Times New Roman"/>
                <w:color w:val="000000" w:themeColor="text1"/>
                <w:sz w:val="24"/>
                <w:u w:val="none"/>
                <w14:textFill>
                  <w14:solidFill>
                    <w14:schemeClr w14:val="tx1"/>
                  </w14:solidFill>
                </w14:textFill>
              </w:rPr>
              <w:fldChar w:fldCharType="separate"/>
            </w:r>
            <w:r>
              <w:rPr>
                <w:rFonts w:ascii="Times New Roman" w:hAnsi="Times New Roman" w:cs="Times New Roman"/>
                <w:color w:val="000000" w:themeColor="text1"/>
                <w:sz w:val="24"/>
                <w:u w:val="none"/>
                <w14:textFill>
                  <w14:solidFill>
                    <w14:schemeClr w14:val="tx1"/>
                  </w14:solidFill>
                </w14:textFill>
              </w:rPr>
              <w:t>II</w:t>
            </w:r>
            <w:r>
              <w:rPr>
                <w:rFonts w:ascii="Times New Roman" w:hAnsi="Times New Roman" w:cs="Times New Roman"/>
                <w:color w:val="000000" w:themeColor="text1"/>
                <w:sz w:val="24"/>
                <w:u w:val="none"/>
                <w14:textFill>
                  <w14:solidFill>
                    <w14:schemeClr w14:val="tx1"/>
                  </w14:solidFill>
                </w14:textFill>
              </w:rPr>
              <w:fldChar w:fldCharType="end"/>
            </w:r>
            <w:r>
              <w:rPr>
                <w:rFonts w:ascii="Times New Roman" w:hAnsi="Times New Roman" w:cs="Times New Roman"/>
                <w:color w:val="000000" w:themeColor="text1"/>
                <w:sz w:val="24"/>
                <w:u w:val="none"/>
                <w14:textFill>
                  <w14:solidFill>
                    <w14:schemeClr w14:val="tx1"/>
                  </w14:solidFill>
                </w14:textFill>
              </w:rPr>
              <w:t>级重点保护野生动物</w:t>
            </w:r>
            <w:r>
              <w:rPr>
                <w:rFonts w:hint="eastAsia" w:ascii="Times New Roman" w:hAnsi="Times New Roman" w:cs="Times New Roman"/>
                <w:color w:val="000000" w:themeColor="text1"/>
                <w:sz w:val="24"/>
                <w:u w:val="none"/>
                <w14:textFill>
                  <w14:solidFill>
                    <w14:schemeClr w14:val="tx1"/>
                  </w14:solidFill>
                </w14:textFill>
              </w:rPr>
              <w:t>有</w:t>
            </w:r>
            <w:r>
              <w:rPr>
                <w:rFonts w:hint="eastAsia" w:cs="Times New Roman"/>
                <w:color w:val="000000" w:themeColor="text1"/>
                <w:sz w:val="24"/>
                <w:u w:val="none"/>
                <w:lang w:val="en-US" w:eastAsia="zh-CN"/>
                <w14:textFill>
                  <w14:solidFill>
                    <w14:schemeClr w14:val="tx1"/>
                  </w14:solidFill>
                </w14:textFill>
              </w:rPr>
              <w:t>2</w:t>
            </w:r>
            <w:r>
              <w:rPr>
                <w:rFonts w:hint="eastAsia" w:ascii="Times New Roman" w:hAnsi="Times New Roman" w:cs="Times New Roman"/>
                <w:color w:val="000000" w:themeColor="text1"/>
                <w:sz w:val="24"/>
                <w:u w:val="none"/>
                <w14:textFill>
                  <w14:solidFill>
                    <w14:schemeClr w14:val="tx1"/>
                  </w14:solidFill>
                </w14:textFill>
              </w:rPr>
              <w:t>种，分别为苍鹰</w:t>
            </w:r>
            <w:r>
              <w:rPr>
                <w:rFonts w:hint="eastAsia" w:cs="Times New Roman"/>
                <w:color w:val="000000" w:themeColor="text1"/>
                <w:sz w:val="24"/>
                <w:u w:val="none"/>
                <w:lang w:eastAsia="zh-CN"/>
                <w14:textFill>
                  <w14:solidFill>
                    <w14:schemeClr w14:val="tx1"/>
                  </w14:solidFill>
                </w14:textFill>
              </w:rPr>
              <w:t>、</w:t>
            </w:r>
            <w:r>
              <w:rPr>
                <w:rFonts w:hint="eastAsia" w:ascii="Times New Roman" w:hAnsi="Times New Roman" w:cs="Times New Roman"/>
                <w:color w:val="000000" w:themeColor="text1"/>
                <w:sz w:val="24"/>
                <w:u w:val="none"/>
                <w14:textFill>
                  <w14:solidFill>
                    <w14:schemeClr w14:val="tx1"/>
                  </w14:solidFill>
                </w14:textFill>
              </w:rPr>
              <w:t>雀鹰</w:t>
            </w:r>
            <w:r>
              <w:rPr>
                <w:rFonts w:ascii="Times New Roman" w:hAnsi="Times New Roman" w:cs="Times New Roman"/>
                <w:color w:val="000000" w:themeColor="text1"/>
                <w:sz w:val="24"/>
                <w:u w:val="none"/>
                <w14:textFill>
                  <w14:solidFill>
                    <w14:schemeClr w14:val="tx1"/>
                  </w14:solidFill>
                </w14:textFill>
              </w:rPr>
              <w:t>，领域范围广。本工程占用林地的面积为</w:t>
            </w:r>
            <w:r>
              <w:rPr>
                <w:rFonts w:hint="default" w:cs="Times New Roman"/>
                <w:color w:val="000000" w:themeColor="text1"/>
                <w:sz w:val="24"/>
                <w:highlight w:val="none"/>
                <w:u w:val="none"/>
                <w:lang w:val="en-US" w:eastAsia="zh-CN"/>
                <w14:textFill>
                  <w14:solidFill>
                    <w14:schemeClr w14:val="tx1"/>
                  </w14:solidFill>
                </w14:textFill>
              </w:rPr>
              <w:t>30.81</w:t>
            </w:r>
            <w:r>
              <w:rPr>
                <w:rFonts w:ascii="Times New Roman" w:hAnsi="Times New Roman" w:cs="Times New Roman"/>
                <w:color w:val="000000" w:themeColor="text1"/>
                <w:sz w:val="24"/>
                <w:u w:val="none"/>
                <w14:textFill>
                  <w14:solidFill>
                    <w14:schemeClr w14:val="tx1"/>
                  </w14:solidFill>
                </w14:textFill>
              </w:rPr>
              <w:t xml:space="preserve"> hm</w:t>
            </w:r>
            <w:r>
              <w:rPr>
                <w:rFonts w:ascii="Times New Roman" w:hAnsi="Times New Roman" w:cs="Times New Roman"/>
                <w:color w:val="000000" w:themeColor="text1"/>
                <w:sz w:val="24"/>
                <w:u w:val="none"/>
                <w:vertAlign w:val="superscript"/>
                <w14:textFill>
                  <w14:solidFill>
                    <w14:schemeClr w14:val="tx1"/>
                  </w14:solidFill>
                </w14:textFill>
              </w:rPr>
              <w:t>2</w:t>
            </w:r>
            <w:r>
              <w:rPr>
                <w:rFonts w:ascii="Times New Roman" w:hAnsi="Times New Roman" w:cs="Times New Roman"/>
                <w:color w:val="000000" w:themeColor="text1"/>
                <w:sz w:val="24"/>
                <w:u w:val="none"/>
                <w14:textFill>
                  <w14:solidFill>
                    <w14:schemeClr w14:val="tx1"/>
                  </w14:solidFill>
                </w14:textFill>
              </w:rPr>
              <w:t>，占用林地会占用其栖息生境；工程施工期和运营期对其影响主要是噪声对其造成一定影响，迫使他们远离工程区，寻找新的活动觅食场所。此外，猛禽均有一定的经济价值，防止施工人员的捕猎。</w:t>
            </w:r>
          </w:p>
          <w:p w14:paraId="53D99B1B">
            <w:pPr>
              <w:adjustRightInd w:val="0"/>
              <w:snapToGrid w:val="0"/>
              <w:spacing w:line="360" w:lineRule="auto"/>
              <w:ind w:firstLine="480" w:firstLineChars="200"/>
              <w:rPr>
                <w:rFonts w:ascii="Times New Roman" w:hAnsi="Times New Roman" w:cs="Times New Roman"/>
                <w:color w:val="000000" w:themeColor="text1"/>
                <w:sz w:val="24"/>
                <w:u w:val="none"/>
                <w14:textFill>
                  <w14:solidFill>
                    <w14:schemeClr w14:val="tx1"/>
                  </w14:solidFill>
                </w14:textFill>
              </w:rPr>
            </w:pPr>
            <w:r>
              <w:rPr>
                <w:rFonts w:hint="eastAsia" w:ascii="Times New Roman" w:hAnsi="Times New Roman" w:cs="Times New Roman"/>
                <w:color w:val="000000" w:themeColor="text1"/>
                <w:sz w:val="24"/>
                <w:u w:val="none"/>
                <w14:textFill>
                  <w14:solidFill>
                    <w14:schemeClr w14:val="tx1"/>
                  </w14:solidFill>
                </w14:textFill>
              </w:rPr>
              <w:t>工程施工对其的影响主要表现工程占用林地造成其栖息地面积减小，施工噪音及运营期风机转动的噪音会对其造成一定影响，迫使其远离施工区。根据工程布置，工程占用林地、灌丛的面积较小；同时，现场调查时发现，工程影响区附近</w:t>
            </w:r>
            <w:r>
              <w:rPr>
                <w:rFonts w:hint="eastAsia" w:cs="Times New Roman"/>
                <w:color w:val="000000" w:themeColor="text1"/>
                <w:sz w:val="24"/>
                <w:u w:val="none"/>
                <w:lang w:val="en-US" w:eastAsia="zh-CN"/>
                <w14:textFill>
                  <w14:solidFill>
                    <w14:schemeClr w14:val="tx1"/>
                  </w14:solidFill>
                </w14:textFill>
              </w:rPr>
              <w:t>雀类</w:t>
            </w:r>
            <w:r>
              <w:rPr>
                <w:rFonts w:hint="eastAsia" w:ascii="Times New Roman" w:hAnsi="Times New Roman" w:cs="Times New Roman"/>
                <w:color w:val="000000" w:themeColor="text1"/>
                <w:sz w:val="24"/>
                <w:u w:val="none"/>
                <w14:textFill>
                  <w14:solidFill>
                    <w14:schemeClr w14:val="tx1"/>
                  </w14:solidFill>
                </w14:textFill>
              </w:rPr>
              <w:t>栖息、觅食的生境较多，很容易在其他区域寻找到新的活动场所。综上所述，工程对国家重点保护野生动物的影响较小。</w:t>
            </w:r>
          </w:p>
          <w:p w14:paraId="3A61C1F6">
            <w:pPr>
              <w:ind w:firstLine="241" w:firstLineChars="100"/>
              <w:rPr>
                <w:b/>
                <w:color w:val="000000" w:themeColor="text1"/>
                <w:u w:val="none"/>
                <w14:textFill>
                  <w14:solidFill>
                    <w14:schemeClr w14:val="tx1"/>
                  </w14:solidFill>
                </w14:textFill>
              </w:rPr>
            </w:pPr>
            <w:r>
              <w:rPr>
                <w:b/>
                <w:color w:val="000000" w:themeColor="text1"/>
                <w:u w:val="none"/>
                <w14:textFill>
                  <w14:solidFill>
                    <w14:schemeClr w14:val="tx1"/>
                  </w14:solidFill>
                </w14:textFill>
              </w:rPr>
              <w:t>（2）对湖南省重点保护野生动物的影响</w:t>
            </w:r>
          </w:p>
          <w:p w14:paraId="1B5E05E9">
            <w:pPr>
              <w:adjustRightInd w:val="0"/>
              <w:snapToGrid w:val="0"/>
              <w:spacing w:line="360" w:lineRule="auto"/>
              <w:ind w:firstLine="480" w:firstLineChars="200"/>
              <w:rPr>
                <w:rFonts w:ascii="Times New Roman" w:hAnsi="Times New Roman" w:cs="Times New Roman"/>
                <w:color w:val="000000" w:themeColor="text1"/>
                <w:sz w:val="24"/>
                <w:u w:val="none"/>
                <w14:textFill>
                  <w14:solidFill>
                    <w14:schemeClr w14:val="tx1"/>
                  </w14:solidFill>
                </w14:textFill>
              </w:rPr>
            </w:pPr>
            <w:r>
              <w:rPr>
                <w:rFonts w:ascii="Times New Roman" w:hAnsi="Times New Roman" w:cs="Times New Roman"/>
                <w:color w:val="000000" w:themeColor="text1"/>
                <w:sz w:val="24"/>
                <w:u w:val="none"/>
                <w14:textFill>
                  <w14:solidFill>
                    <w14:schemeClr w14:val="tx1"/>
                  </w14:solidFill>
                </w14:textFill>
              </w:rPr>
              <w:t>工程施工期和运营期，对湖南省重点保护野生动物的影响主要是：永久占地和临时占地破坏其生境，导致其种内种间竞争加剧；施工和检修道路阻隔两栖类、爬行类和小型兽类等基因交流；噪音干扰；人为捕杀导致其种群数量的下降；鸟类碰撞风电机致使其伤亡等影响。这些影响可以在一定时期内，自行或通过相应的消减、管理等措施减缓。</w:t>
            </w:r>
          </w:p>
          <w:p w14:paraId="171D1772">
            <w:pPr>
              <w:adjustRightInd w:val="0"/>
              <w:snapToGrid w:val="0"/>
              <w:spacing w:line="360" w:lineRule="auto"/>
              <w:ind w:firstLine="480" w:firstLineChars="200"/>
              <w:rPr>
                <w:rFonts w:ascii="Times New Roman" w:hAnsi="Times New Roman" w:cs="Times New Roman"/>
                <w:color w:val="000000" w:themeColor="text1"/>
                <w:sz w:val="24"/>
                <w:u w:val="none"/>
                <w14:textFill>
                  <w14:solidFill>
                    <w14:schemeClr w14:val="tx1"/>
                  </w14:solidFill>
                </w14:textFill>
              </w:rPr>
            </w:pPr>
            <w:r>
              <w:rPr>
                <w:rFonts w:ascii="Times New Roman" w:hAnsi="Times New Roman" w:cs="Times New Roman"/>
                <w:color w:val="000000" w:themeColor="text1"/>
                <w:sz w:val="24"/>
                <w:u w:val="none"/>
                <w14:textFill>
                  <w14:solidFill>
                    <w14:schemeClr w14:val="tx1"/>
                  </w14:solidFill>
                </w14:textFill>
              </w:rPr>
              <w:t>工程施工和运营，湖南省重点保护野生动物的生境遭破坏，迫使其迁往工程附近适合其觅食、栖息、求偶繁殖的区域活动，经过一段时间，可自行达到新的生态平衡。同时在施工结束后，对临时占地的生境进行恢复，可使影响得到减缓；噪声虽然对湖南省重点保护野生动物的活动有影响，但迫使其避让，从而减小鸟类飞行或迁徙时碰撞风电机的概率。而且评价区分布的省级重点保护鸟类一半以上为留鸟，无迁徙行为；人为捕杀，可通过法律宣传和制订严格措施，进行管控。故施工和运营期对湖南省重点保护野生动物的影响在可控范围。</w:t>
            </w:r>
          </w:p>
          <w:p w14:paraId="1C739155">
            <w:pPr>
              <w:adjustRightInd w:val="0"/>
              <w:snapToGrid w:val="0"/>
              <w:spacing w:line="360" w:lineRule="auto"/>
              <w:ind w:firstLine="480" w:firstLineChars="200"/>
              <w:rPr>
                <w:rFonts w:ascii="Times New Roman" w:hAnsi="Times New Roman" w:cs="Times New Roman"/>
                <w:color w:val="000000" w:themeColor="text1"/>
                <w:sz w:val="24"/>
                <w:u w:val="none"/>
                <w14:textFill>
                  <w14:solidFill>
                    <w14:schemeClr w14:val="tx1"/>
                  </w14:solidFill>
                </w14:textFill>
              </w:rPr>
            </w:pPr>
            <w:r>
              <w:rPr>
                <w:rFonts w:ascii="Times New Roman" w:hAnsi="Times New Roman" w:cs="Times New Roman"/>
                <w:color w:val="000000" w:themeColor="text1"/>
                <w:sz w:val="24"/>
                <w:u w:val="none"/>
                <w14:textFill>
                  <w14:solidFill>
                    <w14:schemeClr w14:val="tx1"/>
                  </w14:solidFill>
                </w14:textFill>
              </w:rPr>
              <w:t>综上所述，工程对湖南省重点保护野生动物的影响较小。</w:t>
            </w:r>
          </w:p>
          <w:bookmarkEnd w:id="89"/>
          <w:p w14:paraId="72C52257">
            <w:pPr>
              <w:pStyle w:val="3"/>
              <w:numPr>
                <w:ilvl w:val="0"/>
                <w:numId w:val="0"/>
              </w:numPr>
              <w:tabs>
                <w:tab w:val="left" w:pos="425"/>
                <w:tab w:val="clear" w:pos="420"/>
              </w:tabs>
              <w:rPr>
                <w:rFonts w:cs="Times New Roman"/>
                <w:color w:val="000000" w:themeColor="text1"/>
                <w:szCs w:val="21"/>
                <w:u w:val="none"/>
                <w14:textFill>
                  <w14:solidFill>
                    <w14:schemeClr w14:val="tx1"/>
                  </w14:solidFill>
                </w14:textFill>
              </w:rPr>
            </w:pPr>
            <w:bookmarkStart w:id="116" w:name="_Toc467060346"/>
            <w:bookmarkStart w:id="117" w:name="_Toc30532237"/>
            <w:bookmarkStart w:id="118" w:name="_Toc18516"/>
            <w:bookmarkStart w:id="119" w:name="_Toc29200"/>
            <w:r>
              <w:rPr>
                <w:rFonts w:cs="Times New Roman"/>
                <w:color w:val="000000" w:themeColor="text1"/>
                <w:szCs w:val="21"/>
                <w:u w:val="none"/>
                <w14:textFill>
                  <w14:solidFill>
                    <w14:schemeClr w14:val="tx1"/>
                  </w14:solidFill>
                </w14:textFill>
              </w:rPr>
              <w:t>4.2 施工期声环境影响</w:t>
            </w:r>
            <w:bookmarkEnd w:id="116"/>
            <w:bookmarkEnd w:id="117"/>
            <w:r>
              <w:rPr>
                <w:rFonts w:cs="Times New Roman"/>
                <w:color w:val="000000" w:themeColor="text1"/>
                <w:szCs w:val="21"/>
                <w:u w:val="none"/>
                <w14:textFill>
                  <w14:solidFill>
                    <w14:schemeClr w14:val="tx1"/>
                  </w14:solidFill>
                </w14:textFill>
              </w:rPr>
              <w:t>分析</w:t>
            </w:r>
            <w:bookmarkEnd w:id="118"/>
            <w:bookmarkEnd w:id="119"/>
          </w:p>
          <w:p w14:paraId="5E138EEF">
            <w:pPr>
              <w:ind w:firstLine="480" w:firstLineChars="200"/>
              <w:rPr>
                <w:color w:val="000000" w:themeColor="text1"/>
                <w:szCs w:val="21"/>
                <w:u w:val="none"/>
                <w14:textFill>
                  <w14:solidFill>
                    <w14:schemeClr w14:val="tx1"/>
                  </w14:solidFill>
                </w14:textFill>
              </w:rPr>
            </w:pPr>
            <w:r>
              <w:rPr>
                <w:color w:val="000000" w:themeColor="text1"/>
                <w:u w:val="none"/>
                <w14:textFill>
                  <w14:solidFill>
                    <w14:schemeClr w14:val="tx1"/>
                  </w14:solidFill>
                </w14:textFill>
              </w:rPr>
              <w:t>本工程施工期噪声主要来自施工机械设备运行、车辆运输以及爆破噪声。</w:t>
            </w:r>
          </w:p>
          <w:p w14:paraId="10C8EBD5">
            <w:pPr>
              <w:ind w:firstLine="480" w:firstLineChars="200"/>
              <w:rPr>
                <w:color w:val="000000" w:themeColor="text1"/>
                <w:szCs w:val="21"/>
                <w:u w:val="none"/>
                <w14:textFill>
                  <w14:solidFill>
                    <w14:schemeClr w14:val="tx1"/>
                  </w14:solidFill>
                </w14:textFill>
              </w:rPr>
            </w:pPr>
            <w:r>
              <w:rPr>
                <w:color w:val="000000" w:themeColor="text1"/>
                <w:szCs w:val="21"/>
                <w:u w:val="none"/>
                <w14:textFill>
                  <w14:solidFill>
                    <w14:schemeClr w14:val="tx1"/>
                  </w14:solidFill>
                </w14:textFill>
              </w:rPr>
              <w:t>（1）施工机械噪声</w:t>
            </w:r>
          </w:p>
          <w:p w14:paraId="2885E81D">
            <w:pPr>
              <w:ind w:firstLine="480" w:firstLineChars="200"/>
              <w:rPr>
                <w:color w:val="000000" w:themeColor="text1"/>
                <w:szCs w:val="21"/>
                <w:u w:val="none"/>
                <w14:textFill>
                  <w14:solidFill>
                    <w14:schemeClr w14:val="tx1"/>
                  </w14:solidFill>
                </w14:textFill>
              </w:rPr>
            </w:pPr>
            <w:r>
              <w:rPr>
                <w:color w:val="000000" w:themeColor="text1"/>
                <w:szCs w:val="21"/>
                <w:u w:val="none"/>
                <w14:textFill>
                  <w14:solidFill>
                    <w14:schemeClr w14:val="tx1"/>
                  </w14:solidFill>
                </w14:textFill>
              </w:rPr>
              <w:t>本工程施工作业均安排在昼间，</w:t>
            </w:r>
            <w:r>
              <w:rPr>
                <w:color w:val="000000" w:themeColor="text1"/>
                <w:u w:val="none"/>
                <w14:textFill>
                  <w14:solidFill>
                    <w14:schemeClr w14:val="tx1"/>
                  </w14:solidFill>
                </w14:textFill>
              </w:rPr>
              <w:t>施工期噪声源主要是推土机、挖掘机、装载机、卡车、履带吊、手风钻等。根据工程分析，施工期噪声值在85～115dB（A）之间</w:t>
            </w:r>
            <w:r>
              <w:rPr>
                <w:color w:val="000000" w:themeColor="text1"/>
                <w:szCs w:val="21"/>
                <w:u w:val="none"/>
                <w14:textFill>
                  <w14:solidFill>
                    <w14:schemeClr w14:val="tx1"/>
                  </w14:solidFill>
                </w14:textFill>
              </w:rPr>
              <w:t>。施工噪声的衰减计算采用无指向性点声源的几何发散衰减的基本公式：</w:t>
            </w:r>
          </w:p>
          <w:p w14:paraId="7963D2D5">
            <w:pPr>
              <w:ind w:firstLine="480" w:firstLineChars="200"/>
              <w:rPr>
                <w:color w:val="000000" w:themeColor="text1"/>
                <w:szCs w:val="21"/>
                <w:u w:val="none"/>
                <w14:textFill>
                  <w14:solidFill>
                    <w14:schemeClr w14:val="tx1"/>
                  </w14:solidFill>
                </w14:textFill>
              </w:rPr>
            </w:pPr>
            <w:r>
              <w:rPr>
                <w:color w:val="000000" w:themeColor="text1"/>
                <w:szCs w:val="21"/>
                <w:u w:val="none"/>
                <w14:textFill>
                  <w14:solidFill>
                    <w14:schemeClr w14:val="tx1"/>
                  </w14:solidFill>
                </w14:textFill>
              </w:rPr>
              <w:t>L(r)=L(r0)-20lg(r/r0)</w:t>
            </w:r>
          </w:p>
          <w:p w14:paraId="0E18ECEE">
            <w:pPr>
              <w:ind w:firstLine="480" w:firstLineChars="200"/>
              <w:rPr>
                <w:color w:val="000000" w:themeColor="text1"/>
                <w:szCs w:val="21"/>
                <w:u w:val="none"/>
                <w14:textFill>
                  <w14:solidFill>
                    <w14:schemeClr w14:val="tx1"/>
                  </w14:solidFill>
                </w14:textFill>
              </w:rPr>
            </w:pPr>
            <w:r>
              <w:rPr>
                <w:color w:val="000000" w:themeColor="text1"/>
                <w:szCs w:val="21"/>
                <w:u w:val="none"/>
                <w14:textFill>
                  <w14:solidFill>
                    <w14:schemeClr w14:val="tx1"/>
                  </w14:solidFill>
                </w14:textFill>
              </w:rPr>
              <w:t>式中：L(r)：距声源r(m)处的噪声值，dB(A)；</w:t>
            </w:r>
          </w:p>
          <w:p w14:paraId="27BCF855">
            <w:pPr>
              <w:ind w:firstLine="480" w:firstLineChars="200"/>
              <w:rPr>
                <w:color w:val="000000" w:themeColor="text1"/>
                <w:szCs w:val="21"/>
                <w:u w:val="none"/>
                <w14:textFill>
                  <w14:solidFill>
                    <w14:schemeClr w14:val="tx1"/>
                  </w14:solidFill>
                </w14:textFill>
              </w:rPr>
            </w:pPr>
            <w:r>
              <w:rPr>
                <w:color w:val="000000" w:themeColor="text1"/>
                <w:szCs w:val="21"/>
                <w:u w:val="none"/>
                <w14:textFill>
                  <w14:solidFill>
                    <w14:schemeClr w14:val="tx1"/>
                  </w14:solidFill>
                </w14:textFill>
              </w:rPr>
              <w:t xml:space="preserve">      L(r0)：距声源r0(m)处的噪声值。</w:t>
            </w:r>
          </w:p>
          <w:p w14:paraId="46612A4F">
            <w:pPr>
              <w:ind w:firstLine="480" w:firstLineChars="200"/>
              <w:rPr>
                <w:color w:val="000000" w:themeColor="text1"/>
                <w:u w:val="none"/>
                <w14:textFill>
                  <w14:solidFill>
                    <w14:schemeClr w14:val="tx1"/>
                  </w14:solidFill>
                </w14:textFill>
              </w:rPr>
            </w:pPr>
            <w:r>
              <w:rPr>
                <w:color w:val="000000" w:themeColor="text1"/>
                <w:szCs w:val="21"/>
                <w:u w:val="none"/>
                <w14:textFill>
                  <w14:solidFill>
                    <w14:schemeClr w14:val="tx1"/>
                  </w14:solidFill>
                </w14:textFill>
              </w:rPr>
              <w:t>预测结果见下表。</w:t>
            </w:r>
          </w:p>
          <w:p w14:paraId="4C9922B2">
            <w:pPr>
              <w:pStyle w:val="89"/>
              <w:rPr>
                <w:color w:val="000000" w:themeColor="text1"/>
                <w:kern w:val="2"/>
                <w:u w:val="none"/>
                <w14:textFill>
                  <w14:solidFill>
                    <w14:schemeClr w14:val="tx1"/>
                  </w14:solidFill>
                </w14:textFill>
              </w:rPr>
            </w:pPr>
            <w:r>
              <w:rPr>
                <w:color w:val="000000" w:themeColor="text1"/>
                <w:kern w:val="2"/>
                <w:u w:val="none"/>
                <w14:textFill>
                  <w14:solidFill>
                    <w14:schemeClr w14:val="tx1"/>
                  </w14:solidFill>
                </w14:textFill>
              </w:rPr>
              <w:t>表4</w:t>
            </w:r>
            <w:r>
              <w:rPr>
                <w:rFonts w:hint="eastAsia"/>
                <w:color w:val="000000" w:themeColor="text1"/>
                <w:kern w:val="2"/>
                <w:u w:val="none"/>
                <w14:textFill>
                  <w14:solidFill>
                    <w14:schemeClr w14:val="tx1"/>
                  </w14:solidFill>
                </w14:textFill>
              </w:rPr>
              <w:t>.2-1</w:t>
            </w:r>
            <w:r>
              <w:rPr>
                <w:color w:val="000000" w:themeColor="text1"/>
                <w:kern w:val="2"/>
                <w:u w:val="none"/>
                <w14:textFill>
                  <w14:solidFill>
                    <w14:schemeClr w14:val="tx1"/>
                  </w14:solidFill>
                </w14:textFill>
              </w:rPr>
              <w:t xml:space="preserve">  施工机械噪声衰减计算结果（单位：dB（A））</w:t>
            </w:r>
          </w:p>
          <w:tbl>
            <w:tblPr>
              <w:tblStyle w:val="26"/>
              <w:tblW w:w="77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72"/>
              <w:gridCol w:w="1494"/>
              <w:gridCol w:w="567"/>
              <w:gridCol w:w="534"/>
              <w:gridCol w:w="546"/>
              <w:gridCol w:w="578"/>
              <w:gridCol w:w="666"/>
              <w:gridCol w:w="537"/>
              <w:gridCol w:w="616"/>
              <w:gridCol w:w="527"/>
              <w:gridCol w:w="583"/>
              <w:gridCol w:w="630"/>
            </w:tblGrid>
            <w:tr w14:paraId="37580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72" w:type="dxa"/>
                  <w:vMerge w:val="restart"/>
                  <w:tcBorders>
                    <w:tl2br w:val="nil"/>
                    <w:tr2bl w:val="nil"/>
                  </w:tcBorders>
                  <w:vAlign w:val="center"/>
                </w:tcPr>
                <w:p w14:paraId="746E6D7B">
                  <w:pPr>
                    <w:spacing w:after="100" w:afterAutospacing="1" w:line="320" w:lineRule="exact"/>
                    <w:jc w:val="center"/>
                    <w:rPr>
                      <w:b/>
                      <w:bCs/>
                      <w:color w:val="000000" w:themeColor="text1"/>
                      <w:kern w:val="0"/>
                      <w:sz w:val="21"/>
                      <w:szCs w:val="21"/>
                      <w:u w:val="none"/>
                      <w14:textFill>
                        <w14:solidFill>
                          <w14:schemeClr w14:val="tx1"/>
                        </w14:solidFill>
                      </w14:textFill>
                    </w:rPr>
                  </w:pPr>
                  <w:r>
                    <w:rPr>
                      <w:b/>
                      <w:bCs/>
                      <w:color w:val="000000" w:themeColor="text1"/>
                      <w:kern w:val="0"/>
                      <w:sz w:val="21"/>
                      <w:szCs w:val="21"/>
                      <w:u w:val="none"/>
                      <w14:textFill>
                        <w14:solidFill>
                          <w14:schemeClr w14:val="tx1"/>
                        </w14:solidFill>
                      </w14:textFill>
                    </w:rPr>
                    <w:t>序号</w:t>
                  </w:r>
                </w:p>
              </w:tc>
              <w:tc>
                <w:tcPr>
                  <w:tcW w:w="1494" w:type="dxa"/>
                  <w:vMerge w:val="restart"/>
                  <w:tcBorders>
                    <w:tl2br w:val="nil"/>
                    <w:tr2bl w:val="nil"/>
                  </w:tcBorders>
                  <w:vAlign w:val="center"/>
                </w:tcPr>
                <w:p w14:paraId="266AE99F">
                  <w:pPr>
                    <w:spacing w:after="100" w:afterAutospacing="1" w:line="320" w:lineRule="exact"/>
                    <w:jc w:val="center"/>
                    <w:rPr>
                      <w:b/>
                      <w:bCs/>
                      <w:color w:val="000000" w:themeColor="text1"/>
                      <w:kern w:val="0"/>
                      <w:sz w:val="21"/>
                      <w:szCs w:val="21"/>
                      <w:u w:val="none"/>
                      <w14:textFill>
                        <w14:solidFill>
                          <w14:schemeClr w14:val="tx1"/>
                        </w14:solidFill>
                      </w14:textFill>
                    </w:rPr>
                  </w:pPr>
                  <w:r>
                    <w:rPr>
                      <w:b/>
                      <w:bCs/>
                      <w:color w:val="000000" w:themeColor="text1"/>
                      <w:kern w:val="0"/>
                      <w:sz w:val="21"/>
                      <w:szCs w:val="21"/>
                      <w:u w:val="none"/>
                      <w14:textFill>
                        <w14:solidFill>
                          <w14:schemeClr w14:val="tx1"/>
                        </w14:solidFill>
                      </w14:textFill>
                    </w:rPr>
                    <w:t>机械设备</w:t>
                  </w:r>
                </w:p>
              </w:tc>
              <w:tc>
                <w:tcPr>
                  <w:tcW w:w="5784" w:type="dxa"/>
                  <w:gridSpan w:val="10"/>
                  <w:tcBorders>
                    <w:tl2br w:val="nil"/>
                    <w:tr2bl w:val="nil"/>
                  </w:tcBorders>
                  <w:vAlign w:val="center"/>
                </w:tcPr>
                <w:p w14:paraId="6229A8F9">
                  <w:pPr>
                    <w:spacing w:after="100" w:afterAutospacing="1" w:line="320" w:lineRule="exact"/>
                    <w:jc w:val="center"/>
                    <w:rPr>
                      <w:b/>
                      <w:bCs/>
                      <w:color w:val="000000" w:themeColor="text1"/>
                      <w:kern w:val="0"/>
                      <w:sz w:val="21"/>
                      <w:szCs w:val="21"/>
                      <w:u w:val="none"/>
                      <w14:textFill>
                        <w14:solidFill>
                          <w14:schemeClr w14:val="tx1"/>
                        </w14:solidFill>
                      </w14:textFill>
                    </w:rPr>
                  </w:pPr>
                  <w:r>
                    <w:rPr>
                      <w:b/>
                      <w:bCs/>
                      <w:color w:val="000000" w:themeColor="text1"/>
                      <w:kern w:val="0"/>
                      <w:sz w:val="21"/>
                      <w:szCs w:val="21"/>
                      <w:u w:val="none"/>
                      <w14:textFill>
                        <w14:solidFill>
                          <w14:schemeClr w14:val="tx1"/>
                        </w14:solidFill>
                      </w14:textFill>
                    </w:rPr>
                    <w:t>距声源距离(m)</w:t>
                  </w:r>
                </w:p>
              </w:tc>
            </w:tr>
            <w:tr w14:paraId="532B8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72" w:type="dxa"/>
                  <w:vMerge w:val="continue"/>
                  <w:tcBorders>
                    <w:tl2br w:val="nil"/>
                    <w:tr2bl w:val="nil"/>
                  </w:tcBorders>
                  <w:vAlign w:val="center"/>
                </w:tcPr>
                <w:p w14:paraId="79B9FC72">
                  <w:pPr>
                    <w:spacing w:after="100" w:afterAutospacing="1" w:line="320" w:lineRule="exact"/>
                    <w:jc w:val="center"/>
                    <w:rPr>
                      <w:color w:val="000000" w:themeColor="text1"/>
                      <w:kern w:val="0"/>
                      <w:sz w:val="21"/>
                      <w:szCs w:val="21"/>
                      <w:u w:val="none"/>
                      <w14:textFill>
                        <w14:solidFill>
                          <w14:schemeClr w14:val="tx1"/>
                        </w14:solidFill>
                      </w14:textFill>
                    </w:rPr>
                  </w:pPr>
                </w:p>
              </w:tc>
              <w:tc>
                <w:tcPr>
                  <w:tcW w:w="1494" w:type="dxa"/>
                  <w:vMerge w:val="continue"/>
                  <w:tcBorders>
                    <w:tl2br w:val="nil"/>
                    <w:tr2bl w:val="nil"/>
                  </w:tcBorders>
                  <w:vAlign w:val="center"/>
                </w:tcPr>
                <w:p w14:paraId="26B1A3EE">
                  <w:pPr>
                    <w:spacing w:after="100" w:afterAutospacing="1" w:line="320" w:lineRule="exact"/>
                    <w:jc w:val="center"/>
                    <w:rPr>
                      <w:color w:val="000000" w:themeColor="text1"/>
                      <w:kern w:val="0"/>
                      <w:sz w:val="21"/>
                      <w:szCs w:val="21"/>
                      <w:u w:val="none"/>
                      <w14:textFill>
                        <w14:solidFill>
                          <w14:schemeClr w14:val="tx1"/>
                        </w14:solidFill>
                      </w14:textFill>
                    </w:rPr>
                  </w:pPr>
                </w:p>
              </w:tc>
              <w:tc>
                <w:tcPr>
                  <w:tcW w:w="567" w:type="dxa"/>
                  <w:tcBorders>
                    <w:tl2br w:val="nil"/>
                    <w:tr2bl w:val="nil"/>
                  </w:tcBorders>
                  <w:vAlign w:val="center"/>
                </w:tcPr>
                <w:p w14:paraId="28F3B48D">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1</w:t>
                  </w:r>
                </w:p>
              </w:tc>
              <w:tc>
                <w:tcPr>
                  <w:tcW w:w="534" w:type="dxa"/>
                  <w:tcBorders>
                    <w:tl2br w:val="nil"/>
                    <w:tr2bl w:val="nil"/>
                  </w:tcBorders>
                  <w:vAlign w:val="center"/>
                </w:tcPr>
                <w:p w14:paraId="2F58B31E">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50</w:t>
                  </w:r>
                </w:p>
              </w:tc>
              <w:tc>
                <w:tcPr>
                  <w:tcW w:w="546" w:type="dxa"/>
                  <w:tcBorders>
                    <w:tl2br w:val="nil"/>
                    <w:tr2bl w:val="nil"/>
                  </w:tcBorders>
                  <w:vAlign w:val="center"/>
                </w:tcPr>
                <w:p w14:paraId="26D29600">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100</w:t>
                  </w:r>
                </w:p>
              </w:tc>
              <w:tc>
                <w:tcPr>
                  <w:tcW w:w="578" w:type="dxa"/>
                  <w:tcBorders>
                    <w:tl2br w:val="nil"/>
                    <w:tr2bl w:val="nil"/>
                  </w:tcBorders>
                  <w:vAlign w:val="center"/>
                </w:tcPr>
                <w:p w14:paraId="788D2C60">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150</w:t>
                  </w:r>
                </w:p>
              </w:tc>
              <w:tc>
                <w:tcPr>
                  <w:tcW w:w="666" w:type="dxa"/>
                  <w:tcBorders>
                    <w:tl2br w:val="nil"/>
                    <w:tr2bl w:val="nil"/>
                  </w:tcBorders>
                  <w:vAlign w:val="center"/>
                </w:tcPr>
                <w:p w14:paraId="3F800A06">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200</w:t>
                  </w:r>
                </w:p>
              </w:tc>
              <w:tc>
                <w:tcPr>
                  <w:tcW w:w="537" w:type="dxa"/>
                  <w:tcBorders>
                    <w:tl2br w:val="nil"/>
                    <w:tr2bl w:val="nil"/>
                  </w:tcBorders>
                  <w:vAlign w:val="center"/>
                </w:tcPr>
                <w:p w14:paraId="19C57F8A">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250</w:t>
                  </w:r>
                </w:p>
              </w:tc>
              <w:tc>
                <w:tcPr>
                  <w:tcW w:w="616" w:type="dxa"/>
                  <w:tcBorders>
                    <w:tl2br w:val="nil"/>
                    <w:tr2bl w:val="nil"/>
                  </w:tcBorders>
                  <w:vAlign w:val="center"/>
                </w:tcPr>
                <w:p w14:paraId="67093315">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300</w:t>
                  </w:r>
                </w:p>
              </w:tc>
              <w:tc>
                <w:tcPr>
                  <w:tcW w:w="527" w:type="dxa"/>
                  <w:tcBorders>
                    <w:tl2br w:val="nil"/>
                    <w:tr2bl w:val="nil"/>
                  </w:tcBorders>
                  <w:vAlign w:val="center"/>
                </w:tcPr>
                <w:p w14:paraId="4555DE21">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350</w:t>
                  </w:r>
                </w:p>
              </w:tc>
              <w:tc>
                <w:tcPr>
                  <w:tcW w:w="583" w:type="dxa"/>
                  <w:tcBorders>
                    <w:tl2br w:val="nil"/>
                    <w:tr2bl w:val="nil"/>
                  </w:tcBorders>
                  <w:vAlign w:val="center"/>
                </w:tcPr>
                <w:p w14:paraId="0178A5FD">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400</w:t>
                  </w:r>
                </w:p>
              </w:tc>
              <w:tc>
                <w:tcPr>
                  <w:tcW w:w="630" w:type="dxa"/>
                  <w:tcBorders>
                    <w:tl2br w:val="nil"/>
                    <w:tr2bl w:val="nil"/>
                  </w:tcBorders>
                  <w:vAlign w:val="center"/>
                </w:tcPr>
                <w:p w14:paraId="1600BAF7">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550</w:t>
                  </w:r>
                </w:p>
              </w:tc>
            </w:tr>
            <w:tr w14:paraId="2ED02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72" w:type="dxa"/>
                  <w:tcBorders>
                    <w:tl2br w:val="nil"/>
                    <w:tr2bl w:val="nil"/>
                  </w:tcBorders>
                  <w:vAlign w:val="center"/>
                </w:tcPr>
                <w:p w14:paraId="09994129">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1</w:t>
                  </w:r>
                </w:p>
              </w:tc>
              <w:tc>
                <w:tcPr>
                  <w:tcW w:w="1494" w:type="dxa"/>
                  <w:tcBorders>
                    <w:tl2br w:val="nil"/>
                    <w:tr2bl w:val="nil"/>
                  </w:tcBorders>
                  <w:vAlign w:val="center"/>
                </w:tcPr>
                <w:p w14:paraId="7EE5D13D">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履带式起重机</w:t>
                  </w:r>
                </w:p>
              </w:tc>
              <w:tc>
                <w:tcPr>
                  <w:tcW w:w="567" w:type="dxa"/>
                  <w:tcBorders>
                    <w:tl2br w:val="nil"/>
                    <w:tr2bl w:val="nil"/>
                  </w:tcBorders>
                  <w:vAlign w:val="center"/>
                </w:tcPr>
                <w:p w14:paraId="1499F208">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90</w:t>
                  </w:r>
                </w:p>
              </w:tc>
              <w:tc>
                <w:tcPr>
                  <w:tcW w:w="534" w:type="dxa"/>
                  <w:tcBorders>
                    <w:tl2br w:val="nil"/>
                    <w:tr2bl w:val="nil"/>
                  </w:tcBorders>
                  <w:vAlign w:val="center"/>
                </w:tcPr>
                <w:p w14:paraId="2C7B58DB">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56</w:t>
                  </w:r>
                </w:p>
              </w:tc>
              <w:tc>
                <w:tcPr>
                  <w:tcW w:w="546" w:type="dxa"/>
                  <w:tcBorders>
                    <w:tl2br w:val="nil"/>
                    <w:tr2bl w:val="nil"/>
                  </w:tcBorders>
                  <w:vAlign w:val="center"/>
                </w:tcPr>
                <w:p w14:paraId="7E2840BD">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50</w:t>
                  </w:r>
                </w:p>
              </w:tc>
              <w:tc>
                <w:tcPr>
                  <w:tcW w:w="578" w:type="dxa"/>
                  <w:tcBorders>
                    <w:tl2br w:val="nil"/>
                    <w:tr2bl w:val="nil"/>
                  </w:tcBorders>
                  <w:vAlign w:val="center"/>
                </w:tcPr>
                <w:p w14:paraId="5084BB19">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46</w:t>
                  </w:r>
                </w:p>
              </w:tc>
              <w:tc>
                <w:tcPr>
                  <w:tcW w:w="666" w:type="dxa"/>
                  <w:tcBorders>
                    <w:tl2br w:val="nil"/>
                    <w:tr2bl w:val="nil"/>
                  </w:tcBorders>
                  <w:vAlign w:val="center"/>
                </w:tcPr>
                <w:p w14:paraId="56A89AF9">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44</w:t>
                  </w:r>
                </w:p>
              </w:tc>
              <w:tc>
                <w:tcPr>
                  <w:tcW w:w="537" w:type="dxa"/>
                  <w:tcBorders>
                    <w:tl2br w:val="nil"/>
                    <w:tr2bl w:val="nil"/>
                  </w:tcBorders>
                  <w:vAlign w:val="center"/>
                </w:tcPr>
                <w:p w14:paraId="2E50638A">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42</w:t>
                  </w:r>
                </w:p>
              </w:tc>
              <w:tc>
                <w:tcPr>
                  <w:tcW w:w="616" w:type="dxa"/>
                  <w:tcBorders>
                    <w:tl2br w:val="nil"/>
                    <w:tr2bl w:val="nil"/>
                  </w:tcBorders>
                  <w:vAlign w:val="center"/>
                </w:tcPr>
                <w:p w14:paraId="729CEC2E">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40</w:t>
                  </w:r>
                </w:p>
              </w:tc>
              <w:tc>
                <w:tcPr>
                  <w:tcW w:w="527" w:type="dxa"/>
                  <w:tcBorders>
                    <w:tl2br w:val="nil"/>
                    <w:tr2bl w:val="nil"/>
                  </w:tcBorders>
                  <w:vAlign w:val="center"/>
                </w:tcPr>
                <w:p w14:paraId="53DEC3FD">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39</w:t>
                  </w:r>
                </w:p>
              </w:tc>
              <w:tc>
                <w:tcPr>
                  <w:tcW w:w="583" w:type="dxa"/>
                  <w:tcBorders>
                    <w:tl2br w:val="nil"/>
                    <w:tr2bl w:val="nil"/>
                  </w:tcBorders>
                  <w:vAlign w:val="center"/>
                </w:tcPr>
                <w:p w14:paraId="0052F5E8">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38</w:t>
                  </w:r>
                </w:p>
              </w:tc>
              <w:tc>
                <w:tcPr>
                  <w:tcW w:w="630" w:type="dxa"/>
                  <w:tcBorders>
                    <w:tl2br w:val="nil"/>
                    <w:tr2bl w:val="nil"/>
                  </w:tcBorders>
                  <w:vAlign w:val="center"/>
                </w:tcPr>
                <w:p w14:paraId="214493D1">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36</w:t>
                  </w:r>
                </w:p>
              </w:tc>
            </w:tr>
            <w:tr w14:paraId="65D52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72" w:type="dxa"/>
                  <w:tcBorders>
                    <w:tl2br w:val="nil"/>
                    <w:tr2bl w:val="nil"/>
                  </w:tcBorders>
                  <w:vAlign w:val="center"/>
                </w:tcPr>
                <w:p w14:paraId="5C0F1396">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2</w:t>
                  </w:r>
                </w:p>
              </w:tc>
              <w:tc>
                <w:tcPr>
                  <w:tcW w:w="1494" w:type="dxa"/>
                  <w:tcBorders>
                    <w:tl2br w:val="nil"/>
                    <w:tr2bl w:val="nil"/>
                  </w:tcBorders>
                  <w:vAlign w:val="center"/>
                </w:tcPr>
                <w:p w14:paraId="1F7890BE">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汽车式起重机</w:t>
                  </w:r>
                </w:p>
              </w:tc>
              <w:tc>
                <w:tcPr>
                  <w:tcW w:w="567" w:type="dxa"/>
                  <w:tcBorders>
                    <w:tl2br w:val="nil"/>
                    <w:tr2bl w:val="nil"/>
                  </w:tcBorders>
                  <w:vAlign w:val="center"/>
                </w:tcPr>
                <w:p w14:paraId="5D7C8FA1">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87</w:t>
                  </w:r>
                </w:p>
              </w:tc>
              <w:tc>
                <w:tcPr>
                  <w:tcW w:w="534" w:type="dxa"/>
                  <w:tcBorders>
                    <w:tl2br w:val="nil"/>
                    <w:tr2bl w:val="nil"/>
                  </w:tcBorders>
                  <w:vAlign w:val="center"/>
                </w:tcPr>
                <w:p w14:paraId="3B4242F9">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53</w:t>
                  </w:r>
                </w:p>
              </w:tc>
              <w:tc>
                <w:tcPr>
                  <w:tcW w:w="546" w:type="dxa"/>
                  <w:tcBorders>
                    <w:tl2br w:val="nil"/>
                    <w:tr2bl w:val="nil"/>
                  </w:tcBorders>
                  <w:vAlign w:val="center"/>
                </w:tcPr>
                <w:p w14:paraId="648E1DDD">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47</w:t>
                  </w:r>
                </w:p>
              </w:tc>
              <w:tc>
                <w:tcPr>
                  <w:tcW w:w="578" w:type="dxa"/>
                  <w:tcBorders>
                    <w:tl2br w:val="nil"/>
                    <w:tr2bl w:val="nil"/>
                  </w:tcBorders>
                  <w:vAlign w:val="center"/>
                </w:tcPr>
                <w:p w14:paraId="2B2BD5CD">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43</w:t>
                  </w:r>
                </w:p>
              </w:tc>
              <w:tc>
                <w:tcPr>
                  <w:tcW w:w="666" w:type="dxa"/>
                  <w:tcBorders>
                    <w:tl2br w:val="nil"/>
                    <w:tr2bl w:val="nil"/>
                  </w:tcBorders>
                  <w:vAlign w:val="center"/>
                </w:tcPr>
                <w:p w14:paraId="12D3056A">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41</w:t>
                  </w:r>
                </w:p>
              </w:tc>
              <w:tc>
                <w:tcPr>
                  <w:tcW w:w="537" w:type="dxa"/>
                  <w:tcBorders>
                    <w:tl2br w:val="nil"/>
                    <w:tr2bl w:val="nil"/>
                  </w:tcBorders>
                  <w:vAlign w:val="center"/>
                </w:tcPr>
                <w:p w14:paraId="459F04D4">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39</w:t>
                  </w:r>
                </w:p>
              </w:tc>
              <w:tc>
                <w:tcPr>
                  <w:tcW w:w="616" w:type="dxa"/>
                  <w:tcBorders>
                    <w:tl2br w:val="nil"/>
                    <w:tr2bl w:val="nil"/>
                  </w:tcBorders>
                  <w:vAlign w:val="center"/>
                </w:tcPr>
                <w:p w14:paraId="4E8FDAB4">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37</w:t>
                  </w:r>
                </w:p>
              </w:tc>
              <w:tc>
                <w:tcPr>
                  <w:tcW w:w="527" w:type="dxa"/>
                  <w:tcBorders>
                    <w:tl2br w:val="nil"/>
                    <w:tr2bl w:val="nil"/>
                  </w:tcBorders>
                  <w:vAlign w:val="center"/>
                </w:tcPr>
                <w:p w14:paraId="44C17B50">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36</w:t>
                  </w:r>
                </w:p>
              </w:tc>
              <w:tc>
                <w:tcPr>
                  <w:tcW w:w="583" w:type="dxa"/>
                  <w:tcBorders>
                    <w:tl2br w:val="nil"/>
                    <w:tr2bl w:val="nil"/>
                  </w:tcBorders>
                  <w:vAlign w:val="center"/>
                </w:tcPr>
                <w:p w14:paraId="38821D8E">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35</w:t>
                  </w:r>
                </w:p>
              </w:tc>
              <w:tc>
                <w:tcPr>
                  <w:tcW w:w="630" w:type="dxa"/>
                  <w:tcBorders>
                    <w:tl2br w:val="nil"/>
                    <w:tr2bl w:val="nil"/>
                  </w:tcBorders>
                  <w:vAlign w:val="center"/>
                </w:tcPr>
                <w:p w14:paraId="598A3910">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33</w:t>
                  </w:r>
                </w:p>
              </w:tc>
            </w:tr>
            <w:tr w14:paraId="6CBB6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72" w:type="dxa"/>
                  <w:tcBorders>
                    <w:tl2br w:val="nil"/>
                    <w:tr2bl w:val="nil"/>
                  </w:tcBorders>
                  <w:vAlign w:val="center"/>
                </w:tcPr>
                <w:p w14:paraId="38B77914">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3</w:t>
                  </w:r>
                </w:p>
              </w:tc>
              <w:tc>
                <w:tcPr>
                  <w:tcW w:w="1494" w:type="dxa"/>
                  <w:tcBorders>
                    <w:tl2br w:val="nil"/>
                    <w:tr2bl w:val="nil"/>
                  </w:tcBorders>
                  <w:vAlign w:val="center"/>
                </w:tcPr>
                <w:p w14:paraId="1D8304C8">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混凝土输送泵</w:t>
                  </w:r>
                </w:p>
              </w:tc>
              <w:tc>
                <w:tcPr>
                  <w:tcW w:w="567" w:type="dxa"/>
                  <w:tcBorders>
                    <w:tl2br w:val="nil"/>
                    <w:tr2bl w:val="nil"/>
                  </w:tcBorders>
                  <w:vAlign w:val="center"/>
                </w:tcPr>
                <w:p w14:paraId="60CCC176">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90</w:t>
                  </w:r>
                </w:p>
              </w:tc>
              <w:tc>
                <w:tcPr>
                  <w:tcW w:w="534" w:type="dxa"/>
                  <w:tcBorders>
                    <w:tl2br w:val="nil"/>
                    <w:tr2bl w:val="nil"/>
                  </w:tcBorders>
                  <w:vAlign w:val="center"/>
                </w:tcPr>
                <w:p w14:paraId="20942729">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56</w:t>
                  </w:r>
                </w:p>
              </w:tc>
              <w:tc>
                <w:tcPr>
                  <w:tcW w:w="546" w:type="dxa"/>
                  <w:tcBorders>
                    <w:tl2br w:val="nil"/>
                    <w:tr2bl w:val="nil"/>
                  </w:tcBorders>
                  <w:vAlign w:val="center"/>
                </w:tcPr>
                <w:p w14:paraId="05A6FEC8">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50</w:t>
                  </w:r>
                </w:p>
              </w:tc>
              <w:tc>
                <w:tcPr>
                  <w:tcW w:w="578" w:type="dxa"/>
                  <w:tcBorders>
                    <w:tl2br w:val="nil"/>
                    <w:tr2bl w:val="nil"/>
                  </w:tcBorders>
                  <w:vAlign w:val="center"/>
                </w:tcPr>
                <w:p w14:paraId="6445BEE1">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46</w:t>
                  </w:r>
                </w:p>
              </w:tc>
              <w:tc>
                <w:tcPr>
                  <w:tcW w:w="666" w:type="dxa"/>
                  <w:tcBorders>
                    <w:tl2br w:val="nil"/>
                    <w:tr2bl w:val="nil"/>
                  </w:tcBorders>
                  <w:vAlign w:val="center"/>
                </w:tcPr>
                <w:p w14:paraId="71731A37">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44</w:t>
                  </w:r>
                </w:p>
              </w:tc>
              <w:tc>
                <w:tcPr>
                  <w:tcW w:w="537" w:type="dxa"/>
                  <w:tcBorders>
                    <w:tl2br w:val="nil"/>
                    <w:tr2bl w:val="nil"/>
                  </w:tcBorders>
                  <w:vAlign w:val="center"/>
                </w:tcPr>
                <w:p w14:paraId="4F55E1F8">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42</w:t>
                  </w:r>
                </w:p>
              </w:tc>
              <w:tc>
                <w:tcPr>
                  <w:tcW w:w="616" w:type="dxa"/>
                  <w:tcBorders>
                    <w:tl2br w:val="nil"/>
                    <w:tr2bl w:val="nil"/>
                  </w:tcBorders>
                  <w:vAlign w:val="center"/>
                </w:tcPr>
                <w:p w14:paraId="460C036F">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40</w:t>
                  </w:r>
                </w:p>
              </w:tc>
              <w:tc>
                <w:tcPr>
                  <w:tcW w:w="527" w:type="dxa"/>
                  <w:tcBorders>
                    <w:tl2br w:val="nil"/>
                    <w:tr2bl w:val="nil"/>
                  </w:tcBorders>
                  <w:vAlign w:val="center"/>
                </w:tcPr>
                <w:p w14:paraId="7017B49E">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39</w:t>
                  </w:r>
                </w:p>
              </w:tc>
              <w:tc>
                <w:tcPr>
                  <w:tcW w:w="583" w:type="dxa"/>
                  <w:tcBorders>
                    <w:tl2br w:val="nil"/>
                    <w:tr2bl w:val="nil"/>
                  </w:tcBorders>
                  <w:vAlign w:val="center"/>
                </w:tcPr>
                <w:p w14:paraId="7FEB2D0D">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38</w:t>
                  </w:r>
                </w:p>
              </w:tc>
              <w:tc>
                <w:tcPr>
                  <w:tcW w:w="630" w:type="dxa"/>
                  <w:tcBorders>
                    <w:tl2br w:val="nil"/>
                    <w:tr2bl w:val="nil"/>
                  </w:tcBorders>
                  <w:vAlign w:val="center"/>
                </w:tcPr>
                <w:p w14:paraId="6A07F512">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36</w:t>
                  </w:r>
                </w:p>
              </w:tc>
            </w:tr>
            <w:tr w14:paraId="4A353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72" w:type="dxa"/>
                  <w:tcBorders>
                    <w:tl2br w:val="nil"/>
                    <w:tr2bl w:val="nil"/>
                  </w:tcBorders>
                  <w:vAlign w:val="center"/>
                </w:tcPr>
                <w:p w14:paraId="10D2388C">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4</w:t>
                  </w:r>
                </w:p>
              </w:tc>
              <w:tc>
                <w:tcPr>
                  <w:tcW w:w="1494" w:type="dxa"/>
                  <w:tcBorders>
                    <w:tl2br w:val="nil"/>
                    <w:tr2bl w:val="nil"/>
                  </w:tcBorders>
                  <w:vAlign w:val="center"/>
                </w:tcPr>
                <w:p w14:paraId="5B641FBC">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平板拖车组</w:t>
                  </w:r>
                </w:p>
              </w:tc>
              <w:tc>
                <w:tcPr>
                  <w:tcW w:w="567" w:type="dxa"/>
                  <w:tcBorders>
                    <w:tl2br w:val="nil"/>
                    <w:tr2bl w:val="nil"/>
                  </w:tcBorders>
                  <w:vAlign w:val="center"/>
                </w:tcPr>
                <w:p w14:paraId="14AB7263">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85</w:t>
                  </w:r>
                </w:p>
              </w:tc>
              <w:tc>
                <w:tcPr>
                  <w:tcW w:w="534" w:type="dxa"/>
                  <w:tcBorders>
                    <w:tl2br w:val="nil"/>
                    <w:tr2bl w:val="nil"/>
                  </w:tcBorders>
                  <w:vAlign w:val="center"/>
                </w:tcPr>
                <w:p w14:paraId="238DDA08">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51</w:t>
                  </w:r>
                </w:p>
              </w:tc>
              <w:tc>
                <w:tcPr>
                  <w:tcW w:w="546" w:type="dxa"/>
                  <w:tcBorders>
                    <w:tl2br w:val="nil"/>
                    <w:tr2bl w:val="nil"/>
                  </w:tcBorders>
                  <w:vAlign w:val="center"/>
                </w:tcPr>
                <w:p w14:paraId="4574F971">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45</w:t>
                  </w:r>
                </w:p>
              </w:tc>
              <w:tc>
                <w:tcPr>
                  <w:tcW w:w="578" w:type="dxa"/>
                  <w:tcBorders>
                    <w:tl2br w:val="nil"/>
                    <w:tr2bl w:val="nil"/>
                  </w:tcBorders>
                  <w:vAlign w:val="center"/>
                </w:tcPr>
                <w:p w14:paraId="4544ACB1">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41</w:t>
                  </w:r>
                </w:p>
              </w:tc>
              <w:tc>
                <w:tcPr>
                  <w:tcW w:w="666" w:type="dxa"/>
                  <w:tcBorders>
                    <w:tl2br w:val="nil"/>
                    <w:tr2bl w:val="nil"/>
                  </w:tcBorders>
                  <w:vAlign w:val="center"/>
                </w:tcPr>
                <w:p w14:paraId="15639E86">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39</w:t>
                  </w:r>
                </w:p>
              </w:tc>
              <w:tc>
                <w:tcPr>
                  <w:tcW w:w="537" w:type="dxa"/>
                  <w:tcBorders>
                    <w:tl2br w:val="nil"/>
                    <w:tr2bl w:val="nil"/>
                  </w:tcBorders>
                  <w:vAlign w:val="center"/>
                </w:tcPr>
                <w:p w14:paraId="1D325427">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37</w:t>
                  </w:r>
                </w:p>
              </w:tc>
              <w:tc>
                <w:tcPr>
                  <w:tcW w:w="616" w:type="dxa"/>
                  <w:tcBorders>
                    <w:tl2br w:val="nil"/>
                    <w:tr2bl w:val="nil"/>
                  </w:tcBorders>
                  <w:vAlign w:val="center"/>
                </w:tcPr>
                <w:p w14:paraId="64E6BC81">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35</w:t>
                  </w:r>
                </w:p>
              </w:tc>
              <w:tc>
                <w:tcPr>
                  <w:tcW w:w="527" w:type="dxa"/>
                  <w:tcBorders>
                    <w:tl2br w:val="nil"/>
                    <w:tr2bl w:val="nil"/>
                  </w:tcBorders>
                  <w:vAlign w:val="center"/>
                </w:tcPr>
                <w:p w14:paraId="1CF01934">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34</w:t>
                  </w:r>
                </w:p>
              </w:tc>
              <w:tc>
                <w:tcPr>
                  <w:tcW w:w="583" w:type="dxa"/>
                  <w:tcBorders>
                    <w:tl2br w:val="nil"/>
                    <w:tr2bl w:val="nil"/>
                  </w:tcBorders>
                  <w:vAlign w:val="center"/>
                </w:tcPr>
                <w:p w14:paraId="53670C59">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33</w:t>
                  </w:r>
                </w:p>
              </w:tc>
              <w:tc>
                <w:tcPr>
                  <w:tcW w:w="630" w:type="dxa"/>
                  <w:tcBorders>
                    <w:tl2br w:val="nil"/>
                    <w:tr2bl w:val="nil"/>
                  </w:tcBorders>
                  <w:vAlign w:val="center"/>
                </w:tcPr>
                <w:p w14:paraId="30F6B7DE">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31</w:t>
                  </w:r>
                </w:p>
              </w:tc>
            </w:tr>
            <w:tr w14:paraId="0D8D3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72" w:type="dxa"/>
                  <w:tcBorders>
                    <w:tl2br w:val="nil"/>
                    <w:tr2bl w:val="nil"/>
                  </w:tcBorders>
                  <w:vAlign w:val="center"/>
                </w:tcPr>
                <w:p w14:paraId="3E551C63">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5</w:t>
                  </w:r>
                </w:p>
              </w:tc>
              <w:tc>
                <w:tcPr>
                  <w:tcW w:w="1494" w:type="dxa"/>
                  <w:tcBorders>
                    <w:tl2br w:val="nil"/>
                    <w:tr2bl w:val="nil"/>
                  </w:tcBorders>
                  <w:vAlign w:val="center"/>
                </w:tcPr>
                <w:p w14:paraId="04A1A9A1">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钢筋调直机</w:t>
                  </w:r>
                </w:p>
              </w:tc>
              <w:tc>
                <w:tcPr>
                  <w:tcW w:w="567" w:type="dxa"/>
                  <w:tcBorders>
                    <w:tl2br w:val="nil"/>
                    <w:tr2bl w:val="nil"/>
                  </w:tcBorders>
                  <w:vAlign w:val="center"/>
                </w:tcPr>
                <w:p w14:paraId="27847A7A">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85</w:t>
                  </w:r>
                </w:p>
              </w:tc>
              <w:tc>
                <w:tcPr>
                  <w:tcW w:w="534" w:type="dxa"/>
                  <w:tcBorders>
                    <w:tl2br w:val="nil"/>
                    <w:tr2bl w:val="nil"/>
                  </w:tcBorders>
                  <w:vAlign w:val="center"/>
                </w:tcPr>
                <w:p w14:paraId="5A42075F">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51</w:t>
                  </w:r>
                </w:p>
              </w:tc>
              <w:tc>
                <w:tcPr>
                  <w:tcW w:w="546" w:type="dxa"/>
                  <w:tcBorders>
                    <w:tl2br w:val="nil"/>
                    <w:tr2bl w:val="nil"/>
                  </w:tcBorders>
                  <w:vAlign w:val="center"/>
                </w:tcPr>
                <w:p w14:paraId="05B298B7">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45</w:t>
                  </w:r>
                </w:p>
              </w:tc>
              <w:tc>
                <w:tcPr>
                  <w:tcW w:w="578" w:type="dxa"/>
                  <w:tcBorders>
                    <w:tl2br w:val="nil"/>
                    <w:tr2bl w:val="nil"/>
                  </w:tcBorders>
                  <w:vAlign w:val="center"/>
                </w:tcPr>
                <w:p w14:paraId="6E369ACF">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41</w:t>
                  </w:r>
                </w:p>
              </w:tc>
              <w:tc>
                <w:tcPr>
                  <w:tcW w:w="666" w:type="dxa"/>
                  <w:tcBorders>
                    <w:tl2br w:val="nil"/>
                    <w:tr2bl w:val="nil"/>
                  </w:tcBorders>
                  <w:vAlign w:val="center"/>
                </w:tcPr>
                <w:p w14:paraId="4294D4CC">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39</w:t>
                  </w:r>
                </w:p>
              </w:tc>
              <w:tc>
                <w:tcPr>
                  <w:tcW w:w="537" w:type="dxa"/>
                  <w:tcBorders>
                    <w:tl2br w:val="nil"/>
                    <w:tr2bl w:val="nil"/>
                  </w:tcBorders>
                  <w:vAlign w:val="center"/>
                </w:tcPr>
                <w:p w14:paraId="5B907D1B">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37</w:t>
                  </w:r>
                </w:p>
              </w:tc>
              <w:tc>
                <w:tcPr>
                  <w:tcW w:w="616" w:type="dxa"/>
                  <w:tcBorders>
                    <w:tl2br w:val="nil"/>
                    <w:tr2bl w:val="nil"/>
                  </w:tcBorders>
                  <w:vAlign w:val="center"/>
                </w:tcPr>
                <w:p w14:paraId="44D5D11F">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35</w:t>
                  </w:r>
                </w:p>
              </w:tc>
              <w:tc>
                <w:tcPr>
                  <w:tcW w:w="527" w:type="dxa"/>
                  <w:tcBorders>
                    <w:tl2br w:val="nil"/>
                    <w:tr2bl w:val="nil"/>
                  </w:tcBorders>
                  <w:vAlign w:val="center"/>
                </w:tcPr>
                <w:p w14:paraId="07A1406D">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34</w:t>
                  </w:r>
                </w:p>
              </w:tc>
              <w:tc>
                <w:tcPr>
                  <w:tcW w:w="583" w:type="dxa"/>
                  <w:tcBorders>
                    <w:tl2br w:val="nil"/>
                    <w:tr2bl w:val="nil"/>
                  </w:tcBorders>
                  <w:vAlign w:val="center"/>
                </w:tcPr>
                <w:p w14:paraId="344B7EF1">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33</w:t>
                  </w:r>
                </w:p>
              </w:tc>
              <w:tc>
                <w:tcPr>
                  <w:tcW w:w="630" w:type="dxa"/>
                  <w:tcBorders>
                    <w:tl2br w:val="nil"/>
                    <w:tr2bl w:val="nil"/>
                  </w:tcBorders>
                  <w:vAlign w:val="center"/>
                </w:tcPr>
                <w:p w14:paraId="32CF5CD5">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31</w:t>
                  </w:r>
                </w:p>
              </w:tc>
            </w:tr>
            <w:tr w14:paraId="0E391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72" w:type="dxa"/>
                  <w:tcBorders>
                    <w:tl2br w:val="nil"/>
                    <w:tr2bl w:val="nil"/>
                  </w:tcBorders>
                  <w:vAlign w:val="center"/>
                </w:tcPr>
                <w:p w14:paraId="0D6374CA">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6</w:t>
                  </w:r>
                </w:p>
              </w:tc>
              <w:tc>
                <w:tcPr>
                  <w:tcW w:w="1494" w:type="dxa"/>
                  <w:tcBorders>
                    <w:tl2br w:val="nil"/>
                    <w:tr2bl w:val="nil"/>
                  </w:tcBorders>
                  <w:vAlign w:val="center"/>
                </w:tcPr>
                <w:p w14:paraId="0B86496C">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钢筋切断机</w:t>
                  </w:r>
                </w:p>
              </w:tc>
              <w:tc>
                <w:tcPr>
                  <w:tcW w:w="567" w:type="dxa"/>
                  <w:tcBorders>
                    <w:tl2br w:val="nil"/>
                    <w:tr2bl w:val="nil"/>
                  </w:tcBorders>
                  <w:vAlign w:val="center"/>
                </w:tcPr>
                <w:p w14:paraId="37925845">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86</w:t>
                  </w:r>
                </w:p>
              </w:tc>
              <w:tc>
                <w:tcPr>
                  <w:tcW w:w="534" w:type="dxa"/>
                  <w:tcBorders>
                    <w:tl2br w:val="nil"/>
                    <w:tr2bl w:val="nil"/>
                  </w:tcBorders>
                </w:tcPr>
                <w:p w14:paraId="24D1F62A">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52</w:t>
                  </w:r>
                </w:p>
              </w:tc>
              <w:tc>
                <w:tcPr>
                  <w:tcW w:w="546" w:type="dxa"/>
                  <w:tcBorders>
                    <w:tl2br w:val="nil"/>
                    <w:tr2bl w:val="nil"/>
                  </w:tcBorders>
                </w:tcPr>
                <w:p w14:paraId="30B8D169">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46</w:t>
                  </w:r>
                </w:p>
              </w:tc>
              <w:tc>
                <w:tcPr>
                  <w:tcW w:w="578" w:type="dxa"/>
                  <w:tcBorders>
                    <w:tl2br w:val="nil"/>
                    <w:tr2bl w:val="nil"/>
                  </w:tcBorders>
                </w:tcPr>
                <w:p w14:paraId="3CF5EBFE">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42</w:t>
                  </w:r>
                </w:p>
              </w:tc>
              <w:tc>
                <w:tcPr>
                  <w:tcW w:w="666" w:type="dxa"/>
                  <w:tcBorders>
                    <w:tl2br w:val="nil"/>
                    <w:tr2bl w:val="nil"/>
                  </w:tcBorders>
                </w:tcPr>
                <w:p w14:paraId="4373187A">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40</w:t>
                  </w:r>
                </w:p>
              </w:tc>
              <w:tc>
                <w:tcPr>
                  <w:tcW w:w="537" w:type="dxa"/>
                  <w:tcBorders>
                    <w:tl2br w:val="nil"/>
                    <w:tr2bl w:val="nil"/>
                  </w:tcBorders>
                </w:tcPr>
                <w:p w14:paraId="48DE60C7">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38</w:t>
                  </w:r>
                </w:p>
              </w:tc>
              <w:tc>
                <w:tcPr>
                  <w:tcW w:w="616" w:type="dxa"/>
                  <w:tcBorders>
                    <w:tl2br w:val="nil"/>
                    <w:tr2bl w:val="nil"/>
                  </w:tcBorders>
                </w:tcPr>
                <w:p w14:paraId="7376F50E">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36</w:t>
                  </w:r>
                </w:p>
              </w:tc>
              <w:tc>
                <w:tcPr>
                  <w:tcW w:w="527" w:type="dxa"/>
                  <w:tcBorders>
                    <w:tl2br w:val="nil"/>
                    <w:tr2bl w:val="nil"/>
                  </w:tcBorders>
                </w:tcPr>
                <w:p w14:paraId="5F3A5817">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35</w:t>
                  </w:r>
                </w:p>
              </w:tc>
              <w:tc>
                <w:tcPr>
                  <w:tcW w:w="583" w:type="dxa"/>
                  <w:tcBorders>
                    <w:tl2br w:val="nil"/>
                    <w:tr2bl w:val="nil"/>
                  </w:tcBorders>
                </w:tcPr>
                <w:p w14:paraId="3354B3E0">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34</w:t>
                  </w:r>
                </w:p>
              </w:tc>
              <w:tc>
                <w:tcPr>
                  <w:tcW w:w="630" w:type="dxa"/>
                  <w:tcBorders>
                    <w:tl2br w:val="nil"/>
                    <w:tr2bl w:val="nil"/>
                  </w:tcBorders>
                </w:tcPr>
                <w:p w14:paraId="74C55EA6">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32</w:t>
                  </w:r>
                </w:p>
              </w:tc>
            </w:tr>
            <w:tr w14:paraId="407E8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72" w:type="dxa"/>
                  <w:tcBorders>
                    <w:tl2br w:val="nil"/>
                    <w:tr2bl w:val="nil"/>
                  </w:tcBorders>
                  <w:vAlign w:val="center"/>
                </w:tcPr>
                <w:p w14:paraId="43E2A2B7">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7</w:t>
                  </w:r>
                </w:p>
              </w:tc>
              <w:tc>
                <w:tcPr>
                  <w:tcW w:w="1494" w:type="dxa"/>
                  <w:tcBorders>
                    <w:tl2br w:val="nil"/>
                    <w:tr2bl w:val="nil"/>
                  </w:tcBorders>
                  <w:vAlign w:val="center"/>
                </w:tcPr>
                <w:p w14:paraId="747239A8">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钢筋弯曲机</w:t>
                  </w:r>
                </w:p>
              </w:tc>
              <w:tc>
                <w:tcPr>
                  <w:tcW w:w="567" w:type="dxa"/>
                  <w:tcBorders>
                    <w:tl2br w:val="nil"/>
                    <w:tr2bl w:val="nil"/>
                  </w:tcBorders>
                  <w:vAlign w:val="center"/>
                </w:tcPr>
                <w:p w14:paraId="10A05B47">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85</w:t>
                  </w:r>
                </w:p>
              </w:tc>
              <w:tc>
                <w:tcPr>
                  <w:tcW w:w="534" w:type="dxa"/>
                  <w:tcBorders>
                    <w:tl2br w:val="nil"/>
                    <w:tr2bl w:val="nil"/>
                  </w:tcBorders>
                  <w:vAlign w:val="center"/>
                </w:tcPr>
                <w:p w14:paraId="4199A8DB">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51</w:t>
                  </w:r>
                </w:p>
              </w:tc>
              <w:tc>
                <w:tcPr>
                  <w:tcW w:w="546" w:type="dxa"/>
                  <w:tcBorders>
                    <w:tl2br w:val="nil"/>
                    <w:tr2bl w:val="nil"/>
                  </w:tcBorders>
                  <w:vAlign w:val="center"/>
                </w:tcPr>
                <w:p w14:paraId="5721AE44">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45</w:t>
                  </w:r>
                </w:p>
              </w:tc>
              <w:tc>
                <w:tcPr>
                  <w:tcW w:w="578" w:type="dxa"/>
                  <w:tcBorders>
                    <w:tl2br w:val="nil"/>
                    <w:tr2bl w:val="nil"/>
                  </w:tcBorders>
                  <w:vAlign w:val="center"/>
                </w:tcPr>
                <w:p w14:paraId="6EF39E6B">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41</w:t>
                  </w:r>
                </w:p>
              </w:tc>
              <w:tc>
                <w:tcPr>
                  <w:tcW w:w="666" w:type="dxa"/>
                  <w:tcBorders>
                    <w:tl2br w:val="nil"/>
                    <w:tr2bl w:val="nil"/>
                  </w:tcBorders>
                  <w:vAlign w:val="center"/>
                </w:tcPr>
                <w:p w14:paraId="56525350">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39</w:t>
                  </w:r>
                </w:p>
              </w:tc>
              <w:tc>
                <w:tcPr>
                  <w:tcW w:w="537" w:type="dxa"/>
                  <w:tcBorders>
                    <w:tl2br w:val="nil"/>
                    <w:tr2bl w:val="nil"/>
                  </w:tcBorders>
                  <w:vAlign w:val="center"/>
                </w:tcPr>
                <w:p w14:paraId="61487F4C">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37</w:t>
                  </w:r>
                </w:p>
              </w:tc>
              <w:tc>
                <w:tcPr>
                  <w:tcW w:w="616" w:type="dxa"/>
                  <w:tcBorders>
                    <w:tl2br w:val="nil"/>
                    <w:tr2bl w:val="nil"/>
                  </w:tcBorders>
                  <w:vAlign w:val="center"/>
                </w:tcPr>
                <w:p w14:paraId="50FE328F">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35</w:t>
                  </w:r>
                </w:p>
              </w:tc>
              <w:tc>
                <w:tcPr>
                  <w:tcW w:w="527" w:type="dxa"/>
                  <w:tcBorders>
                    <w:tl2br w:val="nil"/>
                    <w:tr2bl w:val="nil"/>
                  </w:tcBorders>
                  <w:vAlign w:val="center"/>
                </w:tcPr>
                <w:p w14:paraId="30EF2C56">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34</w:t>
                  </w:r>
                </w:p>
              </w:tc>
              <w:tc>
                <w:tcPr>
                  <w:tcW w:w="583" w:type="dxa"/>
                  <w:tcBorders>
                    <w:tl2br w:val="nil"/>
                    <w:tr2bl w:val="nil"/>
                  </w:tcBorders>
                  <w:vAlign w:val="center"/>
                </w:tcPr>
                <w:p w14:paraId="38EF80C6">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33</w:t>
                  </w:r>
                </w:p>
              </w:tc>
              <w:tc>
                <w:tcPr>
                  <w:tcW w:w="630" w:type="dxa"/>
                  <w:tcBorders>
                    <w:tl2br w:val="nil"/>
                    <w:tr2bl w:val="nil"/>
                  </w:tcBorders>
                  <w:vAlign w:val="center"/>
                </w:tcPr>
                <w:p w14:paraId="0C34357F">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31</w:t>
                  </w:r>
                </w:p>
              </w:tc>
            </w:tr>
            <w:tr w14:paraId="253C8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72" w:type="dxa"/>
                  <w:tcBorders>
                    <w:tl2br w:val="nil"/>
                    <w:tr2bl w:val="nil"/>
                  </w:tcBorders>
                  <w:vAlign w:val="center"/>
                </w:tcPr>
                <w:p w14:paraId="4D284EAB">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8</w:t>
                  </w:r>
                </w:p>
              </w:tc>
              <w:tc>
                <w:tcPr>
                  <w:tcW w:w="1494" w:type="dxa"/>
                  <w:tcBorders>
                    <w:tl2br w:val="nil"/>
                    <w:tr2bl w:val="nil"/>
                  </w:tcBorders>
                  <w:vAlign w:val="center"/>
                </w:tcPr>
                <w:p w14:paraId="1E5670BD">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柴油发电机</w:t>
                  </w:r>
                </w:p>
              </w:tc>
              <w:tc>
                <w:tcPr>
                  <w:tcW w:w="567" w:type="dxa"/>
                  <w:tcBorders>
                    <w:tl2br w:val="nil"/>
                    <w:tr2bl w:val="nil"/>
                  </w:tcBorders>
                  <w:vAlign w:val="center"/>
                </w:tcPr>
                <w:p w14:paraId="3AB45C91">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115</w:t>
                  </w:r>
                </w:p>
              </w:tc>
              <w:tc>
                <w:tcPr>
                  <w:tcW w:w="534" w:type="dxa"/>
                  <w:tcBorders>
                    <w:tl2br w:val="nil"/>
                    <w:tr2bl w:val="nil"/>
                  </w:tcBorders>
                </w:tcPr>
                <w:p w14:paraId="7783F1AB">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81</w:t>
                  </w:r>
                </w:p>
              </w:tc>
              <w:tc>
                <w:tcPr>
                  <w:tcW w:w="546" w:type="dxa"/>
                  <w:tcBorders>
                    <w:tl2br w:val="nil"/>
                    <w:tr2bl w:val="nil"/>
                  </w:tcBorders>
                </w:tcPr>
                <w:p w14:paraId="09578CDE">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72</w:t>
                  </w:r>
                </w:p>
              </w:tc>
              <w:tc>
                <w:tcPr>
                  <w:tcW w:w="578" w:type="dxa"/>
                  <w:tcBorders>
                    <w:tl2br w:val="nil"/>
                    <w:tr2bl w:val="nil"/>
                  </w:tcBorders>
                </w:tcPr>
                <w:p w14:paraId="15D3895E">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65</w:t>
                  </w:r>
                </w:p>
              </w:tc>
              <w:tc>
                <w:tcPr>
                  <w:tcW w:w="666" w:type="dxa"/>
                  <w:tcBorders>
                    <w:tl2br w:val="nil"/>
                    <w:tr2bl w:val="nil"/>
                  </w:tcBorders>
                </w:tcPr>
                <w:p w14:paraId="71F6BA05">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58</w:t>
                  </w:r>
                </w:p>
              </w:tc>
              <w:tc>
                <w:tcPr>
                  <w:tcW w:w="537" w:type="dxa"/>
                  <w:tcBorders>
                    <w:tl2br w:val="nil"/>
                    <w:tr2bl w:val="nil"/>
                  </w:tcBorders>
                </w:tcPr>
                <w:p w14:paraId="0B4FD20C">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55</w:t>
                  </w:r>
                </w:p>
              </w:tc>
              <w:tc>
                <w:tcPr>
                  <w:tcW w:w="616" w:type="dxa"/>
                  <w:tcBorders>
                    <w:tl2br w:val="nil"/>
                    <w:tr2bl w:val="nil"/>
                  </w:tcBorders>
                </w:tcPr>
                <w:p w14:paraId="55424A9E">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52</w:t>
                  </w:r>
                </w:p>
              </w:tc>
              <w:tc>
                <w:tcPr>
                  <w:tcW w:w="527" w:type="dxa"/>
                  <w:tcBorders>
                    <w:tl2br w:val="nil"/>
                    <w:tr2bl w:val="nil"/>
                  </w:tcBorders>
                </w:tcPr>
                <w:p w14:paraId="0B28D639">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50</w:t>
                  </w:r>
                </w:p>
              </w:tc>
              <w:tc>
                <w:tcPr>
                  <w:tcW w:w="583" w:type="dxa"/>
                  <w:tcBorders>
                    <w:tl2br w:val="nil"/>
                    <w:tr2bl w:val="nil"/>
                  </w:tcBorders>
                </w:tcPr>
                <w:p w14:paraId="5FAB8173">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49</w:t>
                  </w:r>
                </w:p>
              </w:tc>
              <w:tc>
                <w:tcPr>
                  <w:tcW w:w="630" w:type="dxa"/>
                  <w:tcBorders>
                    <w:tl2br w:val="nil"/>
                    <w:tr2bl w:val="nil"/>
                  </w:tcBorders>
                </w:tcPr>
                <w:p w14:paraId="77326D38">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48</w:t>
                  </w:r>
                </w:p>
              </w:tc>
            </w:tr>
            <w:tr w14:paraId="3E916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72" w:type="dxa"/>
                  <w:tcBorders>
                    <w:tl2br w:val="nil"/>
                    <w:tr2bl w:val="nil"/>
                  </w:tcBorders>
                  <w:vAlign w:val="center"/>
                </w:tcPr>
                <w:p w14:paraId="32FBBA9B">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9</w:t>
                  </w:r>
                </w:p>
              </w:tc>
              <w:tc>
                <w:tcPr>
                  <w:tcW w:w="1494" w:type="dxa"/>
                  <w:tcBorders>
                    <w:tl2br w:val="nil"/>
                    <w:tr2bl w:val="nil"/>
                  </w:tcBorders>
                  <w:vAlign w:val="center"/>
                </w:tcPr>
                <w:p w14:paraId="79BDBF87">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挖掘机</w:t>
                  </w:r>
                </w:p>
              </w:tc>
              <w:tc>
                <w:tcPr>
                  <w:tcW w:w="567" w:type="dxa"/>
                  <w:tcBorders>
                    <w:tl2br w:val="nil"/>
                    <w:tr2bl w:val="nil"/>
                  </w:tcBorders>
                  <w:vAlign w:val="center"/>
                </w:tcPr>
                <w:p w14:paraId="6B73279B">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80</w:t>
                  </w:r>
                </w:p>
              </w:tc>
              <w:tc>
                <w:tcPr>
                  <w:tcW w:w="534" w:type="dxa"/>
                  <w:tcBorders>
                    <w:tl2br w:val="nil"/>
                    <w:tr2bl w:val="nil"/>
                  </w:tcBorders>
                </w:tcPr>
                <w:p w14:paraId="306030C3">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46</w:t>
                  </w:r>
                </w:p>
              </w:tc>
              <w:tc>
                <w:tcPr>
                  <w:tcW w:w="546" w:type="dxa"/>
                  <w:tcBorders>
                    <w:tl2br w:val="nil"/>
                    <w:tr2bl w:val="nil"/>
                  </w:tcBorders>
                </w:tcPr>
                <w:p w14:paraId="75C71300">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39</w:t>
                  </w:r>
                </w:p>
              </w:tc>
              <w:tc>
                <w:tcPr>
                  <w:tcW w:w="578" w:type="dxa"/>
                  <w:tcBorders>
                    <w:tl2br w:val="nil"/>
                    <w:tr2bl w:val="nil"/>
                  </w:tcBorders>
                </w:tcPr>
                <w:p w14:paraId="267650FF">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36</w:t>
                  </w:r>
                </w:p>
              </w:tc>
              <w:tc>
                <w:tcPr>
                  <w:tcW w:w="666" w:type="dxa"/>
                  <w:tcBorders>
                    <w:tl2br w:val="nil"/>
                    <w:tr2bl w:val="nil"/>
                  </w:tcBorders>
                </w:tcPr>
                <w:p w14:paraId="3C42C9C7">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34</w:t>
                  </w:r>
                </w:p>
              </w:tc>
              <w:tc>
                <w:tcPr>
                  <w:tcW w:w="537" w:type="dxa"/>
                  <w:tcBorders>
                    <w:tl2br w:val="nil"/>
                    <w:tr2bl w:val="nil"/>
                  </w:tcBorders>
                </w:tcPr>
                <w:p w14:paraId="6DAADA3F">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32</w:t>
                  </w:r>
                </w:p>
              </w:tc>
              <w:tc>
                <w:tcPr>
                  <w:tcW w:w="616" w:type="dxa"/>
                  <w:tcBorders>
                    <w:tl2br w:val="nil"/>
                    <w:tr2bl w:val="nil"/>
                  </w:tcBorders>
                </w:tcPr>
                <w:p w14:paraId="727E3C21">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30</w:t>
                  </w:r>
                </w:p>
              </w:tc>
              <w:tc>
                <w:tcPr>
                  <w:tcW w:w="527" w:type="dxa"/>
                  <w:tcBorders>
                    <w:tl2br w:val="nil"/>
                    <w:tr2bl w:val="nil"/>
                  </w:tcBorders>
                </w:tcPr>
                <w:p w14:paraId="46AB2F68">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29</w:t>
                  </w:r>
                </w:p>
              </w:tc>
              <w:tc>
                <w:tcPr>
                  <w:tcW w:w="583" w:type="dxa"/>
                  <w:tcBorders>
                    <w:tl2br w:val="nil"/>
                    <w:tr2bl w:val="nil"/>
                  </w:tcBorders>
                </w:tcPr>
                <w:p w14:paraId="3D1AB8A2">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28</w:t>
                  </w:r>
                </w:p>
              </w:tc>
              <w:tc>
                <w:tcPr>
                  <w:tcW w:w="630" w:type="dxa"/>
                  <w:tcBorders>
                    <w:tl2br w:val="nil"/>
                    <w:tr2bl w:val="nil"/>
                  </w:tcBorders>
                </w:tcPr>
                <w:p w14:paraId="107AAA3E">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26</w:t>
                  </w:r>
                </w:p>
              </w:tc>
            </w:tr>
            <w:tr w14:paraId="21C0F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72" w:type="dxa"/>
                  <w:tcBorders>
                    <w:tl2br w:val="nil"/>
                    <w:tr2bl w:val="nil"/>
                  </w:tcBorders>
                  <w:vAlign w:val="center"/>
                </w:tcPr>
                <w:p w14:paraId="2B1B03AE">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10</w:t>
                  </w:r>
                </w:p>
              </w:tc>
              <w:tc>
                <w:tcPr>
                  <w:tcW w:w="1494" w:type="dxa"/>
                  <w:tcBorders>
                    <w:tl2br w:val="nil"/>
                    <w:tr2bl w:val="nil"/>
                  </w:tcBorders>
                  <w:vAlign w:val="center"/>
                </w:tcPr>
                <w:p w14:paraId="638C9FBC">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钎入式振捣器</w:t>
                  </w:r>
                </w:p>
              </w:tc>
              <w:tc>
                <w:tcPr>
                  <w:tcW w:w="567" w:type="dxa"/>
                  <w:tcBorders>
                    <w:tl2br w:val="nil"/>
                    <w:tr2bl w:val="nil"/>
                  </w:tcBorders>
                  <w:vAlign w:val="center"/>
                </w:tcPr>
                <w:p w14:paraId="6966B2D9">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102</w:t>
                  </w:r>
                </w:p>
              </w:tc>
              <w:tc>
                <w:tcPr>
                  <w:tcW w:w="534" w:type="dxa"/>
                  <w:tcBorders>
                    <w:tl2br w:val="nil"/>
                    <w:tr2bl w:val="nil"/>
                  </w:tcBorders>
                </w:tcPr>
                <w:p w14:paraId="17E759E1">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68</w:t>
                  </w:r>
                </w:p>
              </w:tc>
              <w:tc>
                <w:tcPr>
                  <w:tcW w:w="546" w:type="dxa"/>
                  <w:tcBorders>
                    <w:tl2br w:val="nil"/>
                    <w:tr2bl w:val="nil"/>
                  </w:tcBorders>
                </w:tcPr>
                <w:p w14:paraId="3A8F8140">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62</w:t>
                  </w:r>
                </w:p>
              </w:tc>
              <w:tc>
                <w:tcPr>
                  <w:tcW w:w="578" w:type="dxa"/>
                  <w:tcBorders>
                    <w:tl2br w:val="nil"/>
                    <w:tr2bl w:val="nil"/>
                  </w:tcBorders>
                </w:tcPr>
                <w:p w14:paraId="25AFE6E9">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58</w:t>
                  </w:r>
                </w:p>
              </w:tc>
              <w:tc>
                <w:tcPr>
                  <w:tcW w:w="666" w:type="dxa"/>
                  <w:tcBorders>
                    <w:tl2br w:val="nil"/>
                    <w:tr2bl w:val="nil"/>
                  </w:tcBorders>
                </w:tcPr>
                <w:p w14:paraId="559F9573">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56</w:t>
                  </w:r>
                </w:p>
              </w:tc>
              <w:tc>
                <w:tcPr>
                  <w:tcW w:w="537" w:type="dxa"/>
                  <w:tcBorders>
                    <w:tl2br w:val="nil"/>
                    <w:tr2bl w:val="nil"/>
                  </w:tcBorders>
                </w:tcPr>
                <w:p w14:paraId="65718892">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54</w:t>
                  </w:r>
                </w:p>
              </w:tc>
              <w:tc>
                <w:tcPr>
                  <w:tcW w:w="616" w:type="dxa"/>
                  <w:tcBorders>
                    <w:tl2br w:val="nil"/>
                    <w:tr2bl w:val="nil"/>
                  </w:tcBorders>
                </w:tcPr>
                <w:p w14:paraId="291EC03A">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52</w:t>
                  </w:r>
                </w:p>
              </w:tc>
              <w:tc>
                <w:tcPr>
                  <w:tcW w:w="527" w:type="dxa"/>
                  <w:tcBorders>
                    <w:tl2br w:val="nil"/>
                    <w:tr2bl w:val="nil"/>
                  </w:tcBorders>
                </w:tcPr>
                <w:p w14:paraId="102A25FD">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51</w:t>
                  </w:r>
                </w:p>
              </w:tc>
              <w:tc>
                <w:tcPr>
                  <w:tcW w:w="583" w:type="dxa"/>
                  <w:tcBorders>
                    <w:tl2br w:val="nil"/>
                    <w:tr2bl w:val="nil"/>
                  </w:tcBorders>
                </w:tcPr>
                <w:p w14:paraId="642F40CE">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50</w:t>
                  </w:r>
                </w:p>
              </w:tc>
              <w:tc>
                <w:tcPr>
                  <w:tcW w:w="630" w:type="dxa"/>
                  <w:tcBorders>
                    <w:tl2br w:val="nil"/>
                    <w:tr2bl w:val="nil"/>
                  </w:tcBorders>
                </w:tcPr>
                <w:p w14:paraId="230CCCD3">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48</w:t>
                  </w:r>
                </w:p>
              </w:tc>
            </w:tr>
            <w:tr w14:paraId="1FFBE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72" w:type="dxa"/>
                  <w:tcBorders>
                    <w:tl2br w:val="nil"/>
                    <w:tr2bl w:val="nil"/>
                  </w:tcBorders>
                  <w:vAlign w:val="center"/>
                </w:tcPr>
                <w:p w14:paraId="2DECE3F5">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11</w:t>
                  </w:r>
                </w:p>
              </w:tc>
              <w:tc>
                <w:tcPr>
                  <w:tcW w:w="1494" w:type="dxa"/>
                  <w:tcBorders>
                    <w:tl2br w:val="nil"/>
                    <w:tr2bl w:val="nil"/>
                  </w:tcBorders>
                  <w:vAlign w:val="center"/>
                </w:tcPr>
                <w:p w14:paraId="58E808F0">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直流电焊机</w:t>
                  </w:r>
                </w:p>
              </w:tc>
              <w:tc>
                <w:tcPr>
                  <w:tcW w:w="567" w:type="dxa"/>
                  <w:tcBorders>
                    <w:tl2br w:val="nil"/>
                    <w:tr2bl w:val="nil"/>
                  </w:tcBorders>
                  <w:vAlign w:val="center"/>
                </w:tcPr>
                <w:p w14:paraId="25FEA925">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90</w:t>
                  </w:r>
                </w:p>
              </w:tc>
              <w:tc>
                <w:tcPr>
                  <w:tcW w:w="534" w:type="dxa"/>
                  <w:tcBorders>
                    <w:tl2br w:val="nil"/>
                    <w:tr2bl w:val="nil"/>
                  </w:tcBorders>
                  <w:vAlign w:val="center"/>
                </w:tcPr>
                <w:p w14:paraId="60DB6576">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56</w:t>
                  </w:r>
                </w:p>
              </w:tc>
              <w:tc>
                <w:tcPr>
                  <w:tcW w:w="546" w:type="dxa"/>
                  <w:tcBorders>
                    <w:tl2br w:val="nil"/>
                    <w:tr2bl w:val="nil"/>
                  </w:tcBorders>
                  <w:vAlign w:val="center"/>
                </w:tcPr>
                <w:p w14:paraId="472AA24B">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50</w:t>
                  </w:r>
                </w:p>
              </w:tc>
              <w:tc>
                <w:tcPr>
                  <w:tcW w:w="578" w:type="dxa"/>
                  <w:tcBorders>
                    <w:tl2br w:val="nil"/>
                    <w:tr2bl w:val="nil"/>
                  </w:tcBorders>
                  <w:vAlign w:val="center"/>
                </w:tcPr>
                <w:p w14:paraId="25A6A284">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46</w:t>
                  </w:r>
                </w:p>
              </w:tc>
              <w:tc>
                <w:tcPr>
                  <w:tcW w:w="666" w:type="dxa"/>
                  <w:tcBorders>
                    <w:tl2br w:val="nil"/>
                    <w:tr2bl w:val="nil"/>
                  </w:tcBorders>
                  <w:vAlign w:val="center"/>
                </w:tcPr>
                <w:p w14:paraId="60B37905">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44</w:t>
                  </w:r>
                </w:p>
              </w:tc>
              <w:tc>
                <w:tcPr>
                  <w:tcW w:w="537" w:type="dxa"/>
                  <w:tcBorders>
                    <w:tl2br w:val="nil"/>
                    <w:tr2bl w:val="nil"/>
                  </w:tcBorders>
                  <w:vAlign w:val="center"/>
                </w:tcPr>
                <w:p w14:paraId="1391B777">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42</w:t>
                  </w:r>
                </w:p>
              </w:tc>
              <w:tc>
                <w:tcPr>
                  <w:tcW w:w="616" w:type="dxa"/>
                  <w:tcBorders>
                    <w:tl2br w:val="nil"/>
                    <w:tr2bl w:val="nil"/>
                  </w:tcBorders>
                  <w:vAlign w:val="center"/>
                </w:tcPr>
                <w:p w14:paraId="13CB136F">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40</w:t>
                  </w:r>
                </w:p>
              </w:tc>
              <w:tc>
                <w:tcPr>
                  <w:tcW w:w="527" w:type="dxa"/>
                  <w:tcBorders>
                    <w:tl2br w:val="nil"/>
                    <w:tr2bl w:val="nil"/>
                  </w:tcBorders>
                  <w:vAlign w:val="center"/>
                </w:tcPr>
                <w:p w14:paraId="4B7A8FEC">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39</w:t>
                  </w:r>
                </w:p>
              </w:tc>
              <w:tc>
                <w:tcPr>
                  <w:tcW w:w="583" w:type="dxa"/>
                  <w:tcBorders>
                    <w:tl2br w:val="nil"/>
                    <w:tr2bl w:val="nil"/>
                  </w:tcBorders>
                  <w:vAlign w:val="center"/>
                </w:tcPr>
                <w:p w14:paraId="176F2D81">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38</w:t>
                  </w:r>
                </w:p>
              </w:tc>
              <w:tc>
                <w:tcPr>
                  <w:tcW w:w="630" w:type="dxa"/>
                  <w:tcBorders>
                    <w:tl2br w:val="nil"/>
                    <w:tr2bl w:val="nil"/>
                  </w:tcBorders>
                  <w:vAlign w:val="center"/>
                </w:tcPr>
                <w:p w14:paraId="4DECC5B5">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36</w:t>
                  </w:r>
                </w:p>
              </w:tc>
            </w:tr>
            <w:tr w14:paraId="33908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72" w:type="dxa"/>
                  <w:tcBorders>
                    <w:tl2br w:val="nil"/>
                    <w:tr2bl w:val="nil"/>
                  </w:tcBorders>
                  <w:vAlign w:val="center"/>
                </w:tcPr>
                <w:p w14:paraId="7C559367">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12</w:t>
                  </w:r>
                </w:p>
              </w:tc>
              <w:tc>
                <w:tcPr>
                  <w:tcW w:w="1494" w:type="dxa"/>
                  <w:tcBorders>
                    <w:tl2br w:val="nil"/>
                    <w:tr2bl w:val="nil"/>
                  </w:tcBorders>
                  <w:vAlign w:val="center"/>
                </w:tcPr>
                <w:p w14:paraId="0479D865">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交流电焊机</w:t>
                  </w:r>
                </w:p>
              </w:tc>
              <w:tc>
                <w:tcPr>
                  <w:tcW w:w="567" w:type="dxa"/>
                  <w:tcBorders>
                    <w:tl2br w:val="nil"/>
                    <w:tr2bl w:val="nil"/>
                  </w:tcBorders>
                  <w:vAlign w:val="center"/>
                </w:tcPr>
                <w:p w14:paraId="4AEFB41F">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100</w:t>
                  </w:r>
                </w:p>
              </w:tc>
              <w:tc>
                <w:tcPr>
                  <w:tcW w:w="534" w:type="dxa"/>
                  <w:tcBorders>
                    <w:tl2br w:val="nil"/>
                    <w:tr2bl w:val="nil"/>
                  </w:tcBorders>
                </w:tcPr>
                <w:p w14:paraId="55919D71">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66</w:t>
                  </w:r>
                </w:p>
              </w:tc>
              <w:tc>
                <w:tcPr>
                  <w:tcW w:w="546" w:type="dxa"/>
                  <w:tcBorders>
                    <w:tl2br w:val="nil"/>
                    <w:tr2bl w:val="nil"/>
                  </w:tcBorders>
                </w:tcPr>
                <w:p w14:paraId="623E621B">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60</w:t>
                  </w:r>
                </w:p>
              </w:tc>
              <w:tc>
                <w:tcPr>
                  <w:tcW w:w="578" w:type="dxa"/>
                  <w:tcBorders>
                    <w:tl2br w:val="nil"/>
                    <w:tr2bl w:val="nil"/>
                  </w:tcBorders>
                </w:tcPr>
                <w:p w14:paraId="406A67F0">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56</w:t>
                  </w:r>
                </w:p>
              </w:tc>
              <w:tc>
                <w:tcPr>
                  <w:tcW w:w="666" w:type="dxa"/>
                  <w:tcBorders>
                    <w:tl2br w:val="nil"/>
                    <w:tr2bl w:val="nil"/>
                  </w:tcBorders>
                </w:tcPr>
                <w:p w14:paraId="60DB5488">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54</w:t>
                  </w:r>
                </w:p>
              </w:tc>
              <w:tc>
                <w:tcPr>
                  <w:tcW w:w="537" w:type="dxa"/>
                  <w:tcBorders>
                    <w:tl2br w:val="nil"/>
                    <w:tr2bl w:val="nil"/>
                  </w:tcBorders>
                </w:tcPr>
                <w:p w14:paraId="0AD91ED2">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52</w:t>
                  </w:r>
                </w:p>
              </w:tc>
              <w:tc>
                <w:tcPr>
                  <w:tcW w:w="616" w:type="dxa"/>
                  <w:tcBorders>
                    <w:tl2br w:val="nil"/>
                    <w:tr2bl w:val="nil"/>
                  </w:tcBorders>
                </w:tcPr>
                <w:p w14:paraId="6B71F7DE">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50</w:t>
                  </w:r>
                </w:p>
              </w:tc>
              <w:tc>
                <w:tcPr>
                  <w:tcW w:w="527" w:type="dxa"/>
                  <w:tcBorders>
                    <w:tl2br w:val="nil"/>
                    <w:tr2bl w:val="nil"/>
                  </w:tcBorders>
                </w:tcPr>
                <w:p w14:paraId="4397CB09">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49</w:t>
                  </w:r>
                </w:p>
              </w:tc>
              <w:tc>
                <w:tcPr>
                  <w:tcW w:w="583" w:type="dxa"/>
                  <w:tcBorders>
                    <w:tl2br w:val="nil"/>
                    <w:tr2bl w:val="nil"/>
                  </w:tcBorders>
                </w:tcPr>
                <w:p w14:paraId="7762E9A4">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48</w:t>
                  </w:r>
                </w:p>
              </w:tc>
              <w:tc>
                <w:tcPr>
                  <w:tcW w:w="630" w:type="dxa"/>
                  <w:tcBorders>
                    <w:tl2br w:val="nil"/>
                    <w:tr2bl w:val="nil"/>
                  </w:tcBorders>
                </w:tcPr>
                <w:p w14:paraId="363976F4">
                  <w:pPr>
                    <w:spacing w:after="100" w:afterAutospacing="1" w:line="320" w:lineRule="exact"/>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46</w:t>
                  </w:r>
                </w:p>
              </w:tc>
            </w:tr>
          </w:tbl>
          <w:p w14:paraId="47EA5235">
            <w:pPr>
              <w:spacing w:before="120" w:beforeLines="50"/>
              <w:ind w:firstLine="480" w:firstLineChars="200"/>
              <w:rPr>
                <w:color w:val="000000" w:themeColor="text1"/>
                <w:szCs w:val="21"/>
                <w:u w:val="none"/>
                <w14:textFill>
                  <w14:solidFill>
                    <w14:schemeClr w14:val="tx1"/>
                  </w14:solidFill>
                </w14:textFill>
              </w:rPr>
            </w:pPr>
            <w:r>
              <w:rPr>
                <w:color w:val="000000" w:themeColor="text1"/>
                <w:szCs w:val="21"/>
                <w:u w:val="none"/>
                <w14:textFill>
                  <w14:solidFill>
                    <w14:schemeClr w14:val="tx1"/>
                  </w14:solidFill>
                </w14:textFill>
              </w:rPr>
              <w:t>从表4</w:t>
            </w:r>
            <w:r>
              <w:rPr>
                <w:rFonts w:hint="eastAsia"/>
                <w:color w:val="000000" w:themeColor="text1"/>
                <w:szCs w:val="21"/>
                <w:u w:val="none"/>
                <w:lang w:val="en-US" w:eastAsia="zh-CN"/>
                <w14:textFill>
                  <w14:solidFill>
                    <w14:schemeClr w14:val="tx1"/>
                  </w14:solidFill>
                </w14:textFill>
              </w:rPr>
              <w:t>.2</w:t>
            </w:r>
            <w:r>
              <w:rPr>
                <w:color w:val="000000" w:themeColor="text1"/>
                <w:szCs w:val="21"/>
                <w:u w:val="none"/>
                <w14:textFill>
                  <w14:solidFill>
                    <w14:schemeClr w14:val="tx1"/>
                  </w14:solidFill>
                </w14:textFill>
              </w:rPr>
              <w:t>-</w:t>
            </w:r>
            <w:r>
              <w:rPr>
                <w:rFonts w:hint="eastAsia"/>
                <w:color w:val="000000" w:themeColor="text1"/>
                <w:szCs w:val="21"/>
                <w:u w:val="none"/>
                <w:lang w:val="en-US" w:eastAsia="zh-CN"/>
                <w14:textFill>
                  <w14:solidFill>
                    <w14:schemeClr w14:val="tx1"/>
                  </w14:solidFill>
                </w14:textFill>
              </w:rPr>
              <w:t>1</w:t>
            </w:r>
            <w:r>
              <w:rPr>
                <w:color w:val="000000" w:themeColor="text1"/>
                <w:szCs w:val="21"/>
                <w:u w:val="none"/>
                <w14:textFill>
                  <w14:solidFill>
                    <w14:schemeClr w14:val="tx1"/>
                  </w14:solidFill>
                </w14:textFill>
              </w:rPr>
              <w:t>可以看出，距主要声源100m处的昼间噪声可以达到70dB（A）的要求；若夜间施工，距主要声源250m处的环境噪声可满足55dB（A）的夜间标准值要求。</w:t>
            </w:r>
          </w:p>
          <w:p w14:paraId="53E6E81C">
            <w:pPr>
              <w:ind w:firstLine="482" w:firstLineChars="200"/>
              <w:rPr>
                <w:b/>
                <w:color w:val="000000" w:themeColor="text1"/>
                <w:szCs w:val="21"/>
                <w:u w:val="none"/>
                <w14:textFill>
                  <w14:solidFill>
                    <w14:schemeClr w14:val="tx1"/>
                  </w14:solidFill>
                </w14:textFill>
              </w:rPr>
            </w:pPr>
            <w:r>
              <w:rPr>
                <w:b/>
                <w:color w:val="000000" w:themeColor="text1"/>
                <w:szCs w:val="21"/>
                <w:u w:val="none"/>
                <w14:textFill>
                  <w14:solidFill>
                    <w14:schemeClr w14:val="tx1"/>
                  </w14:solidFill>
                </w14:textFill>
              </w:rPr>
              <w:t>a）施工营地施工对周边声环境的影响</w:t>
            </w:r>
          </w:p>
          <w:p w14:paraId="158B4737">
            <w:pPr>
              <w:ind w:firstLine="480" w:firstLineChars="200"/>
              <w:rPr>
                <w:color w:val="000000" w:themeColor="text1"/>
                <w:szCs w:val="21"/>
                <w:u w:val="none"/>
                <w14:textFill>
                  <w14:solidFill>
                    <w14:schemeClr w14:val="tx1"/>
                  </w14:solidFill>
                </w14:textFill>
              </w:rPr>
            </w:pPr>
            <w:r>
              <w:rPr>
                <w:color w:val="000000" w:themeColor="text1"/>
                <w:szCs w:val="21"/>
                <w:u w:val="none"/>
                <w14:textFill>
                  <w14:solidFill>
                    <w14:schemeClr w14:val="tx1"/>
                  </w14:solidFill>
                </w14:textFill>
              </w:rPr>
              <w:t>本项目</w:t>
            </w:r>
            <w:r>
              <w:rPr>
                <w:rFonts w:hint="eastAsia"/>
                <w:color w:val="000000" w:themeColor="text1"/>
                <w:szCs w:val="21"/>
                <w:u w:val="none"/>
                <w:lang w:val="en-US" w:eastAsia="zh-CN"/>
                <w14:textFill>
                  <w14:solidFill>
                    <w14:schemeClr w14:val="tx1"/>
                  </w14:solidFill>
                </w14:textFill>
              </w:rPr>
              <w:t>不设临时生活办公区，租用当地居民房屋</w:t>
            </w:r>
            <w:r>
              <w:rPr>
                <w:color w:val="000000" w:themeColor="text1"/>
                <w:szCs w:val="21"/>
                <w:u w:val="none"/>
                <w14:textFill>
                  <w14:solidFill>
                    <w14:schemeClr w14:val="tx1"/>
                  </w14:solidFill>
                </w14:textFill>
              </w:rPr>
              <w:t>。因此，本项目施工营地运行对周边声环境无影响。</w:t>
            </w:r>
          </w:p>
          <w:p w14:paraId="0858A2AC">
            <w:pPr>
              <w:ind w:firstLine="482" w:firstLineChars="200"/>
              <w:rPr>
                <w:b/>
                <w:color w:val="000000" w:themeColor="text1"/>
                <w:szCs w:val="21"/>
                <w:u w:val="none"/>
                <w14:textFill>
                  <w14:solidFill>
                    <w14:schemeClr w14:val="tx1"/>
                  </w14:solidFill>
                </w14:textFill>
              </w:rPr>
            </w:pPr>
            <w:r>
              <w:rPr>
                <w:b/>
                <w:color w:val="000000" w:themeColor="text1"/>
                <w:szCs w:val="21"/>
                <w:u w:val="none"/>
                <w14:textFill>
                  <w14:solidFill>
                    <w14:schemeClr w14:val="tx1"/>
                  </w14:solidFill>
                </w14:textFill>
              </w:rPr>
              <w:t>b）升压站施工对周边声环境的影响</w:t>
            </w:r>
          </w:p>
          <w:p w14:paraId="046C88C8">
            <w:pPr>
              <w:ind w:firstLine="480" w:firstLineChars="200"/>
              <w:rPr>
                <w:color w:val="000000" w:themeColor="text1"/>
                <w:szCs w:val="21"/>
                <w:u w:val="none"/>
                <w14:textFill>
                  <w14:solidFill>
                    <w14:schemeClr w14:val="tx1"/>
                  </w14:solidFill>
                </w14:textFill>
              </w:rPr>
            </w:pPr>
            <w:r>
              <w:rPr>
                <w:color w:val="000000" w:themeColor="text1"/>
                <w:szCs w:val="21"/>
                <w:u w:val="none"/>
                <w14:textFill>
                  <w14:solidFill>
                    <w14:schemeClr w14:val="tx1"/>
                  </w14:solidFill>
                </w14:textFill>
              </w:rPr>
              <w:t>本项目升压站</w:t>
            </w:r>
            <w:r>
              <w:rPr>
                <w:rFonts w:hint="eastAsia"/>
                <w:color w:val="000000" w:themeColor="text1"/>
                <w:szCs w:val="21"/>
                <w:u w:val="none"/>
                <w:lang w:val="en-US" w:eastAsia="zh-CN"/>
                <w14:textFill>
                  <w14:solidFill>
                    <w14:schemeClr w14:val="tx1"/>
                  </w14:solidFill>
                </w14:textFill>
              </w:rPr>
              <w:t>500</w:t>
            </w:r>
            <w:r>
              <w:rPr>
                <w:color w:val="000000" w:themeColor="text1"/>
                <w:szCs w:val="21"/>
                <w:u w:val="none"/>
                <w14:textFill>
                  <w14:solidFill>
                    <w14:schemeClr w14:val="tx1"/>
                  </w14:solidFill>
                </w14:textFill>
              </w:rPr>
              <w:t>m范围</w:t>
            </w:r>
            <w:r>
              <w:rPr>
                <w:rFonts w:hint="eastAsia"/>
                <w:color w:val="000000" w:themeColor="text1"/>
                <w:szCs w:val="21"/>
                <w:u w:val="none"/>
                <w:lang w:val="en-US" w:eastAsia="zh-CN"/>
                <w14:textFill>
                  <w14:solidFill>
                    <w14:schemeClr w14:val="tx1"/>
                  </w14:solidFill>
                </w14:textFill>
              </w:rPr>
              <w:t>内无</w:t>
            </w:r>
            <w:r>
              <w:rPr>
                <w:color w:val="000000" w:themeColor="text1"/>
                <w:szCs w:val="21"/>
                <w:u w:val="none"/>
                <w14:textFill>
                  <w14:solidFill>
                    <w14:schemeClr w14:val="tx1"/>
                  </w14:solidFill>
                </w14:textFill>
              </w:rPr>
              <w:t>居民</w:t>
            </w:r>
            <w:r>
              <w:rPr>
                <w:rFonts w:hint="eastAsia"/>
                <w:color w:val="000000" w:themeColor="text1"/>
                <w:szCs w:val="21"/>
                <w:u w:val="none"/>
                <w:lang w:val="en-US" w:eastAsia="zh-CN"/>
                <w14:textFill>
                  <w14:solidFill>
                    <w14:schemeClr w14:val="tx1"/>
                  </w14:solidFill>
                </w14:textFill>
              </w:rPr>
              <w:t>点</w:t>
            </w:r>
            <w:r>
              <w:rPr>
                <w:color w:val="000000" w:themeColor="text1"/>
                <w:szCs w:val="21"/>
                <w:u w:val="none"/>
                <w14:textFill>
                  <w14:solidFill>
                    <w14:schemeClr w14:val="tx1"/>
                  </w14:solidFill>
                </w14:textFill>
              </w:rPr>
              <w:t>。</w:t>
            </w:r>
            <w:r>
              <w:rPr>
                <w:rFonts w:hint="eastAsia"/>
                <w:color w:val="000000" w:themeColor="text1"/>
                <w:szCs w:val="21"/>
                <w:u w:val="none"/>
                <w14:textFill>
                  <w14:solidFill>
                    <w14:schemeClr w14:val="tx1"/>
                  </w14:solidFill>
                </w14:textFill>
              </w:rPr>
              <w:t>风机施工平台主要为挖掘机、起重机、商品混凝土车辆泵的噪声</w:t>
            </w:r>
            <w:r>
              <w:rPr>
                <w:rFonts w:hint="eastAsia"/>
                <w:color w:val="000000" w:themeColor="text1"/>
                <w:szCs w:val="21"/>
                <w:u w:val="none"/>
                <w:lang w:eastAsia="zh-CN"/>
                <w14:textFill>
                  <w14:solidFill>
                    <w14:schemeClr w14:val="tx1"/>
                  </w14:solidFill>
                </w14:textFill>
              </w:rPr>
              <w:t>，</w:t>
            </w:r>
            <w:r>
              <w:rPr>
                <w:rFonts w:hint="eastAsia"/>
                <w:color w:val="000000" w:themeColor="text1"/>
                <w:szCs w:val="21"/>
                <w:u w:val="none"/>
                <w:lang w:val="en-US" w:eastAsia="zh-CN"/>
                <w14:textFill>
                  <w14:solidFill>
                    <w14:schemeClr w14:val="tx1"/>
                  </w14:solidFill>
                </w14:textFill>
              </w:rPr>
              <w:t>根据</w:t>
            </w:r>
            <w:r>
              <w:rPr>
                <w:rFonts w:hint="eastAsia"/>
                <w:color w:val="000000" w:themeColor="text1"/>
                <w:szCs w:val="21"/>
                <w:u w:val="none"/>
                <w:lang w:eastAsia="zh-CN"/>
                <w14:textFill>
                  <w14:solidFill>
                    <w14:schemeClr w14:val="tx1"/>
                  </w14:solidFill>
                </w14:textFill>
              </w:rPr>
              <w:t>施工机械噪声预测，距主要声源 100m处的昼间噪声可以达到70dB（A）的要求</w:t>
            </w:r>
            <w:r>
              <w:rPr>
                <w:rFonts w:hint="eastAsia"/>
                <w:color w:val="000000" w:themeColor="text1"/>
                <w:szCs w:val="21"/>
                <w:u w:val="none"/>
                <w:lang w:val="en-US" w:eastAsia="zh-CN"/>
                <w14:textFill>
                  <w14:solidFill>
                    <w14:schemeClr w14:val="tx1"/>
                  </w14:solidFill>
                </w14:textFill>
              </w:rPr>
              <w:t>；夜间不施工。</w:t>
            </w:r>
            <w:r>
              <w:rPr>
                <w:color w:val="000000" w:themeColor="text1"/>
                <w:szCs w:val="21"/>
                <w:u w:val="none"/>
                <w14:textFill>
                  <w14:solidFill>
                    <w14:schemeClr w14:val="tx1"/>
                  </w14:solidFill>
                </w14:textFill>
              </w:rPr>
              <w:t>因此，本项目升压站施工对周边声环境无影响。</w:t>
            </w:r>
          </w:p>
          <w:p w14:paraId="52CFD198">
            <w:pPr>
              <w:ind w:firstLine="482" w:firstLineChars="200"/>
              <w:rPr>
                <w:b/>
                <w:color w:val="000000" w:themeColor="text1"/>
                <w:szCs w:val="21"/>
                <w:u w:val="none"/>
                <w14:textFill>
                  <w14:solidFill>
                    <w14:schemeClr w14:val="tx1"/>
                  </w14:solidFill>
                </w14:textFill>
              </w:rPr>
            </w:pPr>
            <w:r>
              <w:rPr>
                <w:b/>
                <w:color w:val="000000" w:themeColor="text1"/>
                <w:szCs w:val="21"/>
                <w:u w:val="none"/>
                <w14:textFill>
                  <w14:solidFill>
                    <w14:schemeClr w14:val="tx1"/>
                  </w14:solidFill>
                </w14:textFill>
              </w:rPr>
              <w:t>c）道路施工对周边居民声环境的影响</w:t>
            </w:r>
          </w:p>
          <w:p w14:paraId="2426C2BE">
            <w:pPr>
              <w:ind w:firstLine="480" w:firstLineChars="200"/>
              <w:rPr>
                <w:color w:val="000000" w:themeColor="text1"/>
                <w:szCs w:val="21"/>
                <w:u w:val="none"/>
                <w14:textFill>
                  <w14:solidFill>
                    <w14:schemeClr w14:val="tx1"/>
                  </w14:solidFill>
                </w14:textFill>
              </w:rPr>
            </w:pPr>
            <w:r>
              <w:rPr>
                <w:color w:val="000000" w:themeColor="text1"/>
                <w:u w:val="none"/>
                <w14:textFill>
                  <w14:solidFill>
                    <w14:schemeClr w14:val="tx1"/>
                  </w14:solidFill>
                </w14:textFill>
              </w:rPr>
              <w:t>本工程场内新建道路</w:t>
            </w:r>
            <w:r>
              <w:rPr>
                <w:rFonts w:hint="eastAsia"/>
                <w:color w:val="000000" w:themeColor="text1"/>
                <w:u w:val="none"/>
                <w:lang w:val="en-US" w:eastAsia="zh-CN"/>
                <w14:textFill>
                  <w14:solidFill>
                    <w14:schemeClr w14:val="tx1"/>
                  </w14:solidFill>
                </w14:textFill>
              </w:rPr>
              <w:t>34.0</w:t>
            </w:r>
            <w:r>
              <w:rPr>
                <w:rFonts w:hint="eastAsia"/>
                <w:color w:val="000000" w:themeColor="text1"/>
                <w:u w:val="none"/>
                <w:lang w:eastAsia="zh-CN"/>
                <w14:textFill>
                  <w14:solidFill>
                    <w14:schemeClr w14:val="tx1"/>
                  </w14:solidFill>
                </w14:textFill>
              </w:rPr>
              <w:t>km</w:t>
            </w:r>
            <w:r>
              <w:rPr>
                <w:color w:val="000000" w:themeColor="text1"/>
                <w:u w:val="none"/>
                <w14:textFill>
                  <w14:solidFill>
                    <w14:schemeClr w14:val="tx1"/>
                  </w14:solidFill>
                </w14:textFill>
              </w:rPr>
              <w:t>、集电线路长约</w:t>
            </w:r>
            <w:r>
              <w:rPr>
                <w:rFonts w:hint="eastAsia"/>
                <w:color w:val="000000" w:themeColor="text1"/>
                <w:u w:val="none"/>
                <w:lang w:val="en-US" w:eastAsia="zh-CN"/>
                <w14:textFill>
                  <w14:solidFill>
                    <w14:schemeClr w14:val="tx1"/>
                  </w14:solidFill>
                </w14:textFill>
              </w:rPr>
              <w:t>56.1</w:t>
            </w:r>
            <w:r>
              <w:rPr>
                <w:rFonts w:hint="eastAsia"/>
                <w:color w:val="000000" w:themeColor="text1"/>
                <w:u w:val="none"/>
                <w:lang w:eastAsia="zh-CN"/>
                <w14:textFill>
                  <w14:solidFill>
                    <w14:schemeClr w14:val="tx1"/>
                  </w14:solidFill>
                </w14:textFill>
              </w:rPr>
              <w:t>km</w:t>
            </w:r>
            <w:r>
              <w:rPr>
                <w:color w:val="000000" w:themeColor="text1"/>
                <w:u w:val="none"/>
                <w14:textFill>
                  <w14:solidFill>
                    <w14:schemeClr w14:val="tx1"/>
                  </w14:solidFill>
                </w14:textFill>
              </w:rPr>
              <w:t>。道路、集电线路施工过程中挖掘机、推土机、手风钻机和自卸汽车的运行产生噪声对两侧居民声环境存在一定不利影响。</w:t>
            </w:r>
          </w:p>
          <w:p w14:paraId="7A339EB6">
            <w:pPr>
              <w:ind w:firstLine="480" w:firstLineChars="200"/>
              <w:rPr>
                <w:color w:val="000000" w:themeColor="text1"/>
                <w:szCs w:val="21"/>
                <w:u w:val="none"/>
                <w14:textFill>
                  <w14:solidFill>
                    <w14:schemeClr w14:val="tx1"/>
                  </w14:solidFill>
                </w14:textFill>
              </w:rPr>
            </w:pPr>
            <w:r>
              <w:rPr>
                <w:color w:val="000000" w:themeColor="text1"/>
                <w:szCs w:val="21"/>
                <w:u w:val="none"/>
                <w14:textFill>
                  <w14:solidFill>
                    <w14:schemeClr w14:val="tx1"/>
                  </w14:solidFill>
                </w14:textFill>
              </w:rPr>
              <w:t>（2）施工交通运输噪声</w:t>
            </w:r>
          </w:p>
          <w:p w14:paraId="0C780856">
            <w:pPr>
              <w:ind w:firstLine="480" w:firstLineChars="200"/>
              <w:rPr>
                <w:color w:val="000000" w:themeColor="text1"/>
                <w:u w:val="none"/>
                <w14:textFill>
                  <w14:solidFill>
                    <w14:schemeClr w14:val="tx1"/>
                  </w14:solidFill>
                </w14:textFill>
              </w:rPr>
            </w:pPr>
            <w:r>
              <w:rPr>
                <w:color w:val="000000" w:themeColor="text1"/>
                <w:u w:val="none"/>
                <w14:textFill>
                  <w14:solidFill>
                    <w14:schemeClr w14:val="tx1"/>
                  </w14:solidFill>
                </w14:textFill>
              </w:rPr>
              <w:t>交通噪声声源主要为线声源，施工车辆以大型车辆为主，车型较为单一，选择单车种模型进行预测，采用下式进行计算：</w:t>
            </w:r>
          </w:p>
          <w:p w14:paraId="7EEB1C47">
            <w:pPr>
              <w:jc w:val="center"/>
              <w:rPr>
                <w:color w:val="000000" w:themeColor="text1"/>
                <w:position w:val="-46"/>
                <w:u w:val="none"/>
                <w14:textFill>
                  <w14:solidFill>
                    <w14:schemeClr w14:val="tx1"/>
                  </w14:solidFill>
                </w14:textFill>
              </w:rPr>
            </w:pPr>
            <w:r>
              <w:rPr>
                <w:color w:val="000000" w:themeColor="text1"/>
                <w:position w:val="-28"/>
                <w:u w:val="none"/>
                <w14:textFill>
                  <w14:solidFill>
                    <w14:schemeClr w14:val="tx1"/>
                  </w14:solidFill>
                </w14:textFill>
              </w:rPr>
              <w:object>
                <v:shape id="_x0000_i1025" o:spt="75" type="#_x0000_t75" style="height:34pt;width:261pt;" o:ole="t" filled="f" o:preferrelative="t" stroked="f" coordsize="21600,21600">
                  <v:path/>
                  <v:fill on="f" focussize="0,0"/>
                  <v:stroke on="f"/>
                  <v:imagedata r:id="rId44" o:title=""/>
                  <o:lock v:ext="edit" aspectratio="t"/>
                  <w10:wrap type="none"/>
                  <w10:anchorlock/>
                </v:shape>
                <o:OLEObject Type="Embed" ProgID="Equation.3" ShapeID="_x0000_i1025" DrawAspect="Content" ObjectID="_1468075725" r:id="rId43">
                  <o:LockedField>false</o:LockedField>
                </o:OLEObject>
              </w:object>
            </w:r>
          </w:p>
          <w:p w14:paraId="683E6610">
            <w:pPr>
              <w:rPr>
                <w:color w:val="000000" w:themeColor="text1"/>
                <w:u w:val="none"/>
                <w14:textFill>
                  <w14:solidFill>
                    <w14:schemeClr w14:val="tx1"/>
                  </w14:solidFill>
                </w14:textFill>
              </w:rPr>
            </w:pPr>
            <w:r>
              <w:rPr>
                <w:color w:val="000000" w:themeColor="text1"/>
                <w:u w:val="none"/>
                <w14:textFill>
                  <w14:solidFill>
                    <w14:schemeClr w14:val="tx1"/>
                  </w14:solidFill>
                </w14:textFill>
              </w:rPr>
              <w:t>式中：</w:t>
            </w:r>
            <w:r>
              <w:rPr>
                <w:color w:val="000000" w:themeColor="text1"/>
                <w:position w:val="-10"/>
                <w:u w:val="none"/>
                <w14:textFill>
                  <w14:solidFill>
                    <w14:schemeClr w14:val="tx1"/>
                  </w14:solidFill>
                </w14:textFill>
              </w:rPr>
              <w:object>
                <v:shape id="_x0000_i1026" o:spt="75" type="#_x0000_t75" style="height:15.5pt;width:34pt;" o:ole="t" filled="f" o:preferrelative="t" stroked="f" coordsize="21600,21600">
                  <v:path/>
                  <v:fill on="f" focussize="0,0"/>
                  <v:stroke on="f"/>
                  <v:imagedata r:id="rId46" o:title=""/>
                  <o:lock v:ext="edit" aspectratio="t"/>
                  <w10:wrap type="none"/>
                  <w10:anchorlock/>
                </v:shape>
                <o:OLEObject Type="Embed" ProgID="Equation.3" ShapeID="_x0000_i1026" DrawAspect="Content" ObjectID="_1468075726" r:id="rId45">
                  <o:LockedField>false</o:LockedField>
                </o:OLEObject>
              </w:object>
            </w:r>
            <w:r>
              <w:rPr>
                <w:color w:val="000000" w:themeColor="text1"/>
                <w:u w:val="none"/>
                <w14:textFill>
                  <w14:solidFill>
                    <w14:schemeClr w14:val="tx1"/>
                  </w14:solidFill>
                </w14:textFill>
              </w:rPr>
              <w:t>——第i类车的小时等效声级，dB(A)；</w:t>
            </w:r>
          </w:p>
          <w:p w14:paraId="428B4D38">
            <w:pPr>
              <w:pStyle w:val="9"/>
              <w:spacing w:before="0" w:after="0"/>
              <w:ind w:right="0" w:firstLine="720" w:firstLineChars="300"/>
              <w:rPr>
                <w:rFonts w:ascii="Times New Roman" w:hAnsi="Times New Roman"/>
                <w:color w:val="000000" w:themeColor="text1"/>
                <w:kern w:val="2"/>
                <w:sz w:val="24"/>
                <w:szCs w:val="24"/>
                <w:u w:val="none"/>
                <w14:textFill>
                  <w14:solidFill>
                    <w14:schemeClr w14:val="tx1"/>
                  </w14:solidFill>
                </w14:textFill>
              </w:rPr>
            </w:pPr>
            <w:r>
              <w:rPr>
                <w:rFonts w:ascii="Times New Roman" w:hAnsi="Times New Roman"/>
                <w:color w:val="000000" w:themeColor="text1"/>
                <w:position w:val="-10"/>
                <w:sz w:val="24"/>
                <w:szCs w:val="24"/>
                <w:u w:val="none"/>
                <w14:textFill>
                  <w14:solidFill>
                    <w14:schemeClr w14:val="tx1"/>
                  </w14:solidFill>
                </w14:textFill>
              </w:rPr>
              <w:object>
                <v:shape id="_x0000_i1027" o:spt="75" type="#_x0000_t75" style="height:19pt;width:33pt;" o:ole="t" filled="f" o:preferrelative="t" stroked="f" coordsize="21600,21600">
                  <v:path/>
                  <v:fill on="f" focussize="0,0"/>
                  <v:stroke on="f"/>
                  <v:imagedata r:id="rId48" o:title=""/>
                  <o:lock v:ext="edit" aspectratio="t"/>
                  <w10:wrap type="none"/>
                  <w10:anchorlock/>
                </v:shape>
                <o:OLEObject Type="Embed" ProgID="Equation.3" ShapeID="_x0000_i1027" DrawAspect="Content" ObjectID="_1468075727" r:id="rId47">
                  <o:LockedField>false</o:LockedField>
                </o:OLEObject>
              </w:object>
            </w:r>
            <w:r>
              <w:rPr>
                <w:rFonts w:ascii="Times New Roman" w:hAnsi="Times New Roman"/>
                <w:color w:val="000000" w:themeColor="text1"/>
                <w:kern w:val="2"/>
                <w:sz w:val="24"/>
                <w:szCs w:val="24"/>
                <w:u w:val="none"/>
                <w14:textFill>
                  <w14:solidFill>
                    <w14:schemeClr w14:val="tx1"/>
                  </w14:solidFill>
                </w14:textFill>
              </w:rPr>
              <w:t>——第i类车速度为V</w:t>
            </w:r>
            <w:r>
              <w:rPr>
                <w:rFonts w:ascii="Times New Roman" w:hAnsi="Times New Roman"/>
                <w:color w:val="000000" w:themeColor="text1"/>
                <w:kern w:val="2"/>
                <w:sz w:val="24"/>
                <w:szCs w:val="24"/>
                <w:u w:val="none"/>
                <w:vertAlign w:val="subscript"/>
                <w14:textFill>
                  <w14:solidFill>
                    <w14:schemeClr w14:val="tx1"/>
                  </w14:solidFill>
                </w14:textFill>
              </w:rPr>
              <w:t>i</w:t>
            </w:r>
            <w:r>
              <w:rPr>
                <w:rFonts w:ascii="Times New Roman" w:hAnsi="Times New Roman"/>
                <w:color w:val="000000" w:themeColor="text1"/>
                <w:kern w:val="2"/>
                <w:sz w:val="24"/>
                <w:szCs w:val="24"/>
                <w:u w:val="none"/>
                <w14:textFill>
                  <w14:solidFill>
                    <w14:schemeClr w14:val="tx1"/>
                  </w14:solidFill>
                </w14:textFill>
              </w:rPr>
              <w:t>，km/h，水平距离为7.5m处的能量平均A声级，</w:t>
            </w:r>
            <w:r>
              <w:rPr>
                <w:rFonts w:ascii="Times New Roman" w:hAnsi="Times New Roman"/>
                <w:color w:val="000000" w:themeColor="text1"/>
                <w:sz w:val="24"/>
                <w:szCs w:val="24"/>
                <w:u w:val="none"/>
                <w14:textFill>
                  <w14:solidFill>
                    <w14:schemeClr w14:val="tx1"/>
                  </w14:solidFill>
                </w14:textFill>
              </w:rPr>
              <w:t>昼间为82.6dB，夜间为81.7dB</w:t>
            </w:r>
            <w:r>
              <w:rPr>
                <w:rFonts w:ascii="Times New Roman" w:hAnsi="Times New Roman"/>
                <w:color w:val="000000" w:themeColor="text1"/>
                <w:kern w:val="2"/>
                <w:sz w:val="24"/>
                <w:szCs w:val="24"/>
                <w:u w:val="none"/>
                <w14:textFill>
                  <w14:solidFill>
                    <w14:schemeClr w14:val="tx1"/>
                  </w14:solidFill>
                </w14:textFill>
              </w:rPr>
              <w:t>；</w:t>
            </w:r>
          </w:p>
          <w:p w14:paraId="73D96C1B">
            <w:pPr>
              <w:pStyle w:val="9"/>
              <w:spacing w:before="0" w:after="0"/>
              <w:ind w:right="0" w:firstLine="720" w:firstLineChars="300"/>
              <w:rPr>
                <w:rFonts w:ascii="Times New Roman" w:hAnsi="Times New Roman"/>
                <w:color w:val="000000" w:themeColor="text1"/>
                <w:kern w:val="2"/>
                <w:sz w:val="24"/>
                <w:szCs w:val="24"/>
                <w:u w:val="none"/>
                <w14:textFill>
                  <w14:solidFill>
                    <w14:schemeClr w14:val="tx1"/>
                  </w14:solidFill>
                </w14:textFill>
              </w:rPr>
            </w:pPr>
            <w:r>
              <w:rPr>
                <w:rFonts w:ascii="Times New Roman" w:hAnsi="Times New Roman"/>
                <w:color w:val="000000" w:themeColor="text1"/>
                <w:kern w:val="2"/>
                <w:sz w:val="24"/>
                <w:szCs w:val="24"/>
                <w:u w:val="none"/>
                <w14:textFill>
                  <w14:solidFill>
                    <w14:schemeClr w14:val="tx1"/>
                  </w14:solidFill>
                </w14:textFill>
              </w:rPr>
              <w:t>N</w:t>
            </w:r>
            <w:r>
              <w:rPr>
                <w:rFonts w:ascii="Times New Roman" w:hAnsi="Times New Roman"/>
                <w:color w:val="000000" w:themeColor="text1"/>
                <w:kern w:val="2"/>
                <w:sz w:val="24"/>
                <w:szCs w:val="24"/>
                <w:u w:val="none"/>
                <w:vertAlign w:val="subscript"/>
                <w14:textFill>
                  <w14:solidFill>
                    <w14:schemeClr w14:val="tx1"/>
                  </w14:solidFill>
                </w14:textFill>
              </w:rPr>
              <w:t>i</w:t>
            </w:r>
            <w:r>
              <w:rPr>
                <w:rFonts w:ascii="Times New Roman" w:hAnsi="Times New Roman"/>
                <w:color w:val="000000" w:themeColor="text1"/>
                <w:kern w:val="2"/>
                <w:sz w:val="24"/>
                <w:szCs w:val="24"/>
                <w:u w:val="none"/>
                <w14:textFill>
                  <w14:solidFill>
                    <w14:schemeClr w14:val="tx1"/>
                  </w14:solidFill>
                </w14:textFill>
              </w:rPr>
              <w:t>——昼间，夜间通过某个预测点的第i类车平均小时车流量，</w:t>
            </w:r>
            <w:r>
              <w:rPr>
                <w:rFonts w:ascii="Times New Roman" w:hAnsi="Times New Roman"/>
                <w:color w:val="000000" w:themeColor="text1"/>
                <w:sz w:val="24"/>
                <w:szCs w:val="24"/>
                <w:u w:val="none"/>
                <w14:textFill>
                  <w14:solidFill>
                    <w14:schemeClr w14:val="tx1"/>
                  </w14:solidFill>
                </w14:textFill>
              </w:rPr>
              <w:t>昼间车流量取4辆/h，夜间车流量取2辆/h</w:t>
            </w:r>
            <w:r>
              <w:rPr>
                <w:rFonts w:ascii="Times New Roman" w:hAnsi="Times New Roman"/>
                <w:color w:val="000000" w:themeColor="text1"/>
                <w:kern w:val="2"/>
                <w:sz w:val="24"/>
                <w:szCs w:val="24"/>
                <w:u w:val="none"/>
                <w14:textFill>
                  <w14:solidFill>
                    <w14:schemeClr w14:val="tx1"/>
                  </w14:solidFill>
                </w14:textFill>
              </w:rPr>
              <w:t>；</w:t>
            </w:r>
          </w:p>
          <w:p w14:paraId="66B85064">
            <w:pPr>
              <w:pStyle w:val="9"/>
              <w:spacing w:before="0" w:after="0"/>
              <w:ind w:right="0" w:firstLine="720" w:firstLineChars="300"/>
              <w:rPr>
                <w:rFonts w:ascii="Times New Roman" w:hAnsi="Times New Roman"/>
                <w:color w:val="000000" w:themeColor="text1"/>
                <w:kern w:val="2"/>
                <w:sz w:val="24"/>
                <w:szCs w:val="24"/>
                <w:u w:val="none"/>
                <w14:textFill>
                  <w14:solidFill>
                    <w14:schemeClr w14:val="tx1"/>
                  </w14:solidFill>
                </w14:textFill>
              </w:rPr>
            </w:pPr>
            <w:r>
              <w:rPr>
                <w:rFonts w:ascii="Times New Roman" w:hAnsi="Times New Roman"/>
                <w:color w:val="000000" w:themeColor="text1"/>
                <w:kern w:val="2"/>
                <w:sz w:val="24"/>
                <w:szCs w:val="24"/>
                <w:u w:val="none"/>
                <w14:textFill>
                  <w14:solidFill>
                    <w14:schemeClr w14:val="tx1"/>
                  </w14:solidFill>
                </w14:textFill>
              </w:rPr>
              <w:t>V</w:t>
            </w:r>
            <w:r>
              <w:rPr>
                <w:rFonts w:ascii="Times New Roman" w:hAnsi="Times New Roman"/>
                <w:color w:val="000000" w:themeColor="text1"/>
                <w:kern w:val="2"/>
                <w:sz w:val="24"/>
                <w:szCs w:val="24"/>
                <w:u w:val="none"/>
                <w:vertAlign w:val="subscript"/>
                <w14:textFill>
                  <w14:solidFill>
                    <w14:schemeClr w14:val="tx1"/>
                  </w14:solidFill>
                </w14:textFill>
              </w:rPr>
              <w:t>i</w:t>
            </w:r>
            <w:r>
              <w:rPr>
                <w:rFonts w:ascii="Times New Roman" w:hAnsi="Times New Roman"/>
                <w:color w:val="000000" w:themeColor="text1"/>
                <w:kern w:val="2"/>
                <w:sz w:val="24"/>
                <w:szCs w:val="24"/>
                <w:u w:val="none"/>
                <w14:textFill>
                  <w14:solidFill>
                    <w14:schemeClr w14:val="tx1"/>
                  </w14:solidFill>
                </w14:textFill>
              </w:rPr>
              <w:t>——第i类车的平均车速，</w:t>
            </w:r>
            <w:r>
              <w:rPr>
                <w:rFonts w:ascii="Times New Roman" w:hAnsi="Times New Roman"/>
                <w:color w:val="000000" w:themeColor="text1"/>
                <w:sz w:val="24"/>
                <w:szCs w:val="24"/>
                <w:u w:val="none"/>
                <w14:textFill>
                  <w14:solidFill>
                    <w14:schemeClr w14:val="tx1"/>
                  </w14:solidFill>
                </w14:textFill>
              </w:rPr>
              <w:t>昼间取30km/h，夜间取25km/h</w:t>
            </w:r>
            <w:r>
              <w:rPr>
                <w:rFonts w:ascii="Times New Roman" w:hAnsi="Times New Roman"/>
                <w:color w:val="000000" w:themeColor="text1"/>
                <w:kern w:val="2"/>
                <w:sz w:val="24"/>
                <w:szCs w:val="24"/>
                <w:u w:val="none"/>
                <w14:textFill>
                  <w14:solidFill>
                    <w14:schemeClr w14:val="tx1"/>
                  </w14:solidFill>
                </w14:textFill>
              </w:rPr>
              <w:t>；</w:t>
            </w:r>
          </w:p>
          <w:p w14:paraId="4D7A64B2">
            <w:pPr>
              <w:pStyle w:val="9"/>
              <w:spacing w:before="0" w:after="0"/>
              <w:ind w:right="0" w:firstLine="720" w:firstLineChars="300"/>
              <w:rPr>
                <w:rFonts w:ascii="Times New Roman" w:hAnsi="Times New Roman"/>
                <w:color w:val="000000" w:themeColor="text1"/>
                <w:kern w:val="2"/>
                <w:sz w:val="24"/>
                <w:szCs w:val="24"/>
                <w:u w:val="none"/>
                <w14:textFill>
                  <w14:solidFill>
                    <w14:schemeClr w14:val="tx1"/>
                  </w14:solidFill>
                </w14:textFill>
              </w:rPr>
            </w:pPr>
            <w:r>
              <w:rPr>
                <w:rFonts w:ascii="Times New Roman" w:hAnsi="Times New Roman"/>
                <w:color w:val="000000" w:themeColor="text1"/>
                <w:kern w:val="2"/>
                <w:sz w:val="24"/>
                <w:szCs w:val="24"/>
                <w:u w:val="none"/>
                <w14:textFill>
                  <w14:solidFill>
                    <w14:schemeClr w14:val="tx1"/>
                  </w14:solidFill>
                </w14:textFill>
              </w:rPr>
              <w:t>T——计算等效声级的时间，1h；</w:t>
            </w:r>
          </w:p>
          <w:p w14:paraId="0029A6DF">
            <w:pPr>
              <w:pStyle w:val="9"/>
              <w:spacing w:before="0" w:after="0"/>
              <w:ind w:right="0" w:firstLine="720" w:firstLineChars="300"/>
              <w:rPr>
                <w:rFonts w:ascii="Times New Roman" w:hAnsi="Times New Roman"/>
                <w:color w:val="000000" w:themeColor="text1"/>
                <w:kern w:val="2"/>
                <w:sz w:val="24"/>
                <w:szCs w:val="24"/>
                <w:u w:val="none"/>
                <w14:textFill>
                  <w14:solidFill>
                    <w14:schemeClr w14:val="tx1"/>
                  </w14:solidFill>
                </w14:textFill>
              </w:rPr>
            </w:pPr>
            <w:r>
              <w:rPr>
                <w:rFonts w:ascii="Times New Roman" w:hAnsi="Times New Roman"/>
                <w:color w:val="000000" w:themeColor="text1"/>
                <w:position w:val="-6"/>
                <w:sz w:val="24"/>
                <w:szCs w:val="24"/>
                <w:u w:val="none"/>
                <w14:textFill>
                  <w14:solidFill>
                    <w14:schemeClr w14:val="tx1"/>
                  </w14:solidFill>
                </w14:textFill>
              </w:rPr>
              <w:object>
                <v:shape id="_x0000_i1028" o:spt="75" type="#_x0000_t75" style="height:14.5pt;width:29.5pt;" o:ole="t" filled="f" o:preferrelative="t" stroked="f" coordsize="21600,21600">
                  <v:path/>
                  <v:fill on="f" focussize="0,0"/>
                  <v:stroke on="f"/>
                  <v:imagedata r:id="rId50" o:title=""/>
                  <o:lock v:ext="edit" aspectratio="t"/>
                  <w10:wrap type="none"/>
                  <w10:anchorlock/>
                </v:shape>
                <o:OLEObject Type="Embed" ProgID="Equation.3" ShapeID="_x0000_i1028" DrawAspect="Content" ObjectID="_1468075728" r:id="rId49">
                  <o:LockedField>false</o:LockedField>
                </o:OLEObject>
              </w:object>
            </w:r>
            <w:r>
              <w:rPr>
                <w:rFonts w:ascii="Times New Roman" w:hAnsi="Times New Roman"/>
                <w:color w:val="000000" w:themeColor="text1"/>
                <w:kern w:val="2"/>
                <w:sz w:val="24"/>
                <w:szCs w:val="24"/>
                <w:u w:val="none"/>
                <w14:textFill>
                  <w14:solidFill>
                    <w14:schemeClr w14:val="tx1"/>
                  </w14:solidFill>
                </w14:textFill>
              </w:rPr>
              <w:t>——距离衰减量，dB(A)，</w:t>
            </w:r>
            <w:r>
              <w:rPr>
                <w:rFonts w:hint="eastAsia" w:ascii="Times New Roman" w:hAnsi="Times New Roman"/>
                <w:color w:val="000000" w:themeColor="text1"/>
                <w:kern w:val="2"/>
                <w:sz w:val="24"/>
                <w:szCs w:val="24"/>
                <w:u w:val="none"/>
                <w14:textFill>
                  <w14:solidFill>
                    <w14:schemeClr w14:val="tx1"/>
                  </w14:solidFill>
                </w14:textFill>
              </w:rPr>
              <w:t>取</w:t>
            </w:r>
            <w:r>
              <w:rPr>
                <w:rFonts w:ascii="Times New Roman" w:hAnsi="Times New Roman"/>
                <w:color w:val="000000" w:themeColor="text1"/>
                <w:kern w:val="2"/>
                <w:sz w:val="24"/>
                <w:szCs w:val="24"/>
                <w:u w:val="none"/>
                <w14:textFill>
                  <w14:solidFill>
                    <w14:schemeClr w14:val="tx1"/>
                  </w14:solidFill>
                </w14:textFill>
              </w:rPr>
              <w:t>小时车流量小于300辆/小时：</w:t>
            </w:r>
            <w:r>
              <w:rPr>
                <w:rFonts w:ascii="Times New Roman" w:hAnsi="Times New Roman"/>
                <w:color w:val="000000" w:themeColor="text1"/>
                <w:position w:val="-10"/>
                <w:sz w:val="24"/>
                <w:szCs w:val="24"/>
                <w:u w:val="none"/>
                <w14:textFill>
                  <w14:solidFill>
                    <w14:schemeClr w14:val="tx1"/>
                  </w14:solidFill>
                </w14:textFill>
              </w:rPr>
              <w:object>
                <v:shape id="_x0000_i1029" o:spt="75" type="#_x0000_t75" style="height:15.5pt;width:96pt;" o:ole="t" filled="f" o:preferrelative="t" stroked="f" coordsize="21600,21600">
                  <v:path/>
                  <v:fill on="f" focussize="0,0"/>
                  <v:stroke on="f"/>
                  <v:imagedata r:id="rId52" o:title=""/>
                  <o:lock v:ext="edit" aspectratio="t"/>
                  <w10:wrap type="none"/>
                  <w10:anchorlock/>
                </v:shape>
                <o:OLEObject Type="Embed" ProgID="Equation.3" ShapeID="_x0000_i1029" DrawAspect="Content" ObjectID="_1468075729" r:id="rId51">
                  <o:LockedField>false</o:LockedField>
                </o:OLEObject>
              </w:object>
            </w:r>
            <w:r>
              <w:rPr>
                <w:rFonts w:ascii="Times New Roman" w:hAnsi="Times New Roman"/>
                <w:color w:val="000000" w:themeColor="text1"/>
                <w:kern w:val="2"/>
                <w:sz w:val="24"/>
                <w:szCs w:val="24"/>
                <w:u w:val="none"/>
                <w14:textFill>
                  <w14:solidFill>
                    <w14:schemeClr w14:val="tx1"/>
                  </w14:solidFill>
                </w14:textFill>
              </w:rPr>
              <w:t>；</w:t>
            </w:r>
          </w:p>
          <w:p w14:paraId="5C56169C">
            <w:pPr>
              <w:pStyle w:val="9"/>
              <w:spacing w:before="0" w:after="0"/>
              <w:ind w:right="0" w:firstLine="720" w:firstLineChars="300"/>
              <w:rPr>
                <w:rFonts w:ascii="Times New Roman" w:hAnsi="Times New Roman"/>
                <w:color w:val="000000" w:themeColor="text1"/>
                <w:kern w:val="2"/>
                <w:sz w:val="24"/>
                <w:szCs w:val="24"/>
                <w:u w:val="none"/>
                <w14:textFill>
                  <w14:solidFill>
                    <w14:schemeClr w14:val="tx1"/>
                  </w14:solidFill>
                </w14:textFill>
              </w:rPr>
            </w:pPr>
            <w:r>
              <w:rPr>
                <w:rFonts w:ascii="Times New Roman" w:hAnsi="Times New Roman"/>
                <w:color w:val="000000" w:themeColor="text1"/>
                <w:kern w:val="2"/>
                <w:sz w:val="24"/>
                <w:szCs w:val="24"/>
                <w:u w:val="none"/>
                <w14:textFill>
                  <w14:solidFill>
                    <w14:schemeClr w14:val="tx1"/>
                  </w14:solidFill>
                </w14:textFill>
              </w:rPr>
              <w:t>r——从车道中心线到预测点的距离，m；</w:t>
            </w:r>
          </w:p>
          <w:p w14:paraId="192CF8F0">
            <w:pPr>
              <w:pStyle w:val="9"/>
              <w:spacing w:before="0" w:after="0"/>
              <w:ind w:right="0" w:firstLine="720" w:firstLineChars="300"/>
              <w:rPr>
                <w:rFonts w:ascii="Times New Roman" w:hAnsi="Times New Roman"/>
                <w:color w:val="000000" w:themeColor="text1"/>
                <w:kern w:val="2"/>
                <w:sz w:val="24"/>
                <w:szCs w:val="24"/>
                <w:u w:val="none"/>
                <w14:textFill>
                  <w14:solidFill>
                    <w14:schemeClr w14:val="tx1"/>
                  </w14:solidFill>
                </w14:textFill>
              </w:rPr>
            </w:pPr>
            <w:r>
              <w:rPr>
                <w:rFonts w:ascii="Times New Roman" w:hAnsi="Times New Roman"/>
                <w:color w:val="000000" w:themeColor="text1"/>
                <w:position w:val="-10"/>
                <w:sz w:val="24"/>
                <w:szCs w:val="24"/>
                <w:u w:val="none"/>
                <w14:textFill>
                  <w14:solidFill>
                    <w14:schemeClr w14:val="tx1"/>
                  </w14:solidFill>
                </w14:textFill>
              </w:rPr>
              <w:object>
                <v:shape id="_x0000_i1030" o:spt="75" type="#_x0000_t75" style="height:13pt;width:36pt;" o:ole="t" filled="f" o:preferrelative="t" stroked="f" coordsize="21600,21600">
                  <v:path/>
                  <v:fill on="f" focussize="0,0"/>
                  <v:stroke on="f"/>
                  <v:imagedata r:id="rId54" o:title=""/>
                  <o:lock v:ext="edit" aspectratio="t"/>
                  <w10:wrap type="none"/>
                  <w10:anchorlock/>
                </v:shape>
                <o:OLEObject Type="Embed" ProgID="Equation.3" ShapeID="_x0000_i1030" DrawAspect="Content" ObjectID="_1468075730" r:id="rId53">
                  <o:LockedField>false</o:LockedField>
                </o:OLEObject>
              </w:object>
            </w:r>
            <w:r>
              <w:rPr>
                <w:rFonts w:ascii="Times New Roman" w:hAnsi="Times New Roman"/>
                <w:color w:val="000000" w:themeColor="text1"/>
                <w:kern w:val="2"/>
                <w:sz w:val="24"/>
                <w:szCs w:val="24"/>
                <w:u w:val="none"/>
                <w14:textFill>
                  <w14:solidFill>
                    <w14:schemeClr w14:val="tx1"/>
                  </w14:solidFill>
                </w14:textFill>
              </w:rPr>
              <w:t>——预测点到有限长路段两端的张角，弧度</w:t>
            </w:r>
            <w:r>
              <w:rPr>
                <w:rFonts w:hint="eastAsia" w:ascii="Times New Roman" w:hAnsi="Times New Roman"/>
                <w:color w:val="000000" w:themeColor="text1"/>
                <w:kern w:val="2"/>
                <w:sz w:val="24"/>
                <w:szCs w:val="24"/>
                <w:u w:val="none"/>
                <w14:textFill>
                  <w14:solidFill>
                    <w14:schemeClr w14:val="tx1"/>
                  </w14:solidFill>
                </w14:textFill>
              </w:rPr>
              <w:t>；</w:t>
            </w:r>
          </w:p>
          <w:p w14:paraId="2C702537">
            <w:pPr>
              <w:pStyle w:val="9"/>
              <w:spacing w:before="0" w:after="0"/>
              <w:ind w:right="0" w:firstLine="480" w:firstLineChars="200"/>
              <w:rPr>
                <w:rFonts w:ascii="Times New Roman" w:hAnsi="Times New Roman"/>
                <w:color w:val="000000" w:themeColor="text1"/>
                <w:kern w:val="2"/>
                <w:sz w:val="24"/>
                <w:szCs w:val="24"/>
                <w:u w:val="none"/>
                <w14:textFill>
                  <w14:solidFill>
                    <w14:schemeClr w14:val="tx1"/>
                  </w14:solidFill>
                </w14:textFill>
              </w:rPr>
            </w:pPr>
            <w:r>
              <w:rPr>
                <w:rFonts w:ascii="Times New Roman" w:hAnsi="Times New Roman"/>
                <w:color w:val="000000" w:themeColor="text1"/>
                <w:kern w:val="2"/>
                <w:sz w:val="24"/>
                <w:szCs w:val="24"/>
                <w:u w:val="none"/>
                <w14:textFill>
                  <w14:solidFill>
                    <w14:schemeClr w14:val="tx1"/>
                  </w14:solidFill>
                </w14:textFill>
              </w:rPr>
              <w:t>根据上式计算出施工期交通噪声预测结果见表4</w:t>
            </w:r>
            <w:r>
              <w:rPr>
                <w:rFonts w:hint="eastAsia" w:ascii="Times New Roman" w:hAnsi="Times New Roman"/>
                <w:color w:val="000000" w:themeColor="text1"/>
                <w:kern w:val="2"/>
                <w:sz w:val="24"/>
                <w:szCs w:val="24"/>
                <w:u w:val="none"/>
                <w14:textFill>
                  <w14:solidFill>
                    <w14:schemeClr w14:val="tx1"/>
                  </w14:solidFill>
                </w14:textFill>
              </w:rPr>
              <w:t>.2-</w:t>
            </w:r>
            <w:r>
              <w:rPr>
                <w:rFonts w:hint="eastAsia" w:ascii="Times New Roman" w:hAnsi="Times New Roman"/>
                <w:color w:val="000000" w:themeColor="text1"/>
                <w:kern w:val="2"/>
                <w:sz w:val="24"/>
                <w:szCs w:val="24"/>
                <w:u w:val="none"/>
                <w:lang w:val="en-US" w:eastAsia="zh-CN"/>
                <w14:textFill>
                  <w14:solidFill>
                    <w14:schemeClr w14:val="tx1"/>
                  </w14:solidFill>
                </w14:textFill>
              </w:rPr>
              <w:t>2</w:t>
            </w:r>
            <w:r>
              <w:rPr>
                <w:rFonts w:ascii="Times New Roman" w:hAnsi="Times New Roman"/>
                <w:color w:val="000000" w:themeColor="text1"/>
                <w:kern w:val="2"/>
                <w:sz w:val="24"/>
                <w:szCs w:val="24"/>
                <w:u w:val="none"/>
                <w14:textFill>
                  <w14:solidFill>
                    <w14:schemeClr w14:val="tx1"/>
                  </w14:solidFill>
                </w14:textFill>
              </w:rPr>
              <w:t>。</w:t>
            </w:r>
          </w:p>
          <w:p w14:paraId="49CABC9E">
            <w:pPr>
              <w:pStyle w:val="8"/>
              <w:rPr>
                <w:color w:val="000000" w:themeColor="text1"/>
                <w:u w:val="none"/>
                <w14:textFill>
                  <w14:solidFill>
                    <w14:schemeClr w14:val="tx1"/>
                  </w14:solidFill>
                </w14:textFill>
              </w:rPr>
            </w:pPr>
            <w:r>
              <w:rPr>
                <w:color w:val="000000" w:themeColor="text1"/>
                <w:u w:val="none"/>
                <w14:textFill>
                  <w14:solidFill>
                    <w14:schemeClr w14:val="tx1"/>
                  </w14:solidFill>
                </w14:textFill>
              </w:rPr>
              <w:t>表4</w:t>
            </w:r>
            <w:r>
              <w:rPr>
                <w:rFonts w:hint="eastAsia"/>
                <w:color w:val="000000" w:themeColor="text1"/>
                <w:u w:val="none"/>
                <w14:textFill>
                  <w14:solidFill>
                    <w14:schemeClr w14:val="tx1"/>
                  </w14:solidFill>
                </w14:textFill>
              </w:rPr>
              <w:t>.2-2</w:t>
            </w:r>
            <w:r>
              <w:rPr>
                <w:color w:val="000000" w:themeColor="text1"/>
                <w:u w:val="none"/>
                <w14:textFill>
                  <w14:solidFill>
                    <w14:schemeClr w14:val="tx1"/>
                  </w14:solidFill>
                </w14:textFill>
              </w:rPr>
              <w:t xml:space="preserve"> 道路不同距离交通噪声预测结果</w:t>
            </w:r>
          </w:p>
          <w:tbl>
            <w:tblPr>
              <w:tblStyle w:val="26"/>
              <w:tblW w:w="77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7"/>
              <w:gridCol w:w="633"/>
              <w:gridCol w:w="619"/>
              <w:gridCol w:w="646"/>
              <w:gridCol w:w="609"/>
              <w:gridCol w:w="626"/>
              <w:gridCol w:w="646"/>
              <w:gridCol w:w="637"/>
              <w:gridCol w:w="588"/>
              <w:gridCol w:w="626"/>
              <w:gridCol w:w="692"/>
              <w:gridCol w:w="772"/>
            </w:tblGrid>
            <w:tr w14:paraId="03730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7" w:type="dxa"/>
                  <w:vMerge w:val="restart"/>
                  <w:tcBorders>
                    <w:tl2br w:val="nil"/>
                    <w:tr2bl w:val="nil"/>
                  </w:tcBorders>
                  <w:vAlign w:val="center"/>
                </w:tcPr>
                <w:p w14:paraId="4D27C89D">
                  <w:pPr>
                    <w:spacing w:after="100" w:afterAutospacing="1" w:line="240" w:lineRule="auto"/>
                    <w:jc w:val="center"/>
                    <w:rPr>
                      <w:b/>
                      <w:bCs/>
                      <w:color w:val="000000" w:themeColor="text1"/>
                      <w:kern w:val="0"/>
                      <w:sz w:val="21"/>
                      <w:szCs w:val="21"/>
                      <w:u w:val="none"/>
                      <w14:textFill>
                        <w14:solidFill>
                          <w14:schemeClr w14:val="tx1"/>
                        </w14:solidFill>
                      </w14:textFill>
                    </w:rPr>
                  </w:pPr>
                  <w:r>
                    <w:rPr>
                      <w:b/>
                      <w:bCs/>
                      <w:color w:val="000000" w:themeColor="text1"/>
                      <w:kern w:val="0"/>
                      <w:sz w:val="21"/>
                      <w:szCs w:val="21"/>
                      <w:u w:val="none"/>
                      <w14:textFill>
                        <w14:solidFill>
                          <w14:schemeClr w14:val="tx1"/>
                        </w14:solidFill>
                      </w14:textFill>
                    </w:rPr>
                    <w:t>交通噪声</w:t>
                  </w:r>
                </w:p>
              </w:tc>
              <w:tc>
                <w:tcPr>
                  <w:tcW w:w="7094" w:type="dxa"/>
                  <w:gridSpan w:val="11"/>
                  <w:tcBorders>
                    <w:tl2br w:val="nil"/>
                    <w:tr2bl w:val="nil"/>
                  </w:tcBorders>
                  <w:vAlign w:val="center"/>
                </w:tcPr>
                <w:p w14:paraId="52B6251D">
                  <w:pPr>
                    <w:spacing w:after="100" w:afterAutospacing="1" w:line="240" w:lineRule="auto"/>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路中心线不同水平距离（m）下的交通噪声预测值dB（A）</w:t>
                  </w:r>
                </w:p>
              </w:tc>
            </w:tr>
            <w:tr w14:paraId="32442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7" w:type="dxa"/>
                  <w:vMerge w:val="continue"/>
                  <w:tcBorders>
                    <w:tl2br w:val="nil"/>
                    <w:tr2bl w:val="nil"/>
                  </w:tcBorders>
                  <w:vAlign w:val="center"/>
                </w:tcPr>
                <w:p w14:paraId="56F0B67A">
                  <w:pPr>
                    <w:spacing w:after="100" w:afterAutospacing="1" w:line="240" w:lineRule="auto"/>
                    <w:jc w:val="center"/>
                    <w:rPr>
                      <w:b/>
                      <w:bCs/>
                      <w:color w:val="000000" w:themeColor="text1"/>
                      <w:kern w:val="0"/>
                      <w:sz w:val="21"/>
                      <w:szCs w:val="21"/>
                      <w:u w:val="none"/>
                      <w14:textFill>
                        <w14:solidFill>
                          <w14:schemeClr w14:val="tx1"/>
                        </w14:solidFill>
                      </w14:textFill>
                    </w:rPr>
                  </w:pPr>
                </w:p>
              </w:tc>
              <w:tc>
                <w:tcPr>
                  <w:tcW w:w="633" w:type="dxa"/>
                  <w:tcBorders>
                    <w:tl2br w:val="nil"/>
                    <w:tr2bl w:val="nil"/>
                  </w:tcBorders>
                  <w:vAlign w:val="center"/>
                </w:tcPr>
                <w:p w14:paraId="38B87F78">
                  <w:pPr>
                    <w:spacing w:after="100" w:afterAutospacing="1" w:line="240" w:lineRule="auto"/>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10</w:t>
                  </w:r>
                </w:p>
              </w:tc>
              <w:tc>
                <w:tcPr>
                  <w:tcW w:w="619" w:type="dxa"/>
                  <w:tcBorders>
                    <w:tl2br w:val="nil"/>
                    <w:tr2bl w:val="nil"/>
                  </w:tcBorders>
                  <w:vAlign w:val="center"/>
                </w:tcPr>
                <w:p w14:paraId="433E280C">
                  <w:pPr>
                    <w:spacing w:after="100" w:afterAutospacing="1" w:line="240" w:lineRule="auto"/>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15</w:t>
                  </w:r>
                </w:p>
              </w:tc>
              <w:tc>
                <w:tcPr>
                  <w:tcW w:w="646" w:type="dxa"/>
                  <w:tcBorders>
                    <w:tl2br w:val="nil"/>
                    <w:tr2bl w:val="nil"/>
                  </w:tcBorders>
                  <w:vAlign w:val="center"/>
                </w:tcPr>
                <w:p w14:paraId="7FCBA495">
                  <w:pPr>
                    <w:spacing w:after="100" w:afterAutospacing="1" w:line="240" w:lineRule="auto"/>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20</w:t>
                  </w:r>
                </w:p>
              </w:tc>
              <w:tc>
                <w:tcPr>
                  <w:tcW w:w="609" w:type="dxa"/>
                  <w:tcBorders>
                    <w:tl2br w:val="nil"/>
                    <w:tr2bl w:val="nil"/>
                  </w:tcBorders>
                  <w:vAlign w:val="center"/>
                </w:tcPr>
                <w:p w14:paraId="3B03FBDD">
                  <w:pPr>
                    <w:spacing w:after="100" w:afterAutospacing="1" w:line="240" w:lineRule="auto"/>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25</w:t>
                  </w:r>
                </w:p>
              </w:tc>
              <w:tc>
                <w:tcPr>
                  <w:tcW w:w="626" w:type="dxa"/>
                  <w:tcBorders>
                    <w:tl2br w:val="nil"/>
                    <w:tr2bl w:val="nil"/>
                  </w:tcBorders>
                  <w:vAlign w:val="center"/>
                </w:tcPr>
                <w:p w14:paraId="17A21F8F">
                  <w:pPr>
                    <w:spacing w:after="100" w:afterAutospacing="1" w:line="240" w:lineRule="auto"/>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30</w:t>
                  </w:r>
                </w:p>
              </w:tc>
              <w:tc>
                <w:tcPr>
                  <w:tcW w:w="646" w:type="dxa"/>
                  <w:tcBorders>
                    <w:tl2br w:val="nil"/>
                    <w:tr2bl w:val="nil"/>
                  </w:tcBorders>
                  <w:vAlign w:val="center"/>
                </w:tcPr>
                <w:p w14:paraId="546F719C">
                  <w:pPr>
                    <w:spacing w:after="100" w:afterAutospacing="1" w:line="240" w:lineRule="auto"/>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35</w:t>
                  </w:r>
                </w:p>
              </w:tc>
              <w:tc>
                <w:tcPr>
                  <w:tcW w:w="637" w:type="dxa"/>
                  <w:tcBorders>
                    <w:tl2br w:val="nil"/>
                    <w:tr2bl w:val="nil"/>
                  </w:tcBorders>
                  <w:vAlign w:val="center"/>
                </w:tcPr>
                <w:p w14:paraId="704D5998">
                  <w:pPr>
                    <w:spacing w:after="100" w:afterAutospacing="1" w:line="240" w:lineRule="auto"/>
                    <w:jc w:val="center"/>
                    <w:rPr>
                      <w:color w:val="000000" w:themeColor="text1"/>
                      <w:kern w:val="0"/>
                      <w:sz w:val="21"/>
                      <w:szCs w:val="21"/>
                      <w:u w:val="none"/>
                      <w14:textFill>
                        <w14:solidFill>
                          <w14:schemeClr w14:val="tx1"/>
                        </w14:solidFill>
                      </w14:textFill>
                    </w:rPr>
                  </w:pPr>
                  <w:r>
                    <w:rPr>
                      <w:rFonts w:hint="eastAsia"/>
                      <w:color w:val="000000" w:themeColor="text1"/>
                      <w:kern w:val="0"/>
                      <w:sz w:val="21"/>
                      <w:szCs w:val="21"/>
                      <w:u w:val="none"/>
                      <w14:textFill>
                        <w14:solidFill>
                          <w14:schemeClr w14:val="tx1"/>
                        </w14:solidFill>
                      </w14:textFill>
                    </w:rPr>
                    <w:t>40</w:t>
                  </w:r>
                </w:p>
              </w:tc>
              <w:tc>
                <w:tcPr>
                  <w:tcW w:w="588" w:type="dxa"/>
                  <w:tcBorders>
                    <w:tl2br w:val="nil"/>
                    <w:tr2bl w:val="nil"/>
                  </w:tcBorders>
                  <w:vAlign w:val="center"/>
                </w:tcPr>
                <w:p w14:paraId="615FEC07">
                  <w:pPr>
                    <w:spacing w:after="100" w:afterAutospacing="1" w:line="240" w:lineRule="auto"/>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50</w:t>
                  </w:r>
                </w:p>
              </w:tc>
              <w:tc>
                <w:tcPr>
                  <w:tcW w:w="626" w:type="dxa"/>
                  <w:tcBorders>
                    <w:tl2br w:val="nil"/>
                    <w:tr2bl w:val="nil"/>
                  </w:tcBorders>
                  <w:vAlign w:val="center"/>
                </w:tcPr>
                <w:p w14:paraId="257F2BE8">
                  <w:pPr>
                    <w:spacing w:after="100" w:afterAutospacing="1" w:line="240" w:lineRule="auto"/>
                    <w:jc w:val="center"/>
                    <w:rPr>
                      <w:color w:val="000000" w:themeColor="text1"/>
                      <w:kern w:val="0"/>
                      <w:sz w:val="21"/>
                      <w:szCs w:val="21"/>
                      <w:u w:val="none"/>
                      <w14:textFill>
                        <w14:solidFill>
                          <w14:schemeClr w14:val="tx1"/>
                        </w14:solidFill>
                      </w14:textFill>
                    </w:rPr>
                  </w:pPr>
                  <w:r>
                    <w:rPr>
                      <w:rFonts w:hint="eastAsia"/>
                      <w:color w:val="000000" w:themeColor="text1"/>
                      <w:kern w:val="0"/>
                      <w:sz w:val="21"/>
                      <w:szCs w:val="21"/>
                      <w:u w:val="none"/>
                      <w14:textFill>
                        <w14:solidFill>
                          <w14:schemeClr w14:val="tx1"/>
                        </w14:solidFill>
                      </w14:textFill>
                    </w:rPr>
                    <w:t>100</w:t>
                  </w:r>
                </w:p>
              </w:tc>
              <w:tc>
                <w:tcPr>
                  <w:tcW w:w="692" w:type="dxa"/>
                  <w:tcBorders>
                    <w:tl2br w:val="nil"/>
                    <w:tr2bl w:val="nil"/>
                  </w:tcBorders>
                  <w:vAlign w:val="center"/>
                </w:tcPr>
                <w:p w14:paraId="1E981174">
                  <w:pPr>
                    <w:spacing w:after="100" w:afterAutospacing="1" w:line="240" w:lineRule="auto"/>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1</w:t>
                  </w:r>
                  <w:r>
                    <w:rPr>
                      <w:rFonts w:hint="eastAsia"/>
                      <w:color w:val="000000" w:themeColor="text1"/>
                      <w:kern w:val="0"/>
                      <w:sz w:val="21"/>
                      <w:szCs w:val="21"/>
                      <w:u w:val="none"/>
                      <w14:textFill>
                        <w14:solidFill>
                          <w14:schemeClr w14:val="tx1"/>
                        </w14:solidFill>
                      </w14:textFill>
                    </w:rPr>
                    <w:t>85</w:t>
                  </w:r>
                </w:p>
              </w:tc>
              <w:tc>
                <w:tcPr>
                  <w:tcW w:w="772" w:type="dxa"/>
                  <w:tcBorders>
                    <w:tl2br w:val="nil"/>
                    <w:tr2bl w:val="nil"/>
                  </w:tcBorders>
                  <w:vAlign w:val="center"/>
                </w:tcPr>
                <w:p w14:paraId="22AA1B90">
                  <w:pPr>
                    <w:spacing w:after="100" w:afterAutospacing="1" w:line="240" w:lineRule="auto"/>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200</w:t>
                  </w:r>
                </w:p>
              </w:tc>
            </w:tr>
            <w:tr w14:paraId="627D8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7" w:type="dxa"/>
                  <w:tcBorders>
                    <w:tl2br w:val="nil"/>
                    <w:tr2bl w:val="nil"/>
                  </w:tcBorders>
                  <w:vAlign w:val="center"/>
                </w:tcPr>
                <w:p w14:paraId="5CD8D0B4">
                  <w:pPr>
                    <w:spacing w:after="100" w:afterAutospacing="1" w:line="240" w:lineRule="auto"/>
                    <w:jc w:val="center"/>
                    <w:rPr>
                      <w:b/>
                      <w:bCs/>
                      <w:color w:val="000000" w:themeColor="text1"/>
                      <w:kern w:val="0"/>
                      <w:sz w:val="21"/>
                      <w:szCs w:val="21"/>
                      <w:u w:val="none"/>
                      <w14:textFill>
                        <w14:solidFill>
                          <w14:schemeClr w14:val="tx1"/>
                        </w14:solidFill>
                      </w14:textFill>
                    </w:rPr>
                  </w:pPr>
                  <w:r>
                    <w:rPr>
                      <w:b/>
                      <w:bCs/>
                      <w:color w:val="000000" w:themeColor="text1"/>
                      <w:kern w:val="0"/>
                      <w:sz w:val="21"/>
                      <w:szCs w:val="21"/>
                      <w:u w:val="none"/>
                      <w14:textFill>
                        <w14:solidFill>
                          <w14:schemeClr w14:val="tx1"/>
                        </w14:solidFill>
                      </w14:textFill>
                    </w:rPr>
                    <w:t>昼间</w:t>
                  </w:r>
                </w:p>
              </w:tc>
              <w:tc>
                <w:tcPr>
                  <w:tcW w:w="633" w:type="dxa"/>
                  <w:tcBorders>
                    <w:tl2br w:val="nil"/>
                    <w:tr2bl w:val="nil"/>
                  </w:tcBorders>
                  <w:vAlign w:val="center"/>
                </w:tcPr>
                <w:p w14:paraId="6F9FD14B">
                  <w:pPr>
                    <w:spacing w:after="100" w:afterAutospacing="1" w:line="240" w:lineRule="auto"/>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56.5</w:t>
                  </w:r>
                </w:p>
              </w:tc>
              <w:tc>
                <w:tcPr>
                  <w:tcW w:w="619" w:type="dxa"/>
                  <w:tcBorders>
                    <w:tl2br w:val="nil"/>
                    <w:tr2bl w:val="nil"/>
                  </w:tcBorders>
                  <w:vAlign w:val="center"/>
                </w:tcPr>
                <w:p w14:paraId="5B7EDA53">
                  <w:pPr>
                    <w:spacing w:after="100" w:afterAutospacing="1" w:line="240" w:lineRule="auto"/>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53.9</w:t>
                  </w:r>
                </w:p>
              </w:tc>
              <w:tc>
                <w:tcPr>
                  <w:tcW w:w="646" w:type="dxa"/>
                  <w:tcBorders>
                    <w:tl2br w:val="nil"/>
                    <w:tr2bl w:val="nil"/>
                  </w:tcBorders>
                  <w:vAlign w:val="center"/>
                </w:tcPr>
                <w:p w14:paraId="4ECA390E">
                  <w:pPr>
                    <w:spacing w:after="100" w:afterAutospacing="1" w:line="240" w:lineRule="auto"/>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51.6</w:t>
                  </w:r>
                </w:p>
              </w:tc>
              <w:tc>
                <w:tcPr>
                  <w:tcW w:w="609" w:type="dxa"/>
                  <w:tcBorders>
                    <w:tl2br w:val="nil"/>
                    <w:tr2bl w:val="nil"/>
                  </w:tcBorders>
                  <w:vAlign w:val="center"/>
                </w:tcPr>
                <w:p w14:paraId="257C2B90">
                  <w:pPr>
                    <w:spacing w:after="100" w:afterAutospacing="1" w:line="240" w:lineRule="auto"/>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48.8</w:t>
                  </w:r>
                </w:p>
              </w:tc>
              <w:tc>
                <w:tcPr>
                  <w:tcW w:w="626" w:type="dxa"/>
                  <w:tcBorders>
                    <w:tl2br w:val="nil"/>
                    <w:tr2bl w:val="nil"/>
                  </w:tcBorders>
                  <w:vAlign w:val="center"/>
                </w:tcPr>
                <w:p w14:paraId="7559485B">
                  <w:pPr>
                    <w:spacing w:after="100" w:afterAutospacing="1" w:line="240" w:lineRule="auto"/>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46.8</w:t>
                  </w:r>
                </w:p>
              </w:tc>
              <w:tc>
                <w:tcPr>
                  <w:tcW w:w="646" w:type="dxa"/>
                  <w:tcBorders>
                    <w:tl2br w:val="nil"/>
                    <w:tr2bl w:val="nil"/>
                  </w:tcBorders>
                  <w:vAlign w:val="center"/>
                </w:tcPr>
                <w:p w14:paraId="45D43DD5">
                  <w:pPr>
                    <w:spacing w:after="100" w:afterAutospacing="1" w:line="240" w:lineRule="auto"/>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45.2</w:t>
                  </w:r>
                </w:p>
              </w:tc>
              <w:tc>
                <w:tcPr>
                  <w:tcW w:w="637" w:type="dxa"/>
                  <w:tcBorders>
                    <w:tl2br w:val="nil"/>
                    <w:tr2bl w:val="nil"/>
                  </w:tcBorders>
                  <w:vAlign w:val="center"/>
                </w:tcPr>
                <w:p w14:paraId="5FA62B69">
                  <w:pPr>
                    <w:spacing w:after="100" w:afterAutospacing="1" w:line="240" w:lineRule="auto"/>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43.9</w:t>
                  </w:r>
                </w:p>
              </w:tc>
              <w:tc>
                <w:tcPr>
                  <w:tcW w:w="588" w:type="dxa"/>
                  <w:tcBorders>
                    <w:tl2br w:val="nil"/>
                    <w:tr2bl w:val="nil"/>
                  </w:tcBorders>
                  <w:vAlign w:val="center"/>
                </w:tcPr>
                <w:p w14:paraId="0291FE6D">
                  <w:pPr>
                    <w:spacing w:after="100" w:afterAutospacing="1" w:line="240" w:lineRule="auto"/>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41.8</w:t>
                  </w:r>
                </w:p>
              </w:tc>
              <w:tc>
                <w:tcPr>
                  <w:tcW w:w="626" w:type="dxa"/>
                  <w:tcBorders>
                    <w:tl2br w:val="nil"/>
                    <w:tr2bl w:val="nil"/>
                  </w:tcBorders>
                  <w:vAlign w:val="center"/>
                </w:tcPr>
                <w:p w14:paraId="6A7BA9DF">
                  <w:pPr>
                    <w:spacing w:after="100" w:afterAutospacing="1" w:line="240" w:lineRule="auto"/>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35.3</w:t>
                  </w:r>
                </w:p>
              </w:tc>
              <w:tc>
                <w:tcPr>
                  <w:tcW w:w="692" w:type="dxa"/>
                  <w:tcBorders>
                    <w:tl2br w:val="nil"/>
                    <w:tr2bl w:val="nil"/>
                  </w:tcBorders>
                  <w:vAlign w:val="center"/>
                </w:tcPr>
                <w:p w14:paraId="51AF2317">
                  <w:pPr>
                    <w:spacing w:after="100" w:afterAutospacing="1" w:line="240" w:lineRule="auto"/>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29.2</w:t>
                  </w:r>
                </w:p>
              </w:tc>
              <w:tc>
                <w:tcPr>
                  <w:tcW w:w="772" w:type="dxa"/>
                  <w:tcBorders>
                    <w:tl2br w:val="nil"/>
                    <w:tr2bl w:val="nil"/>
                  </w:tcBorders>
                  <w:vAlign w:val="center"/>
                </w:tcPr>
                <w:p w14:paraId="4D79550B">
                  <w:pPr>
                    <w:spacing w:after="100" w:afterAutospacing="1" w:line="240" w:lineRule="auto"/>
                    <w:jc w:val="center"/>
                    <w:rPr>
                      <w:color w:val="000000" w:themeColor="text1"/>
                      <w:kern w:val="0"/>
                      <w:sz w:val="21"/>
                      <w:szCs w:val="21"/>
                      <w:u w:val="none"/>
                      <w14:textFill>
                        <w14:solidFill>
                          <w14:schemeClr w14:val="tx1"/>
                        </w14:solidFill>
                      </w14:textFill>
                    </w:rPr>
                  </w:pPr>
                  <w:r>
                    <w:rPr>
                      <w:color w:val="000000" w:themeColor="text1"/>
                      <w:kern w:val="0"/>
                      <w:sz w:val="21"/>
                      <w:szCs w:val="21"/>
                      <w:u w:val="none"/>
                      <w14:textFill>
                        <w14:solidFill>
                          <w14:schemeClr w14:val="tx1"/>
                        </w14:solidFill>
                      </w14:textFill>
                    </w:rPr>
                    <w:t>28.4</w:t>
                  </w:r>
                </w:p>
              </w:tc>
            </w:tr>
            <w:tr w14:paraId="3AAA5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7" w:type="dxa"/>
                  <w:tcBorders>
                    <w:tl2br w:val="nil"/>
                    <w:tr2bl w:val="nil"/>
                  </w:tcBorders>
                  <w:vAlign w:val="center"/>
                </w:tcPr>
                <w:p w14:paraId="475D59F5">
                  <w:pPr>
                    <w:spacing w:after="100" w:afterAutospacing="1" w:line="240" w:lineRule="auto"/>
                    <w:jc w:val="center"/>
                    <w:rPr>
                      <w:b/>
                      <w:bCs/>
                      <w:color w:val="000000" w:themeColor="text1"/>
                      <w:kern w:val="0"/>
                      <w:sz w:val="21"/>
                      <w:szCs w:val="21"/>
                      <w:u w:val="none"/>
                      <w14:textFill>
                        <w14:solidFill>
                          <w14:schemeClr w14:val="tx1"/>
                        </w14:solidFill>
                      </w14:textFill>
                    </w:rPr>
                  </w:pPr>
                  <w:r>
                    <w:rPr>
                      <w:b/>
                      <w:bCs/>
                      <w:color w:val="000000" w:themeColor="text1"/>
                      <w:kern w:val="0"/>
                      <w:sz w:val="21"/>
                      <w:szCs w:val="21"/>
                      <w:u w:val="none"/>
                      <w14:textFill>
                        <w14:solidFill>
                          <w14:schemeClr w14:val="tx1"/>
                        </w14:solidFill>
                      </w14:textFill>
                    </w:rPr>
                    <w:t>夜间</w:t>
                  </w:r>
                </w:p>
              </w:tc>
              <w:tc>
                <w:tcPr>
                  <w:tcW w:w="633" w:type="dxa"/>
                  <w:tcBorders>
                    <w:tl2br w:val="nil"/>
                    <w:tr2bl w:val="nil"/>
                  </w:tcBorders>
                  <w:vAlign w:val="center"/>
                </w:tcPr>
                <w:p w14:paraId="013C71C6">
                  <w:pPr>
                    <w:spacing w:after="100" w:afterAutospacing="1" w:line="240" w:lineRule="auto"/>
                    <w:jc w:val="center"/>
                    <w:rPr>
                      <w:color w:val="000000" w:themeColor="text1"/>
                      <w:kern w:val="0"/>
                      <w:sz w:val="21"/>
                      <w:szCs w:val="21"/>
                      <w:u w:val="none"/>
                      <w14:textFill>
                        <w14:solidFill>
                          <w14:schemeClr w14:val="tx1"/>
                        </w14:solidFill>
                      </w14:textFill>
                    </w:rPr>
                  </w:pPr>
                  <w:r>
                    <w:rPr>
                      <w:rFonts w:hint="eastAsia"/>
                      <w:color w:val="000000" w:themeColor="text1"/>
                      <w:kern w:val="0"/>
                      <w:sz w:val="21"/>
                      <w:szCs w:val="21"/>
                      <w:u w:val="none"/>
                      <w14:textFill>
                        <w14:solidFill>
                          <w14:schemeClr w14:val="tx1"/>
                        </w14:solidFill>
                      </w14:textFill>
                    </w:rPr>
                    <w:t>52.4</w:t>
                  </w:r>
                </w:p>
              </w:tc>
              <w:tc>
                <w:tcPr>
                  <w:tcW w:w="619" w:type="dxa"/>
                  <w:tcBorders>
                    <w:tl2br w:val="nil"/>
                    <w:tr2bl w:val="nil"/>
                  </w:tcBorders>
                  <w:vAlign w:val="center"/>
                </w:tcPr>
                <w:p w14:paraId="616F3946">
                  <w:pPr>
                    <w:spacing w:after="100" w:afterAutospacing="1" w:line="240" w:lineRule="auto"/>
                    <w:jc w:val="center"/>
                    <w:rPr>
                      <w:color w:val="000000" w:themeColor="text1"/>
                      <w:kern w:val="0"/>
                      <w:sz w:val="21"/>
                      <w:szCs w:val="21"/>
                      <w:u w:val="none"/>
                      <w14:textFill>
                        <w14:solidFill>
                          <w14:schemeClr w14:val="tx1"/>
                        </w14:solidFill>
                      </w14:textFill>
                    </w:rPr>
                  </w:pPr>
                  <w:r>
                    <w:rPr>
                      <w:rFonts w:hint="eastAsia"/>
                      <w:color w:val="000000" w:themeColor="text1"/>
                      <w:kern w:val="0"/>
                      <w:sz w:val="21"/>
                      <w:szCs w:val="21"/>
                      <w:u w:val="none"/>
                      <w14:textFill>
                        <w14:solidFill>
                          <w14:schemeClr w14:val="tx1"/>
                        </w14:solidFill>
                      </w14:textFill>
                    </w:rPr>
                    <w:t>49.8</w:t>
                  </w:r>
                </w:p>
              </w:tc>
              <w:tc>
                <w:tcPr>
                  <w:tcW w:w="646" w:type="dxa"/>
                  <w:tcBorders>
                    <w:tl2br w:val="nil"/>
                    <w:tr2bl w:val="nil"/>
                  </w:tcBorders>
                  <w:vAlign w:val="center"/>
                </w:tcPr>
                <w:p w14:paraId="7FB621DA">
                  <w:pPr>
                    <w:spacing w:after="100" w:afterAutospacing="1" w:line="240" w:lineRule="auto"/>
                    <w:jc w:val="center"/>
                    <w:rPr>
                      <w:color w:val="000000" w:themeColor="text1"/>
                      <w:kern w:val="0"/>
                      <w:sz w:val="21"/>
                      <w:szCs w:val="21"/>
                      <w:u w:val="none"/>
                      <w14:textFill>
                        <w14:solidFill>
                          <w14:schemeClr w14:val="tx1"/>
                        </w14:solidFill>
                      </w14:textFill>
                    </w:rPr>
                  </w:pPr>
                  <w:r>
                    <w:rPr>
                      <w:rFonts w:hint="eastAsia"/>
                      <w:color w:val="000000" w:themeColor="text1"/>
                      <w:kern w:val="0"/>
                      <w:sz w:val="21"/>
                      <w:szCs w:val="21"/>
                      <w:u w:val="none"/>
                      <w14:textFill>
                        <w14:solidFill>
                          <w14:schemeClr w14:val="tx1"/>
                        </w14:solidFill>
                      </w14:textFill>
                    </w:rPr>
                    <w:t>47.5</w:t>
                  </w:r>
                </w:p>
              </w:tc>
              <w:tc>
                <w:tcPr>
                  <w:tcW w:w="609" w:type="dxa"/>
                  <w:tcBorders>
                    <w:tl2br w:val="nil"/>
                    <w:tr2bl w:val="nil"/>
                  </w:tcBorders>
                  <w:vAlign w:val="center"/>
                </w:tcPr>
                <w:p w14:paraId="7EB1C638">
                  <w:pPr>
                    <w:spacing w:after="100" w:afterAutospacing="1" w:line="240" w:lineRule="auto"/>
                    <w:jc w:val="center"/>
                    <w:rPr>
                      <w:color w:val="000000" w:themeColor="text1"/>
                      <w:kern w:val="0"/>
                      <w:sz w:val="21"/>
                      <w:szCs w:val="21"/>
                      <w:u w:val="none"/>
                      <w14:textFill>
                        <w14:solidFill>
                          <w14:schemeClr w14:val="tx1"/>
                        </w14:solidFill>
                      </w14:textFill>
                    </w:rPr>
                  </w:pPr>
                  <w:r>
                    <w:rPr>
                      <w:rFonts w:hint="eastAsia"/>
                      <w:color w:val="000000" w:themeColor="text1"/>
                      <w:kern w:val="0"/>
                      <w:sz w:val="21"/>
                      <w:szCs w:val="21"/>
                      <w:u w:val="none"/>
                      <w14:textFill>
                        <w14:solidFill>
                          <w14:schemeClr w14:val="tx1"/>
                        </w14:solidFill>
                      </w14:textFill>
                    </w:rPr>
                    <w:t>44.7</w:t>
                  </w:r>
                </w:p>
              </w:tc>
              <w:tc>
                <w:tcPr>
                  <w:tcW w:w="626" w:type="dxa"/>
                  <w:tcBorders>
                    <w:tl2br w:val="nil"/>
                    <w:tr2bl w:val="nil"/>
                  </w:tcBorders>
                  <w:vAlign w:val="center"/>
                </w:tcPr>
                <w:p w14:paraId="591E5048">
                  <w:pPr>
                    <w:spacing w:after="100" w:afterAutospacing="1" w:line="240" w:lineRule="auto"/>
                    <w:jc w:val="center"/>
                    <w:rPr>
                      <w:color w:val="000000" w:themeColor="text1"/>
                      <w:kern w:val="0"/>
                      <w:sz w:val="21"/>
                      <w:szCs w:val="21"/>
                      <w:u w:val="none"/>
                      <w14:textFill>
                        <w14:solidFill>
                          <w14:schemeClr w14:val="tx1"/>
                        </w14:solidFill>
                      </w14:textFill>
                    </w:rPr>
                  </w:pPr>
                  <w:r>
                    <w:rPr>
                      <w:rFonts w:hint="eastAsia"/>
                      <w:color w:val="000000" w:themeColor="text1"/>
                      <w:kern w:val="0"/>
                      <w:sz w:val="21"/>
                      <w:szCs w:val="21"/>
                      <w:u w:val="none"/>
                      <w14:textFill>
                        <w14:solidFill>
                          <w14:schemeClr w14:val="tx1"/>
                        </w14:solidFill>
                      </w14:textFill>
                    </w:rPr>
                    <w:t>42.7</w:t>
                  </w:r>
                </w:p>
              </w:tc>
              <w:tc>
                <w:tcPr>
                  <w:tcW w:w="646" w:type="dxa"/>
                  <w:tcBorders>
                    <w:tl2br w:val="nil"/>
                    <w:tr2bl w:val="nil"/>
                  </w:tcBorders>
                  <w:vAlign w:val="center"/>
                </w:tcPr>
                <w:p w14:paraId="44079603">
                  <w:pPr>
                    <w:spacing w:after="100" w:afterAutospacing="1" w:line="240" w:lineRule="auto"/>
                    <w:jc w:val="center"/>
                    <w:rPr>
                      <w:color w:val="000000" w:themeColor="text1"/>
                      <w:kern w:val="0"/>
                      <w:sz w:val="21"/>
                      <w:szCs w:val="21"/>
                      <w:u w:val="none"/>
                      <w14:textFill>
                        <w14:solidFill>
                          <w14:schemeClr w14:val="tx1"/>
                        </w14:solidFill>
                      </w14:textFill>
                    </w:rPr>
                  </w:pPr>
                  <w:r>
                    <w:rPr>
                      <w:rFonts w:hint="eastAsia"/>
                      <w:color w:val="000000" w:themeColor="text1"/>
                      <w:kern w:val="0"/>
                      <w:sz w:val="21"/>
                      <w:szCs w:val="21"/>
                      <w:u w:val="none"/>
                      <w14:textFill>
                        <w14:solidFill>
                          <w14:schemeClr w14:val="tx1"/>
                        </w14:solidFill>
                      </w14:textFill>
                    </w:rPr>
                    <w:t>41.1</w:t>
                  </w:r>
                </w:p>
              </w:tc>
              <w:tc>
                <w:tcPr>
                  <w:tcW w:w="637" w:type="dxa"/>
                  <w:tcBorders>
                    <w:tl2br w:val="nil"/>
                    <w:tr2bl w:val="nil"/>
                  </w:tcBorders>
                  <w:vAlign w:val="center"/>
                </w:tcPr>
                <w:p w14:paraId="5BBB3221">
                  <w:pPr>
                    <w:spacing w:after="100" w:afterAutospacing="1" w:line="240" w:lineRule="auto"/>
                    <w:jc w:val="center"/>
                    <w:rPr>
                      <w:color w:val="000000" w:themeColor="text1"/>
                      <w:kern w:val="0"/>
                      <w:sz w:val="21"/>
                      <w:szCs w:val="21"/>
                      <w:u w:val="none"/>
                      <w14:textFill>
                        <w14:solidFill>
                          <w14:schemeClr w14:val="tx1"/>
                        </w14:solidFill>
                      </w14:textFill>
                    </w:rPr>
                  </w:pPr>
                  <w:r>
                    <w:rPr>
                      <w:rFonts w:hint="eastAsia"/>
                      <w:color w:val="000000" w:themeColor="text1"/>
                      <w:kern w:val="0"/>
                      <w:sz w:val="21"/>
                      <w:szCs w:val="21"/>
                      <w:u w:val="none"/>
                      <w14:textFill>
                        <w14:solidFill>
                          <w14:schemeClr w14:val="tx1"/>
                        </w14:solidFill>
                      </w14:textFill>
                    </w:rPr>
                    <w:t>39.8</w:t>
                  </w:r>
                </w:p>
              </w:tc>
              <w:tc>
                <w:tcPr>
                  <w:tcW w:w="588" w:type="dxa"/>
                  <w:tcBorders>
                    <w:tl2br w:val="nil"/>
                    <w:tr2bl w:val="nil"/>
                  </w:tcBorders>
                  <w:vAlign w:val="center"/>
                </w:tcPr>
                <w:p w14:paraId="249D750A">
                  <w:pPr>
                    <w:spacing w:after="100" w:afterAutospacing="1" w:line="240" w:lineRule="auto"/>
                    <w:jc w:val="center"/>
                    <w:rPr>
                      <w:color w:val="000000" w:themeColor="text1"/>
                      <w:kern w:val="0"/>
                      <w:sz w:val="21"/>
                      <w:szCs w:val="21"/>
                      <w:u w:val="none"/>
                      <w14:textFill>
                        <w14:solidFill>
                          <w14:schemeClr w14:val="tx1"/>
                        </w14:solidFill>
                      </w14:textFill>
                    </w:rPr>
                  </w:pPr>
                  <w:r>
                    <w:rPr>
                      <w:rFonts w:hint="eastAsia"/>
                      <w:color w:val="000000" w:themeColor="text1"/>
                      <w:kern w:val="0"/>
                      <w:sz w:val="21"/>
                      <w:szCs w:val="21"/>
                      <w:u w:val="none"/>
                      <w14:textFill>
                        <w14:solidFill>
                          <w14:schemeClr w14:val="tx1"/>
                        </w14:solidFill>
                      </w14:textFill>
                    </w:rPr>
                    <w:t>37.6</w:t>
                  </w:r>
                </w:p>
              </w:tc>
              <w:tc>
                <w:tcPr>
                  <w:tcW w:w="626" w:type="dxa"/>
                  <w:tcBorders>
                    <w:tl2br w:val="nil"/>
                    <w:tr2bl w:val="nil"/>
                  </w:tcBorders>
                  <w:vAlign w:val="center"/>
                </w:tcPr>
                <w:p w14:paraId="2919FCDA">
                  <w:pPr>
                    <w:spacing w:after="100" w:afterAutospacing="1" w:line="240" w:lineRule="auto"/>
                    <w:jc w:val="center"/>
                    <w:rPr>
                      <w:color w:val="000000" w:themeColor="text1"/>
                      <w:kern w:val="0"/>
                      <w:sz w:val="21"/>
                      <w:szCs w:val="21"/>
                      <w:u w:val="none"/>
                      <w14:textFill>
                        <w14:solidFill>
                          <w14:schemeClr w14:val="tx1"/>
                        </w14:solidFill>
                      </w14:textFill>
                    </w:rPr>
                  </w:pPr>
                  <w:r>
                    <w:rPr>
                      <w:rFonts w:hint="eastAsia"/>
                      <w:color w:val="000000" w:themeColor="text1"/>
                      <w:kern w:val="0"/>
                      <w:sz w:val="21"/>
                      <w:szCs w:val="21"/>
                      <w:u w:val="none"/>
                      <w14:textFill>
                        <w14:solidFill>
                          <w14:schemeClr w14:val="tx1"/>
                        </w14:solidFill>
                      </w14:textFill>
                    </w:rPr>
                    <w:t>31.2</w:t>
                  </w:r>
                </w:p>
              </w:tc>
              <w:tc>
                <w:tcPr>
                  <w:tcW w:w="692" w:type="dxa"/>
                  <w:tcBorders>
                    <w:tl2br w:val="nil"/>
                    <w:tr2bl w:val="nil"/>
                  </w:tcBorders>
                  <w:vAlign w:val="center"/>
                </w:tcPr>
                <w:p w14:paraId="6F733C65">
                  <w:pPr>
                    <w:spacing w:after="100" w:afterAutospacing="1" w:line="240" w:lineRule="auto"/>
                    <w:jc w:val="center"/>
                    <w:rPr>
                      <w:color w:val="000000" w:themeColor="text1"/>
                      <w:kern w:val="0"/>
                      <w:sz w:val="21"/>
                      <w:szCs w:val="21"/>
                      <w:u w:val="none"/>
                      <w14:textFill>
                        <w14:solidFill>
                          <w14:schemeClr w14:val="tx1"/>
                        </w14:solidFill>
                      </w14:textFill>
                    </w:rPr>
                  </w:pPr>
                  <w:r>
                    <w:rPr>
                      <w:rFonts w:hint="eastAsia"/>
                      <w:color w:val="000000" w:themeColor="text1"/>
                      <w:kern w:val="0"/>
                      <w:sz w:val="21"/>
                      <w:szCs w:val="21"/>
                      <w:u w:val="none"/>
                      <w14:textFill>
                        <w14:solidFill>
                          <w14:schemeClr w14:val="tx1"/>
                        </w14:solidFill>
                      </w14:textFill>
                    </w:rPr>
                    <w:t>25.1</w:t>
                  </w:r>
                </w:p>
              </w:tc>
              <w:tc>
                <w:tcPr>
                  <w:tcW w:w="772" w:type="dxa"/>
                  <w:tcBorders>
                    <w:tl2br w:val="nil"/>
                    <w:tr2bl w:val="nil"/>
                  </w:tcBorders>
                  <w:vAlign w:val="center"/>
                </w:tcPr>
                <w:p w14:paraId="6F19065C">
                  <w:pPr>
                    <w:spacing w:after="100" w:afterAutospacing="1" w:line="240" w:lineRule="auto"/>
                    <w:jc w:val="center"/>
                    <w:rPr>
                      <w:color w:val="000000" w:themeColor="text1"/>
                      <w:kern w:val="0"/>
                      <w:sz w:val="21"/>
                      <w:szCs w:val="21"/>
                      <w:u w:val="none"/>
                      <w14:textFill>
                        <w14:solidFill>
                          <w14:schemeClr w14:val="tx1"/>
                        </w14:solidFill>
                      </w14:textFill>
                    </w:rPr>
                  </w:pPr>
                  <w:r>
                    <w:rPr>
                      <w:rFonts w:hint="eastAsia"/>
                      <w:color w:val="000000" w:themeColor="text1"/>
                      <w:kern w:val="0"/>
                      <w:sz w:val="21"/>
                      <w:szCs w:val="21"/>
                      <w:u w:val="none"/>
                      <w14:textFill>
                        <w14:solidFill>
                          <w14:schemeClr w14:val="tx1"/>
                        </w14:solidFill>
                      </w14:textFill>
                    </w:rPr>
                    <w:t>24.3</w:t>
                  </w:r>
                </w:p>
              </w:tc>
            </w:tr>
          </w:tbl>
          <w:p w14:paraId="407934AC">
            <w:pPr>
              <w:ind w:firstLine="480" w:firstLineChars="200"/>
              <w:rPr>
                <w:rFonts w:hint="eastAsia" w:ascii="Times New Roman" w:hAnsi="Times New Roman" w:eastAsia="宋体" w:cs="Times New Roman"/>
                <w:color w:val="000000" w:themeColor="text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u w:val="none"/>
                <w:lang w:val="en-US" w:eastAsia="zh-CN"/>
                <w14:textFill>
                  <w14:solidFill>
                    <w14:schemeClr w14:val="tx1"/>
                  </w14:solidFill>
                </w14:textFill>
              </w:rPr>
              <w:t>本项目道路施工，主要体现在新建场内道路建设过程中，本项目300m范围内无声环境敏感点，项目建设对声环境的影响较小。</w:t>
            </w:r>
          </w:p>
          <w:p w14:paraId="48150D70">
            <w:pPr>
              <w:ind w:firstLine="480" w:firstLineChars="200"/>
              <w:rPr>
                <w:rFonts w:hint="eastAsia" w:ascii="Times New Roman" w:hAnsi="Times New Roman" w:eastAsia="宋体" w:cs="Times New Roman"/>
                <w:color w:val="000000" w:themeColor="text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u w:val="none"/>
                <w:lang w:val="en-US" w:eastAsia="zh-CN"/>
                <w14:textFill>
                  <w14:solidFill>
                    <w14:schemeClr w14:val="tx1"/>
                  </w14:solidFill>
                </w14:textFill>
              </w:rPr>
              <w:t>本环评要求车辆运输尽量安排在白天进行，确需夜间运输的，应降低车速，禁止鸣笛，并公告附近居民，需要取得沿线居民谅解。</w:t>
            </w:r>
          </w:p>
          <w:p w14:paraId="759AC0B5">
            <w:pPr>
              <w:ind w:firstLine="480" w:firstLineChars="200"/>
              <w:rPr>
                <w:rFonts w:hint="eastAsia" w:ascii="Times New Roman" w:hAnsi="Times New Roman" w:eastAsia="宋体" w:cs="Times New Roman"/>
                <w:color w:val="000000" w:themeColor="text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u w:val="none"/>
                <w:lang w:val="en-US" w:eastAsia="zh-CN"/>
                <w14:textFill>
                  <w14:solidFill>
                    <w14:schemeClr w14:val="tx1"/>
                  </w14:solidFill>
                </w14:textFill>
              </w:rPr>
              <w:t>为确保施工期间厂界噪声能够达标排放，本环评要求将高噪声设备远离施工场界布置；合理安排施工进度和时间，尽量缩短环境敏感点附近施工作业时间；同时依法限制夜间产生噪声污染的施工和加工作业，如因工艺特殊要求，需在夜间施工而产生环境噪声影响时，应按《中华人民共和国环境噪声污染防治法》的规定，取得县级以上有关主管部门的证明，并公告附近居民。该工程施工作业均安排在昼间，施工期的噪声影响只是暂时性的，本建设项目建设结束后施工噪声影响即可消失，因此基本不会影响居民的正常生活。</w:t>
            </w:r>
          </w:p>
          <w:p w14:paraId="2DC5A1B5">
            <w:pPr>
              <w:adjustRightInd w:val="0"/>
              <w:snapToGrid w:val="0"/>
              <w:ind w:firstLine="480" w:firstLineChars="200"/>
              <w:rPr>
                <w:color w:val="000000" w:themeColor="text1"/>
                <w:u w:val="none"/>
                <w14:textFill>
                  <w14:solidFill>
                    <w14:schemeClr w14:val="tx1"/>
                  </w14:solidFill>
                </w14:textFill>
              </w:rPr>
            </w:pPr>
            <w:r>
              <w:rPr>
                <w:color w:val="000000" w:themeColor="text1"/>
                <w:u w:val="none"/>
                <w14:textFill>
                  <w14:solidFill>
                    <w14:schemeClr w14:val="tx1"/>
                  </w14:solidFill>
                </w14:textFill>
              </w:rPr>
              <w:t>（3）爆破噪声预测</w:t>
            </w:r>
          </w:p>
          <w:p w14:paraId="347CD819">
            <w:pPr>
              <w:pStyle w:val="14"/>
              <w:spacing w:line="360" w:lineRule="auto"/>
              <w:ind w:firstLine="480" w:firstLineChars="200"/>
              <w:rPr>
                <w:rFonts w:ascii="Times New Roman" w:hAnsi="Times New Roman"/>
                <w:color w:val="000000" w:themeColor="text1"/>
                <w:u w:val="none"/>
                <w14:textFill>
                  <w14:solidFill>
                    <w14:schemeClr w14:val="tx1"/>
                  </w14:solidFill>
                </w14:textFill>
              </w:rPr>
            </w:pPr>
            <w:r>
              <w:rPr>
                <w:rFonts w:ascii="Times New Roman" w:hAnsi="Times New Roman"/>
                <w:color w:val="000000" w:themeColor="text1"/>
                <w:szCs w:val="24"/>
                <w:u w:val="none"/>
                <w14:textFill>
                  <w14:solidFill>
                    <w14:schemeClr w14:val="tx1"/>
                  </w14:solidFill>
                </w14:textFill>
              </w:rPr>
              <w:t>道路修建时石方爆破产生的噪声为瞬时性强声源，噪声影响范围较大，但爆破时段很短，爆炸完后，噪声即消失，居民点受其影响程度有限。爆破均在昼间进行，对周围居民夜间休息无影响。居民点附近改造道路爆破施工时，应优化施工工艺，减小施工爆破噪声；爆破作业须在上午8：30~11：30、下午2：30~6：30进行；并尽量知会受影响的居民，做好防范措施。施工爆破主要位于靠近风机点位，距离周围居民点较远，因而施工爆破噪声影响较小。</w:t>
            </w:r>
          </w:p>
          <w:p w14:paraId="5CE03963">
            <w:pPr>
              <w:pStyle w:val="3"/>
              <w:numPr>
                <w:ilvl w:val="0"/>
                <w:numId w:val="0"/>
              </w:numPr>
              <w:tabs>
                <w:tab w:val="left" w:pos="425"/>
                <w:tab w:val="clear" w:pos="420"/>
              </w:tabs>
              <w:rPr>
                <w:rFonts w:cs="Times New Roman"/>
                <w:color w:val="000000" w:themeColor="text1"/>
                <w:szCs w:val="21"/>
                <w:u w:val="none"/>
                <w14:textFill>
                  <w14:solidFill>
                    <w14:schemeClr w14:val="tx1"/>
                  </w14:solidFill>
                </w14:textFill>
              </w:rPr>
            </w:pPr>
            <w:bookmarkStart w:id="120" w:name="_Toc467060347"/>
            <w:bookmarkStart w:id="121" w:name="_Toc30532238"/>
            <w:bookmarkStart w:id="122" w:name="_Toc32597"/>
            <w:bookmarkStart w:id="123" w:name="_Toc4116"/>
            <w:r>
              <w:rPr>
                <w:rFonts w:cs="Times New Roman"/>
                <w:color w:val="000000" w:themeColor="text1"/>
                <w:szCs w:val="21"/>
                <w:u w:val="none"/>
                <w14:textFill>
                  <w14:solidFill>
                    <w14:schemeClr w14:val="tx1"/>
                  </w14:solidFill>
                </w14:textFill>
              </w:rPr>
              <w:t>4.3 施工期地表水环境</w:t>
            </w:r>
            <w:bookmarkEnd w:id="120"/>
            <w:bookmarkEnd w:id="121"/>
            <w:r>
              <w:rPr>
                <w:rFonts w:cs="Times New Roman"/>
                <w:color w:val="000000" w:themeColor="text1"/>
                <w:szCs w:val="21"/>
                <w:u w:val="none"/>
                <w14:textFill>
                  <w14:solidFill>
                    <w14:schemeClr w14:val="tx1"/>
                  </w14:solidFill>
                </w14:textFill>
              </w:rPr>
              <w:t>影响分析</w:t>
            </w:r>
            <w:bookmarkEnd w:id="122"/>
            <w:bookmarkEnd w:id="123"/>
          </w:p>
          <w:p w14:paraId="51EFFBBE">
            <w:pPr>
              <w:ind w:firstLine="420"/>
              <w:rPr>
                <w:color w:val="000000" w:themeColor="text1"/>
                <w:szCs w:val="21"/>
                <w:u w:val="none"/>
                <w14:textFill>
                  <w14:solidFill>
                    <w14:schemeClr w14:val="tx1"/>
                  </w14:solidFill>
                </w14:textFill>
              </w:rPr>
            </w:pPr>
            <w:r>
              <w:rPr>
                <w:color w:val="000000" w:themeColor="text1"/>
                <w:szCs w:val="21"/>
                <w:u w:val="none"/>
                <w14:textFill>
                  <w14:solidFill>
                    <w14:schemeClr w14:val="tx1"/>
                  </w14:solidFill>
                </w14:textFill>
              </w:rPr>
              <w:t>施工期废水主要是生产废水和施工人员生活污水。</w:t>
            </w:r>
          </w:p>
          <w:p w14:paraId="7782FE80">
            <w:pPr>
              <w:ind w:firstLine="420"/>
              <w:rPr>
                <w:color w:val="000000" w:themeColor="text1"/>
                <w:szCs w:val="21"/>
                <w:u w:val="none"/>
                <w14:textFill>
                  <w14:solidFill>
                    <w14:schemeClr w14:val="tx1"/>
                  </w14:solidFill>
                </w14:textFill>
              </w:rPr>
            </w:pPr>
            <w:r>
              <w:rPr>
                <w:color w:val="000000" w:themeColor="text1"/>
                <w:szCs w:val="21"/>
                <w:u w:val="none"/>
                <w14:textFill>
                  <w14:solidFill>
                    <w14:schemeClr w14:val="tx1"/>
                  </w14:solidFill>
                </w14:textFill>
              </w:rPr>
              <w:t>（1）生产废水</w:t>
            </w:r>
          </w:p>
          <w:p w14:paraId="0B333A70">
            <w:pPr>
              <w:ind w:firstLine="480" w:firstLineChars="200"/>
              <w:rPr>
                <w:color w:val="000000" w:themeColor="text1"/>
                <w:u w:val="none"/>
                <w14:textFill>
                  <w14:solidFill>
                    <w14:schemeClr w14:val="tx1"/>
                  </w14:solidFill>
                </w14:textFill>
              </w:rPr>
            </w:pPr>
            <w:r>
              <w:rPr>
                <w:color w:val="000000" w:themeColor="text1"/>
                <w:szCs w:val="21"/>
                <w:u w:val="none"/>
                <w14:textFill>
                  <w14:solidFill>
                    <w14:schemeClr w14:val="tx1"/>
                  </w14:solidFill>
                </w14:textFill>
              </w:rPr>
              <w:t>施工期</w:t>
            </w:r>
            <w:r>
              <w:rPr>
                <w:color w:val="000000" w:themeColor="text1"/>
                <w:u w:val="none"/>
                <w14:textFill>
                  <w14:solidFill>
                    <w14:schemeClr w14:val="tx1"/>
                  </w14:solidFill>
                </w14:textFill>
              </w:rPr>
              <w:t>用水量约为10m</w:t>
            </w:r>
            <w:r>
              <w:rPr>
                <w:color w:val="000000" w:themeColor="text1"/>
                <w:u w:val="none"/>
                <w:vertAlign w:val="superscript"/>
                <w14:textFill>
                  <w14:solidFill>
                    <w14:schemeClr w14:val="tx1"/>
                  </w14:solidFill>
                </w14:textFill>
              </w:rPr>
              <w:t>3</w:t>
            </w:r>
            <w:r>
              <w:rPr>
                <w:color w:val="000000" w:themeColor="text1"/>
                <w:u w:val="none"/>
                <w14:textFill>
                  <w14:solidFill>
                    <w14:schemeClr w14:val="tx1"/>
                  </w14:solidFill>
                </w14:textFill>
              </w:rPr>
              <w:t>/d，废水产生量按用水量的90％计算，则废水产生量为9m</w:t>
            </w:r>
            <w:r>
              <w:rPr>
                <w:color w:val="000000" w:themeColor="text1"/>
                <w:u w:val="none"/>
                <w:vertAlign w:val="superscript"/>
                <w14:textFill>
                  <w14:solidFill>
                    <w14:schemeClr w14:val="tx1"/>
                  </w14:solidFill>
                </w14:textFill>
              </w:rPr>
              <w:t>3</w:t>
            </w:r>
            <w:r>
              <w:rPr>
                <w:color w:val="000000" w:themeColor="text1"/>
                <w:u w:val="none"/>
                <w14:textFill>
                  <w14:solidFill>
                    <w14:schemeClr w14:val="tx1"/>
                  </w14:solidFill>
                </w14:textFill>
              </w:rPr>
              <w:t>/d</w:t>
            </w:r>
            <w:r>
              <w:rPr>
                <w:color w:val="000000" w:themeColor="text1"/>
                <w:szCs w:val="21"/>
                <w:u w:val="none"/>
                <w14:textFill>
                  <w14:solidFill>
                    <w14:schemeClr w14:val="tx1"/>
                  </w14:solidFill>
                </w14:textFill>
              </w:rPr>
              <w:t>，施工生产废水主要施工机械设备与运输车辆的清洗废水等，其主要污染物有SS和石油类。工程建设区生产废水排放量不大且排放点分散，土壤吸水性强，废水若直接排放不符合建设项目环境保护相关规定要求。为减小不利影响，要求设备和车辆的清洗必须集中到施工生产生活区进行。在施工营地设置沉淀池和隔油池。废水</w:t>
            </w:r>
            <w:r>
              <w:rPr>
                <w:color w:val="000000" w:themeColor="text1"/>
                <w:u w:val="none"/>
                <w14:textFill>
                  <w14:solidFill>
                    <w14:schemeClr w14:val="tx1"/>
                  </w14:solidFill>
                </w14:textFill>
              </w:rPr>
              <w:t>集中收集后进入沉淀池，经沉淀后，进入小型隔油池，废水经处理后回用于道路洒水和场区绿化。</w:t>
            </w:r>
          </w:p>
          <w:p w14:paraId="6AE5EA6B">
            <w:pPr>
              <w:ind w:firstLine="480" w:firstLineChars="200"/>
              <w:rPr>
                <w:color w:val="000000" w:themeColor="text1"/>
                <w:u w:val="none"/>
                <w14:textFill>
                  <w14:solidFill>
                    <w14:schemeClr w14:val="tx1"/>
                  </w14:solidFill>
                </w14:textFill>
              </w:rPr>
            </w:pPr>
            <w:r>
              <w:rPr>
                <w:color w:val="000000" w:themeColor="text1"/>
                <w:u w:val="none"/>
                <w14:textFill>
                  <w14:solidFill>
                    <w14:schemeClr w14:val="tx1"/>
                  </w14:solidFill>
                </w14:textFill>
              </w:rPr>
              <w:t>本工程施工期较短，且生产废水经沉淀隔油处理后回用。因此，施工期生产废水不会对区域内水环境影响较小。</w:t>
            </w:r>
          </w:p>
          <w:p w14:paraId="2FFDC9FE">
            <w:pPr>
              <w:ind w:firstLine="480" w:firstLineChars="200"/>
              <w:rPr>
                <w:color w:val="000000" w:themeColor="text1"/>
                <w:u w:val="none"/>
                <w14:textFill>
                  <w14:solidFill>
                    <w14:schemeClr w14:val="tx1"/>
                  </w14:solidFill>
                </w14:textFill>
              </w:rPr>
            </w:pPr>
            <w:r>
              <w:rPr>
                <w:color w:val="000000" w:themeColor="text1"/>
                <w:u w:val="none"/>
                <w14:textFill>
                  <w14:solidFill>
                    <w14:schemeClr w14:val="tx1"/>
                  </w14:solidFill>
                </w14:textFill>
              </w:rPr>
              <w:t>（2）生活污水</w:t>
            </w:r>
          </w:p>
          <w:p w14:paraId="766A135F">
            <w:pPr>
              <w:ind w:firstLine="480" w:firstLineChars="200"/>
              <w:rPr>
                <w:color w:val="000000" w:themeColor="text1"/>
                <w:u w:val="none"/>
                <w14:textFill>
                  <w14:solidFill>
                    <w14:schemeClr w14:val="tx1"/>
                  </w14:solidFill>
                </w14:textFill>
              </w:rPr>
            </w:pPr>
            <w:r>
              <w:rPr>
                <w:color w:val="000000" w:themeColor="text1"/>
                <w:u w:val="none"/>
                <w14:textFill>
                  <w14:solidFill>
                    <w14:schemeClr w14:val="tx1"/>
                  </w14:solidFill>
                </w14:textFill>
              </w:rPr>
              <w:t>本工程施工期的平均人数为</w:t>
            </w:r>
            <w:r>
              <w:rPr>
                <w:rFonts w:hint="eastAsia"/>
                <w:color w:val="000000" w:themeColor="text1"/>
                <w:u w:val="none"/>
                <w:lang w:eastAsia="zh-CN"/>
                <w14:textFill>
                  <w14:solidFill>
                    <w14:schemeClr w14:val="tx1"/>
                  </w14:solidFill>
                </w14:textFill>
              </w:rPr>
              <w:t>5</w:t>
            </w:r>
            <w:r>
              <w:rPr>
                <w:color w:val="000000" w:themeColor="text1"/>
                <w:u w:val="none"/>
                <w14:textFill>
                  <w14:solidFill>
                    <w14:schemeClr w14:val="tx1"/>
                  </w14:solidFill>
                </w14:textFill>
              </w:rPr>
              <w:t>0人，高峰人数为1</w:t>
            </w:r>
            <w:r>
              <w:rPr>
                <w:rFonts w:hint="eastAsia"/>
                <w:color w:val="000000" w:themeColor="text1"/>
                <w:u w:val="none"/>
                <w:lang w:eastAsia="zh-CN"/>
                <w14:textFill>
                  <w14:solidFill>
                    <w14:schemeClr w14:val="tx1"/>
                  </w14:solidFill>
                </w14:textFill>
              </w:rPr>
              <w:t>0</w:t>
            </w:r>
            <w:r>
              <w:rPr>
                <w:color w:val="000000" w:themeColor="text1"/>
                <w:u w:val="none"/>
                <w14:textFill>
                  <w14:solidFill>
                    <w14:schemeClr w14:val="tx1"/>
                  </w14:solidFill>
                </w14:textFill>
              </w:rPr>
              <w:t>0人，高峰期生活用水量1</w:t>
            </w:r>
            <w:r>
              <w:rPr>
                <w:rFonts w:hint="eastAsia"/>
                <w:color w:val="000000" w:themeColor="text1"/>
                <w:u w:val="none"/>
                <w:lang w:val="en-US" w:eastAsia="zh-CN"/>
                <w14:textFill>
                  <w14:solidFill>
                    <w14:schemeClr w14:val="tx1"/>
                  </w14:solidFill>
                </w14:textFill>
              </w:rPr>
              <w:t>2</w:t>
            </w:r>
            <w:r>
              <w:rPr>
                <w:color w:val="000000" w:themeColor="text1"/>
                <w:u w:val="none"/>
                <w14:textFill>
                  <w14:solidFill>
                    <w14:schemeClr w14:val="tx1"/>
                  </w14:solidFill>
                </w14:textFill>
              </w:rPr>
              <w:t>m</w:t>
            </w:r>
            <w:r>
              <w:rPr>
                <w:color w:val="000000" w:themeColor="text1"/>
                <w:u w:val="none"/>
                <w:vertAlign w:val="superscript"/>
                <w14:textFill>
                  <w14:solidFill>
                    <w14:schemeClr w14:val="tx1"/>
                  </w14:solidFill>
                </w14:textFill>
              </w:rPr>
              <w:t>3</w:t>
            </w:r>
            <w:r>
              <w:rPr>
                <w:color w:val="000000" w:themeColor="text1"/>
                <w:u w:val="none"/>
                <w14:textFill>
                  <w14:solidFill>
                    <w14:schemeClr w14:val="tx1"/>
                  </w14:solidFill>
                </w14:textFill>
              </w:rPr>
              <w:t>/d（以人均生活用水量120L/d计），施工期每天污水排放量</w:t>
            </w:r>
            <w:r>
              <w:rPr>
                <w:rFonts w:hint="eastAsia"/>
                <w:color w:val="000000" w:themeColor="text1"/>
                <w:u w:val="none"/>
                <w:lang w:val="en-US" w:eastAsia="zh-CN"/>
                <w14:textFill>
                  <w14:solidFill>
                    <w14:schemeClr w14:val="tx1"/>
                  </w14:solidFill>
                </w14:textFill>
              </w:rPr>
              <w:t>9.6</w:t>
            </w:r>
            <w:r>
              <w:rPr>
                <w:color w:val="000000" w:themeColor="text1"/>
                <w:u w:val="none"/>
                <w14:textFill>
                  <w14:solidFill>
                    <w14:schemeClr w14:val="tx1"/>
                  </w14:solidFill>
                </w14:textFill>
              </w:rPr>
              <w:t>m</w:t>
            </w:r>
            <w:r>
              <w:rPr>
                <w:color w:val="000000" w:themeColor="text1"/>
                <w:u w:val="none"/>
                <w:vertAlign w:val="superscript"/>
                <w14:textFill>
                  <w14:solidFill>
                    <w14:schemeClr w14:val="tx1"/>
                  </w14:solidFill>
                </w14:textFill>
              </w:rPr>
              <w:t>3</w:t>
            </w:r>
            <w:r>
              <w:rPr>
                <w:color w:val="000000" w:themeColor="text1"/>
                <w:u w:val="none"/>
                <w14:textFill>
                  <w14:solidFill>
                    <w14:schemeClr w14:val="tx1"/>
                  </w14:solidFill>
                </w14:textFill>
              </w:rPr>
              <w:t>/d，生活污水日排放量很小，主要污染物为CODCr、氨氮和悬浮物等。施工员工和工作人员租赁周边居民房屋作为办公和生活用房，施工员工和工作人员生活废水经化粪池处理后，用于周边植被的灌溉，生活废水对周边水环境的影响很小。</w:t>
            </w:r>
          </w:p>
          <w:p w14:paraId="227EE86D">
            <w:pPr>
              <w:ind w:firstLine="480" w:firstLineChars="200"/>
              <w:rPr>
                <w:rFonts w:hint="eastAsia"/>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（3）施工对居民饮用水的影响</w:t>
            </w:r>
          </w:p>
          <w:p w14:paraId="1E5CC467">
            <w:pPr>
              <w:ind w:firstLine="480" w:firstLineChars="200"/>
              <w:rPr>
                <w:rFonts w:hint="eastAsia"/>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项目区周边居民主要饮用水源为附近山泉水或地表水，项目施工，可</w:t>
            </w:r>
          </w:p>
          <w:p w14:paraId="7E1F5EB7">
            <w:pPr>
              <w:rPr>
                <w:rFonts w:hint="eastAsia"/>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能会对居民饮用水水源造成一定影响。</w:t>
            </w:r>
          </w:p>
          <w:p w14:paraId="44F3DDC8">
            <w:pPr>
              <w:ind w:firstLine="480" w:firstLineChars="200"/>
              <w:rPr>
                <w:rFonts w:hint="eastAsia"/>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施工过程对饮用水源的影响主要体现在工程土石方开挖造成的水土流失，可能会影响居民用水。项目建设过程中，涉及饮用水源的相关土石方施工过程较短，施工位置距离水源取水点较远，所涉及的山体坡度较小，水土流失影响程度较低，且降雨后由于周边林地天然的过滤效果，对周边</w:t>
            </w:r>
          </w:p>
          <w:p w14:paraId="01024945">
            <w:pPr>
              <w:rPr>
                <w:rFonts w:hint="eastAsia"/>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居民饮水水质影响不大。建设单位应严格控制施工时间，尽可能选择干旱</w:t>
            </w:r>
          </w:p>
          <w:p w14:paraId="26E107F6">
            <w:pPr>
              <w:rPr>
                <w:rFonts w:hint="eastAsia"/>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季节施工，避免暴雨对施工区域造成的水土流失。在场内道路和风机平台</w:t>
            </w:r>
          </w:p>
          <w:p w14:paraId="15C1C855">
            <w:pPr>
              <w:rPr>
                <w:rFonts w:hint="eastAsia"/>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附近设置排水沟和沉砂池，相关水土保持工程应在项目施工过程中及时实</w:t>
            </w:r>
          </w:p>
          <w:p w14:paraId="776A6A75">
            <w:pPr>
              <w:rPr>
                <w:rFonts w:hint="eastAsia"/>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施，最大限度地减少降雨对裸露地表的冲刷。在采取以上措施的前提下，</w:t>
            </w:r>
          </w:p>
          <w:p w14:paraId="7E7D0676">
            <w:pPr>
              <w:rPr>
                <w:rFonts w:hint="eastAsia"/>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项目建设对周边居民饮水影响很小。同时，建设单位应对产生影响的居民</w:t>
            </w:r>
          </w:p>
          <w:p w14:paraId="27FFCE81">
            <w:pPr>
              <w:rPr>
                <w:rFonts w:hint="eastAsia"/>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饮水工程采取重新选取水源、改线等措施以保障当地居民饮水。</w:t>
            </w:r>
          </w:p>
          <w:p w14:paraId="7805DF9B">
            <w:pPr>
              <w:ind w:firstLine="480" w:firstLineChars="200"/>
              <w:rPr>
                <w:rFonts w:hint="default"/>
                <w:color w:val="000000" w:themeColor="text1"/>
                <w:u w:val="none"/>
                <w:lang w:val="en-US" w:eastAsia="zh-CN"/>
                <w14:textFill>
                  <w14:solidFill>
                    <w14:schemeClr w14:val="tx1"/>
                  </w14:solidFill>
                </w14:textFill>
              </w:rPr>
            </w:pPr>
            <w:r>
              <w:rPr>
                <w:color w:val="000000" w:themeColor="text1"/>
                <w:u w:val="none"/>
                <w14:textFill>
                  <w14:solidFill>
                    <w14:schemeClr w14:val="tx1"/>
                  </w14:solidFill>
                </w14:textFill>
              </w:rPr>
              <w:t>（</w:t>
            </w:r>
            <w:r>
              <w:rPr>
                <w:rFonts w:hint="eastAsia"/>
                <w:color w:val="000000" w:themeColor="text1"/>
                <w:u w:val="none"/>
                <w:lang w:val="en-US" w:eastAsia="zh-CN"/>
                <w14:textFill>
                  <w14:solidFill>
                    <w14:schemeClr w14:val="tx1"/>
                  </w14:solidFill>
                </w14:textFill>
              </w:rPr>
              <w:t>4</w:t>
            </w:r>
            <w:r>
              <w:rPr>
                <w:color w:val="000000" w:themeColor="text1"/>
                <w:u w:val="none"/>
                <w14:textFill>
                  <w14:solidFill>
                    <w14:schemeClr w14:val="tx1"/>
                  </w14:solidFill>
                </w14:textFill>
              </w:rPr>
              <w:t>）</w:t>
            </w:r>
            <w:r>
              <w:rPr>
                <w:rFonts w:hint="eastAsia"/>
                <w:color w:val="000000" w:themeColor="text1"/>
                <w:u w:val="none"/>
                <w:lang w:val="en-US" w:eastAsia="zh-CN"/>
                <w14:textFill>
                  <w14:solidFill>
                    <w14:schemeClr w14:val="tx1"/>
                  </w14:solidFill>
                </w14:textFill>
              </w:rPr>
              <w:t>水土流失</w:t>
            </w:r>
          </w:p>
          <w:p w14:paraId="05717111">
            <w:pPr>
              <w:rPr>
                <w:rFonts w:hint="eastAsia"/>
                <w:color w:val="000000" w:themeColor="text1"/>
                <w:u w:val="none"/>
                <w:lang w:val="en-US" w:eastAsia="zh-CN"/>
                <w14:textFill>
                  <w14:solidFill>
                    <w14:schemeClr w14:val="tx1"/>
                  </w14:solidFill>
                </w14:textFill>
              </w:rPr>
            </w:pPr>
            <w:r>
              <w:rPr>
                <w:rFonts w:hint="eastAsia"/>
                <w:color w:val="000000" w:themeColor="text1"/>
                <w:u w:val="none"/>
                <w:lang w:val="en-US" w:eastAsia="zh-CN"/>
                <w14:textFill>
                  <w14:solidFill>
                    <w14:schemeClr w14:val="tx1"/>
                  </w14:solidFill>
                </w14:textFill>
              </w:rPr>
              <w:t>施工应严格按照项目水保方案进行。风机平台和场内道路等需进行优化布置，避开较陡的山坡，避开高挖高填区域，部分区域边坡较陡，通过修建路基挡土墙，严格控制施工范围，</w:t>
            </w:r>
            <w:r>
              <w:rPr>
                <w:rFonts w:hint="eastAsia"/>
                <w:color w:val="000000" w:themeColor="text1"/>
                <w:u w:val="none"/>
                <w14:textFill>
                  <w14:solidFill>
                    <w14:schemeClr w14:val="tx1"/>
                  </w14:solidFill>
                </w14:textFill>
              </w:rPr>
              <w:t>回填边坡应夯实，渣土及时转运，施工产生的土石方全部运输至弃渣场堆放，减少工程占地、减少水土流失</w:t>
            </w:r>
            <w:r>
              <w:rPr>
                <w:rFonts w:hint="eastAsia"/>
                <w:color w:val="000000" w:themeColor="text1"/>
                <w:u w:val="none"/>
                <w:lang w:eastAsia="zh-CN"/>
                <w14:textFill>
                  <w14:solidFill>
                    <w14:schemeClr w14:val="tx1"/>
                  </w14:solidFill>
                </w14:textFill>
              </w:rPr>
              <w:t>。</w:t>
            </w:r>
            <w:r>
              <w:rPr>
                <w:rFonts w:hint="eastAsia"/>
                <w:color w:val="000000" w:themeColor="text1"/>
                <w:u w:val="none"/>
                <w:lang w:val="en-US" w:eastAsia="zh-CN"/>
                <w14:textFill>
                  <w14:solidFill>
                    <w14:schemeClr w14:val="tx1"/>
                  </w14:solidFill>
                </w14:textFill>
              </w:rPr>
              <w:t>在施工过程中严格采取水保措施的情况下，项目建设影响较小。</w:t>
            </w:r>
          </w:p>
          <w:p w14:paraId="7B243B26">
            <w:pPr>
              <w:ind w:firstLine="480" w:firstLineChars="200"/>
              <w:rPr>
                <w:rFonts w:hint="eastAsia"/>
                <w:color w:val="000000" w:themeColor="text1"/>
                <w:u w:val="none"/>
                <w14:textFill>
                  <w14:solidFill>
                    <w14:schemeClr w14:val="tx1"/>
                  </w14:solidFill>
                </w14:textFill>
              </w:rPr>
            </w:pPr>
            <w:r>
              <w:rPr>
                <w:rFonts w:hint="eastAsia"/>
                <w:color w:val="000000" w:themeColor="text1"/>
                <w:u w:val="none"/>
                <w:lang w:eastAsia="zh-CN"/>
                <w14:textFill>
                  <w14:solidFill>
                    <w14:schemeClr w14:val="tx1"/>
                  </w14:solidFill>
                </w14:textFill>
              </w:rPr>
              <w:t>（</w:t>
            </w:r>
            <w:r>
              <w:rPr>
                <w:rFonts w:hint="eastAsia"/>
                <w:color w:val="000000" w:themeColor="text1"/>
                <w:u w:val="none"/>
                <w:lang w:val="en-US" w:eastAsia="zh-CN"/>
                <w14:textFill>
                  <w14:solidFill>
                    <w14:schemeClr w14:val="tx1"/>
                  </w14:solidFill>
                </w14:textFill>
              </w:rPr>
              <w:t>5）</w:t>
            </w:r>
            <w:r>
              <w:rPr>
                <w:rFonts w:hint="eastAsia"/>
                <w:color w:val="000000" w:themeColor="text1"/>
                <w:u w:val="none"/>
                <w14:textFill>
                  <w14:solidFill>
                    <w14:schemeClr w14:val="tx1"/>
                  </w14:solidFill>
                </w14:textFill>
              </w:rPr>
              <w:t>对饮用水水源保护区的影响分析</w:t>
            </w:r>
          </w:p>
          <w:p w14:paraId="2AA59174">
            <w:pPr>
              <w:rPr>
                <w:rFonts w:hint="eastAsia"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 xml:space="preserve">   本项目与饮用水源无水力联系，因此本项目施工对饮用水水源保护区不会造成影响。本环评要求禁止随意变更设计，特别是禁止在水源保护区内进行施工和建设活动，若因工程原因必须要在水源保护区可能会水源水质短时间变差，或者在饮用水水源保护区内进行施工和建设活动的，需重新进行环境影响评价。针对水源的保护措施主要有：</w:t>
            </w:r>
          </w:p>
          <w:p w14:paraId="331999F5">
            <w:pPr>
              <w:ind w:firstLine="480" w:firstLineChars="200"/>
              <w:rPr>
                <w:rFonts w:hint="eastAsia"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（1）优化施工设计方案，建议将工程尽量调整至水源背水侧，切断工程施工与水源之间的水力联系。</w:t>
            </w:r>
          </w:p>
          <w:p w14:paraId="6237CC78">
            <w:pPr>
              <w:ind w:firstLine="480" w:firstLineChars="200"/>
              <w:rPr>
                <w:rFonts w:hint="eastAsia"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（2）道路开挖阶段应及时开挖临时排水沟和临时沉沙池，建议两侧都设置排水沟，受条件限制的至少一侧要设置，临时沉沙池数量尽量多，减少泥沙对下游的影响。</w:t>
            </w:r>
          </w:p>
          <w:p w14:paraId="2FAD0EE7">
            <w:pPr>
              <w:ind w:firstLine="480" w:firstLineChars="200"/>
              <w:rPr>
                <w:rFonts w:hint="eastAsia"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（3）雨季尽量不安排施工，施工期间要密切注意天气预报，及时掌握雨情</w:t>
            </w:r>
          </w:p>
          <w:p w14:paraId="5077FCC9">
            <w:pPr>
              <w:pStyle w:val="3"/>
              <w:numPr>
                <w:ilvl w:val="0"/>
                <w:numId w:val="0"/>
              </w:numPr>
              <w:tabs>
                <w:tab w:val="left" w:pos="425"/>
                <w:tab w:val="clear" w:pos="420"/>
              </w:tabs>
              <w:rPr>
                <w:rFonts w:hint="eastAsia" w:ascii="Times New Roman" w:hAnsi="Times New Roman" w:eastAsia="宋体" w:cs="Times New Roman"/>
                <w:b w:val="0"/>
                <w:bCs w:val="0"/>
                <w:color w:val="000000" w:themeColor="text1"/>
                <w:kern w:val="2"/>
                <w:sz w:val="24"/>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1"/>
                <w:lang w:val="en-US" w:eastAsia="zh-CN" w:bidi="ar-SA"/>
                <w14:textFill>
                  <w14:solidFill>
                    <w14:schemeClr w14:val="tx1"/>
                  </w14:solidFill>
                </w14:textFill>
              </w:rPr>
              <w:t>水情，确实要连续施工的，要组织人力物力，加快施工进度，缩短雨季施工时间。</w:t>
            </w:r>
            <w:bookmarkStart w:id="124" w:name="_Toc28393"/>
            <w:bookmarkStart w:id="125" w:name="_Toc14110"/>
            <w:bookmarkStart w:id="126" w:name="_Toc30532239"/>
          </w:p>
          <w:p w14:paraId="5C1DBC61">
            <w:pPr>
              <w:pStyle w:val="3"/>
              <w:numPr>
                <w:ilvl w:val="0"/>
                <w:numId w:val="0"/>
              </w:numPr>
              <w:tabs>
                <w:tab w:val="left" w:pos="425"/>
                <w:tab w:val="clear" w:pos="420"/>
              </w:tabs>
              <w:rPr>
                <w:rFonts w:cs="Times New Roman"/>
                <w:color w:val="000000" w:themeColor="text1"/>
                <w:szCs w:val="21"/>
                <w:u w:val="none"/>
                <w14:textFill>
                  <w14:solidFill>
                    <w14:schemeClr w14:val="tx1"/>
                  </w14:solidFill>
                </w14:textFill>
              </w:rPr>
            </w:pPr>
            <w:r>
              <w:rPr>
                <w:rFonts w:cs="Times New Roman"/>
                <w:color w:val="000000" w:themeColor="text1"/>
                <w:szCs w:val="21"/>
                <w:u w:val="none"/>
                <w14:textFill>
                  <w14:solidFill>
                    <w14:schemeClr w14:val="tx1"/>
                  </w14:solidFill>
                </w14:textFill>
              </w:rPr>
              <w:t>4.4 施工期地下水环境影响分析</w:t>
            </w:r>
            <w:bookmarkEnd w:id="124"/>
            <w:bookmarkEnd w:id="125"/>
            <w:bookmarkEnd w:id="126"/>
          </w:p>
          <w:p w14:paraId="4CA8BA26">
            <w:pPr>
              <w:ind w:firstLine="480" w:firstLineChars="200"/>
              <w:rPr>
                <w:color w:val="000000" w:themeColor="text1"/>
                <w:u w:val="none"/>
                <w14:textFill>
                  <w14:solidFill>
                    <w14:schemeClr w14:val="tx1"/>
                  </w14:solidFill>
                </w14:textFill>
              </w:rPr>
            </w:pPr>
            <w:r>
              <w:rPr>
                <w:color w:val="000000" w:themeColor="text1"/>
                <w:u w:val="none"/>
                <w14:textFill>
                  <w14:solidFill>
                    <w14:schemeClr w14:val="tx1"/>
                  </w14:solidFill>
                </w14:textFill>
              </w:rPr>
              <w:t>本工程生产废水产生量较小，且生产废水经沉淀池和隔油池处理后全部回用于生产施工，生产废水基本不会对地下水产生影响。</w:t>
            </w:r>
          </w:p>
          <w:p w14:paraId="110A3D07">
            <w:pPr>
              <w:pStyle w:val="3"/>
              <w:numPr>
                <w:ilvl w:val="0"/>
                <w:numId w:val="0"/>
              </w:numPr>
              <w:tabs>
                <w:tab w:val="left" w:pos="425"/>
                <w:tab w:val="clear" w:pos="420"/>
              </w:tabs>
              <w:rPr>
                <w:rFonts w:cs="Times New Roman"/>
                <w:color w:val="000000" w:themeColor="text1"/>
                <w:szCs w:val="21"/>
                <w:u w:val="none"/>
                <w14:textFill>
                  <w14:solidFill>
                    <w14:schemeClr w14:val="tx1"/>
                  </w14:solidFill>
                </w14:textFill>
              </w:rPr>
            </w:pPr>
            <w:bookmarkStart w:id="127" w:name="_Toc19064"/>
            <w:bookmarkStart w:id="128" w:name="_Toc467060349"/>
            <w:bookmarkStart w:id="129" w:name="_Toc9042"/>
            <w:bookmarkStart w:id="130" w:name="_Toc30532240"/>
            <w:r>
              <w:rPr>
                <w:rFonts w:cs="Times New Roman"/>
                <w:color w:val="000000" w:themeColor="text1"/>
                <w:szCs w:val="21"/>
                <w:u w:val="none"/>
                <w14:textFill>
                  <w14:solidFill>
                    <w14:schemeClr w14:val="tx1"/>
                  </w14:solidFill>
                </w14:textFill>
              </w:rPr>
              <w:t>4.5 施工期大气环境影响分析</w:t>
            </w:r>
            <w:bookmarkEnd w:id="127"/>
            <w:bookmarkEnd w:id="128"/>
            <w:bookmarkEnd w:id="129"/>
            <w:bookmarkEnd w:id="130"/>
          </w:p>
          <w:p w14:paraId="57318D62">
            <w:pPr>
              <w:pStyle w:val="4"/>
              <w:tabs>
                <w:tab w:val="left" w:pos="425"/>
              </w:tabs>
              <w:rPr>
                <w:color w:val="000000" w:themeColor="text1"/>
                <w:szCs w:val="24"/>
                <w:u w:val="none"/>
                <w14:textFill>
                  <w14:solidFill>
                    <w14:schemeClr w14:val="tx1"/>
                  </w14:solidFill>
                </w14:textFill>
              </w:rPr>
            </w:pPr>
            <w:bookmarkStart w:id="131" w:name="_Toc10136"/>
            <w:r>
              <w:rPr>
                <w:color w:val="000000" w:themeColor="text1"/>
                <w:szCs w:val="24"/>
                <w:u w:val="none"/>
                <w14:textFill>
                  <w14:solidFill>
                    <w14:schemeClr w14:val="tx1"/>
                  </w14:solidFill>
                </w14:textFill>
              </w:rPr>
              <w:t>4.5.1 废气污染源</w:t>
            </w:r>
            <w:bookmarkEnd w:id="131"/>
          </w:p>
          <w:p w14:paraId="67977563">
            <w:pPr>
              <w:ind w:firstLine="480" w:firstLineChars="200"/>
              <w:rPr>
                <w:color w:val="000000" w:themeColor="text1"/>
                <w:szCs w:val="21"/>
                <w:u w:val="none"/>
                <w14:textFill>
                  <w14:solidFill>
                    <w14:schemeClr w14:val="tx1"/>
                  </w14:solidFill>
                </w14:textFill>
              </w:rPr>
            </w:pPr>
            <w:r>
              <w:rPr>
                <w:color w:val="000000" w:themeColor="text1"/>
                <w:szCs w:val="21"/>
                <w:u w:val="none"/>
                <w14:textFill>
                  <w14:solidFill>
                    <w14:schemeClr w14:val="tx1"/>
                  </w14:solidFill>
                </w14:textFill>
              </w:rPr>
              <w:t>本项目废气主要来源为施工场地扬尘、运输道路扬尘和施工机械运行产生的无组织排放废气，其中以施工扬尘和运输道路扬尘对空气环境质量的影响最大。</w:t>
            </w:r>
          </w:p>
          <w:p w14:paraId="29A99EC9">
            <w:pPr>
              <w:ind w:firstLine="480" w:firstLineChars="200"/>
              <w:rPr>
                <w:color w:val="000000" w:themeColor="text1"/>
                <w:szCs w:val="21"/>
                <w:u w:val="none"/>
                <w14:textFill>
                  <w14:solidFill>
                    <w14:schemeClr w14:val="tx1"/>
                  </w14:solidFill>
                </w14:textFill>
              </w:rPr>
            </w:pPr>
            <w:r>
              <w:rPr>
                <w:color w:val="000000" w:themeColor="text1"/>
                <w:szCs w:val="21"/>
                <w:u w:val="none"/>
                <w14:textFill>
                  <w14:solidFill>
                    <w14:schemeClr w14:val="tx1"/>
                  </w14:solidFill>
                </w14:textFill>
              </w:rPr>
              <w:t>工程施工时，在运输车辆行驶、施工垃圾的清理及堆放、人来车往、装卸材料等均可能产生扬尘。一般情况下，扬尘产生量在有风旱季晴天多于无风和雨季，动态施工多于静态作业。</w:t>
            </w:r>
          </w:p>
          <w:p w14:paraId="42DDF278">
            <w:pPr>
              <w:ind w:firstLine="480" w:firstLineChars="200"/>
              <w:rPr>
                <w:color w:val="000000" w:themeColor="text1"/>
                <w:szCs w:val="21"/>
                <w:u w:val="none"/>
                <w14:textFill>
                  <w14:solidFill>
                    <w14:schemeClr w14:val="tx1"/>
                  </w14:solidFill>
                </w14:textFill>
              </w:rPr>
            </w:pPr>
            <w:r>
              <w:rPr>
                <w:color w:val="000000" w:themeColor="text1"/>
                <w:szCs w:val="21"/>
                <w:u w:val="none"/>
                <w14:textFill>
                  <w14:solidFill>
                    <w14:schemeClr w14:val="tx1"/>
                  </w14:solidFill>
                </w14:textFill>
              </w:rPr>
              <w:t>类比同类项目分析，本项目施工过程中的扬尘将是大气污染因子中对周边敏感点大气环境影响最大的一项。因此，本次环评将施工阶段扬尘对项目周边环境产生的影响进行分析评价。</w:t>
            </w:r>
          </w:p>
          <w:p w14:paraId="03A424B4">
            <w:pPr>
              <w:pStyle w:val="4"/>
              <w:tabs>
                <w:tab w:val="left" w:pos="425"/>
              </w:tabs>
              <w:rPr>
                <w:color w:val="000000" w:themeColor="text1"/>
                <w:szCs w:val="24"/>
                <w:u w:val="none"/>
                <w14:textFill>
                  <w14:solidFill>
                    <w14:schemeClr w14:val="tx1"/>
                  </w14:solidFill>
                </w14:textFill>
              </w:rPr>
            </w:pPr>
            <w:bookmarkStart w:id="132" w:name="_Toc13507"/>
            <w:r>
              <w:rPr>
                <w:color w:val="000000" w:themeColor="text1"/>
                <w:szCs w:val="24"/>
                <w:u w:val="none"/>
                <w14:textFill>
                  <w14:solidFill>
                    <w14:schemeClr w14:val="tx1"/>
                  </w14:solidFill>
                </w14:textFill>
              </w:rPr>
              <w:t>4.5.2 施工场地扬尘影响分析评价</w:t>
            </w:r>
            <w:bookmarkEnd w:id="132"/>
          </w:p>
          <w:p w14:paraId="3571C8E5">
            <w:pPr>
              <w:ind w:firstLine="480" w:firstLineChars="200"/>
              <w:rPr>
                <w:color w:val="000000" w:themeColor="text1"/>
                <w:szCs w:val="21"/>
                <w:u w:val="none"/>
                <w14:textFill>
                  <w14:solidFill>
                    <w14:schemeClr w14:val="tx1"/>
                  </w14:solidFill>
                </w14:textFill>
              </w:rPr>
            </w:pPr>
            <w:r>
              <w:rPr>
                <w:color w:val="000000" w:themeColor="text1"/>
                <w:szCs w:val="21"/>
                <w:u w:val="none"/>
                <w14:textFill>
                  <w14:solidFill>
                    <w14:schemeClr w14:val="tx1"/>
                  </w14:solidFill>
                </w14:textFill>
              </w:rPr>
              <w:t>施工期粉尘产生于施工开挖、交通运输等。施工开挖属间歇性污染，交通运输属流动性污染。施工扬尘产生量主要取决于风速及地表干湿状况。工程场区风速大，大气扩散条件好，有利于废气粉尘的扩散，但是多风气象也增加了场地尘土飞扬频次。若在春季施工，风速较大，地面干燥，扬尘量将增大，对风电场周围特别是下风向区域的空气环境产生污染。而夏季施工，因风速较小，加之此季降水较多，地表较潮湿，不易产生扬尘，对区域空气环境质量的影响也相对较小。</w:t>
            </w:r>
          </w:p>
          <w:p w14:paraId="41D50F66">
            <w:pPr>
              <w:ind w:firstLine="480" w:firstLineChars="200"/>
              <w:rPr>
                <w:color w:val="000000" w:themeColor="text1"/>
                <w:szCs w:val="21"/>
                <w:u w:val="none"/>
                <w14:textFill>
                  <w14:solidFill>
                    <w14:schemeClr w14:val="tx1"/>
                  </w14:solidFill>
                </w14:textFill>
              </w:rPr>
            </w:pPr>
            <w:r>
              <w:rPr>
                <w:color w:val="000000" w:themeColor="text1"/>
                <w:szCs w:val="21"/>
                <w:u w:val="none"/>
                <w14:textFill>
                  <w14:solidFill>
                    <w14:schemeClr w14:val="tx1"/>
                  </w14:solidFill>
                </w14:textFill>
              </w:rPr>
              <w:t>根据北京环境科学研究院对建筑工程施工工地的扬尘测定结果，在风速为2.4m/s时，建筑施工扬尘的影响范围为其下风向150m之内，被影响地区的TSP浓度日平均值为0.491mg/m</w:t>
            </w:r>
            <w:r>
              <w:rPr>
                <w:color w:val="000000" w:themeColor="text1"/>
                <w:szCs w:val="21"/>
                <w:u w:val="none"/>
                <w:vertAlign w:val="superscript"/>
                <w14:textFill>
                  <w14:solidFill>
                    <w14:schemeClr w14:val="tx1"/>
                  </w14:solidFill>
                </w14:textFill>
              </w:rPr>
              <w:t>3</w:t>
            </w:r>
            <w:r>
              <w:rPr>
                <w:color w:val="000000" w:themeColor="text1"/>
                <w:szCs w:val="21"/>
                <w:u w:val="none"/>
                <w14:textFill>
                  <w14:solidFill>
                    <w14:schemeClr w14:val="tx1"/>
                  </w14:solidFill>
                </w14:textFill>
              </w:rPr>
              <w:t>，为上风向对照点的1.5倍，相当于环境空气二级标准的1.6倍。在干燥和风速较大的天气情况下，施工现场近地面粉尘浓度超过环境空气二级标准中日平均值0.3mg/m</w:t>
            </w:r>
            <w:r>
              <w:rPr>
                <w:color w:val="000000" w:themeColor="text1"/>
                <w:szCs w:val="21"/>
                <w:u w:val="none"/>
                <w:vertAlign w:val="superscript"/>
                <w14:textFill>
                  <w14:solidFill>
                    <w14:schemeClr w14:val="tx1"/>
                  </w14:solidFill>
                </w14:textFill>
              </w:rPr>
              <w:t>3</w:t>
            </w:r>
            <w:r>
              <w:rPr>
                <w:color w:val="000000" w:themeColor="text1"/>
                <w:szCs w:val="21"/>
                <w:u w:val="none"/>
                <w14:textFill>
                  <w14:solidFill>
                    <w14:schemeClr w14:val="tx1"/>
                  </w14:solidFill>
                </w14:textFill>
              </w:rPr>
              <w:t>的1～40倍。工程所在地场区内年平均风速为3m/s，风速较大，有利于扬尘的扩散。</w:t>
            </w:r>
          </w:p>
          <w:p w14:paraId="365FFAC8">
            <w:pPr>
              <w:ind w:firstLine="480" w:firstLineChars="200"/>
              <w:rPr>
                <w:color w:val="FF0000"/>
                <w:szCs w:val="21"/>
                <w:u w:val="none"/>
              </w:rPr>
            </w:pPr>
            <w:r>
              <w:rPr>
                <w:color w:val="000000" w:themeColor="text1"/>
                <w:szCs w:val="21"/>
                <w:u w:val="none"/>
                <w14:textFill>
                  <w14:solidFill>
                    <w14:schemeClr w14:val="tx1"/>
                  </w14:solidFill>
                </w14:textFill>
              </w:rPr>
              <w:t>项目区域内植被覆盖率较高，扬尘经长距离自然沉降和沿途茂密植被的阻滞及施工场地洒水降尘等措施后，工程对场区环境空气影响较小。</w:t>
            </w:r>
          </w:p>
          <w:p w14:paraId="38B60397">
            <w:pPr>
              <w:pStyle w:val="4"/>
              <w:tabs>
                <w:tab w:val="left" w:pos="425"/>
              </w:tabs>
              <w:rPr>
                <w:color w:val="000000" w:themeColor="text1"/>
                <w:szCs w:val="24"/>
                <w:u w:val="none"/>
                <w14:textFill>
                  <w14:solidFill>
                    <w14:schemeClr w14:val="tx1"/>
                  </w14:solidFill>
                </w14:textFill>
              </w:rPr>
            </w:pPr>
            <w:bookmarkStart w:id="133" w:name="_Toc977"/>
            <w:r>
              <w:rPr>
                <w:color w:val="000000" w:themeColor="text1"/>
                <w:szCs w:val="24"/>
                <w:u w:val="none"/>
                <w14:textFill>
                  <w14:solidFill>
                    <w14:schemeClr w14:val="tx1"/>
                  </w14:solidFill>
                </w14:textFill>
              </w:rPr>
              <w:t>4.5.3 施工道路扬尘影响分析评价</w:t>
            </w:r>
            <w:bookmarkEnd w:id="133"/>
          </w:p>
          <w:p w14:paraId="52F27EB6">
            <w:pPr>
              <w:ind w:firstLine="480" w:firstLineChars="200"/>
              <w:rPr>
                <w:color w:val="000000" w:themeColor="text1"/>
                <w:szCs w:val="21"/>
                <w:u w:val="none"/>
                <w14:textFill>
                  <w14:solidFill>
                    <w14:schemeClr w14:val="tx1"/>
                  </w14:solidFill>
                </w14:textFill>
              </w:rPr>
            </w:pPr>
            <w:r>
              <w:rPr>
                <w:color w:val="000000" w:themeColor="text1"/>
                <w:szCs w:val="21"/>
                <w:u w:val="none"/>
                <w14:textFill>
                  <w14:solidFill>
                    <w14:schemeClr w14:val="tx1"/>
                  </w14:solidFill>
                </w14:textFill>
              </w:rPr>
              <w:t>施工期间交通运输将产生扬尘，汽车产生的道路扬尘量与车速、车型、车流量、风速、道路表面积尘量、尘土湿度等因素有关。根据交通运输部公路研究所对施工现场车辆扬尘监测结果，下风向150m处的扬尘瞬时浓度可达到3.49mg/m</w:t>
            </w:r>
            <w:r>
              <w:rPr>
                <w:color w:val="000000" w:themeColor="text1"/>
                <w:szCs w:val="21"/>
                <w:u w:val="none"/>
                <w:vertAlign w:val="superscript"/>
                <w14:textFill>
                  <w14:solidFill>
                    <w14:schemeClr w14:val="tx1"/>
                  </w14:solidFill>
                </w14:textFill>
              </w:rPr>
              <w:t>3</w:t>
            </w:r>
            <w:r>
              <w:rPr>
                <w:color w:val="000000" w:themeColor="text1"/>
                <w:szCs w:val="21"/>
                <w:u w:val="none"/>
                <w14:textFill>
                  <w14:solidFill>
                    <w14:schemeClr w14:val="tx1"/>
                  </w14:solidFill>
                </w14:textFill>
              </w:rPr>
              <w:t>。此外物料拉运或堆放过程中，因遮盖不严密而产生粉尘污染。</w:t>
            </w:r>
          </w:p>
          <w:p w14:paraId="20C09FBD">
            <w:pPr>
              <w:ind w:firstLine="480" w:firstLineChars="200"/>
              <w:rPr>
                <w:color w:val="000000" w:themeColor="text1"/>
                <w:szCs w:val="21"/>
                <w:u w:val="none"/>
                <w14:textFill>
                  <w14:solidFill>
                    <w14:schemeClr w14:val="tx1"/>
                  </w14:solidFill>
                </w14:textFill>
              </w:rPr>
            </w:pPr>
            <w:r>
              <w:rPr>
                <w:color w:val="000000" w:themeColor="text1"/>
                <w:szCs w:val="21"/>
                <w:u w:val="none"/>
                <w14:textFill>
                  <w14:solidFill>
                    <w14:schemeClr w14:val="tx1"/>
                  </w14:solidFill>
                </w14:textFill>
              </w:rPr>
              <w:t>施工期扬尘影响是暂时的，随着施工的完成，水土保持和生态恢复工程的实施，这些影响也将消失，不会对周围环境产生较大的影响。</w:t>
            </w:r>
          </w:p>
          <w:p w14:paraId="2D6E82E2">
            <w:pPr>
              <w:ind w:firstLine="480" w:firstLineChars="200"/>
              <w:rPr>
                <w:color w:val="FF0000"/>
                <w:szCs w:val="21"/>
                <w:u w:val="none"/>
              </w:rPr>
            </w:pPr>
            <w:r>
              <w:rPr>
                <w:color w:val="000000" w:themeColor="text1"/>
                <w:szCs w:val="21"/>
                <w:u w:val="none"/>
                <w14:textFill>
                  <w14:solidFill>
                    <w14:schemeClr w14:val="tx1"/>
                  </w14:solidFill>
                </w14:textFill>
              </w:rPr>
              <w:t>根据同类工程类比资料，施工场地、施工道路在自然风作用下产生的扬尘所影响的范围在100m以内，如果在施工期间对车辆行驶的路面实施洒水抑尘，每天洒水4～5次，可使扬尘减少70%左右。施工场地洒水抑尘的试验结果见下表。</w:t>
            </w:r>
          </w:p>
          <w:p w14:paraId="6E11FFA8">
            <w:pPr>
              <w:pStyle w:val="89"/>
              <w:rPr>
                <w:color w:val="000000" w:themeColor="text1"/>
                <w:kern w:val="2"/>
                <w:u w:val="none"/>
                <w14:textFill>
                  <w14:solidFill>
                    <w14:schemeClr w14:val="tx1"/>
                  </w14:solidFill>
                </w14:textFill>
              </w:rPr>
            </w:pPr>
            <w:r>
              <w:rPr>
                <w:color w:val="000000" w:themeColor="text1"/>
                <w:kern w:val="2"/>
                <w:u w:val="none"/>
                <w14:textFill>
                  <w14:solidFill>
                    <w14:schemeClr w14:val="tx1"/>
                  </w14:solidFill>
                </w14:textFill>
              </w:rPr>
              <w:t>表</w:t>
            </w:r>
            <w:r>
              <w:rPr>
                <w:rFonts w:hint="eastAsia"/>
                <w:color w:val="000000" w:themeColor="text1"/>
                <w:kern w:val="2"/>
                <w:u w:val="none"/>
                <w14:textFill>
                  <w14:solidFill>
                    <w14:schemeClr w14:val="tx1"/>
                  </w14:solidFill>
                </w14:textFill>
              </w:rPr>
              <w:t>4.5-1</w:t>
            </w:r>
            <w:r>
              <w:rPr>
                <w:color w:val="000000" w:themeColor="text1"/>
                <w:kern w:val="2"/>
                <w:u w:val="none"/>
                <w14:textFill>
                  <w14:solidFill>
                    <w14:schemeClr w14:val="tx1"/>
                  </w14:solidFill>
                </w14:textFill>
              </w:rPr>
              <w:t xml:space="preserve"> 施工场地洒水抑尘试验结果表</w:t>
            </w:r>
          </w:p>
          <w:tbl>
            <w:tblPr>
              <w:tblStyle w:val="26"/>
              <w:tblW w:w="77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22"/>
              <w:gridCol w:w="979"/>
              <w:gridCol w:w="822"/>
              <w:gridCol w:w="696"/>
              <w:gridCol w:w="696"/>
              <w:gridCol w:w="1048"/>
            </w:tblGrid>
            <w:tr w14:paraId="4DF63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01" w:type="dxa"/>
                  <w:gridSpan w:val="2"/>
                  <w:tcBorders>
                    <w:tl2br w:val="nil"/>
                    <w:tr2bl w:val="nil"/>
                  </w:tcBorders>
                  <w:vAlign w:val="center"/>
                </w:tcPr>
                <w:p w14:paraId="7E754F29">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距离（m）</w:t>
                  </w:r>
                </w:p>
              </w:tc>
              <w:tc>
                <w:tcPr>
                  <w:tcW w:w="822" w:type="dxa"/>
                  <w:tcBorders>
                    <w:tl2br w:val="nil"/>
                    <w:tr2bl w:val="nil"/>
                  </w:tcBorders>
                  <w:vAlign w:val="center"/>
                </w:tcPr>
                <w:p w14:paraId="3AA7FC9F">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5</w:t>
                  </w:r>
                </w:p>
              </w:tc>
              <w:tc>
                <w:tcPr>
                  <w:tcW w:w="696" w:type="dxa"/>
                  <w:tcBorders>
                    <w:tl2br w:val="nil"/>
                    <w:tr2bl w:val="nil"/>
                  </w:tcBorders>
                  <w:vAlign w:val="center"/>
                </w:tcPr>
                <w:p w14:paraId="6DA4C9CA">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20</w:t>
                  </w:r>
                </w:p>
              </w:tc>
              <w:tc>
                <w:tcPr>
                  <w:tcW w:w="696" w:type="dxa"/>
                  <w:tcBorders>
                    <w:tl2br w:val="nil"/>
                    <w:tr2bl w:val="nil"/>
                  </w:tcBorders>
                  <w:vAlign w:val="center"/>
                </w:tcPr>
                <w:p w14:paraId="004704FC">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50</w:t>
                  </w:r>
                </w:p>
              </w:tc>
              <w:tc>
                <w:tcPr>
                  <w:tcW w:w="1048" w:type="dxa"/>
                  <w:tcBorders>
                    <w:tl2br w:val="nil"/>
                    <w:tr2bl w:val="nil"/>
                  </w:tcBorders>
                  <w:vAlign w:val="center"/>
                </w:tcPr>
                <w:p w14:paraId="3A943E81">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100</w:t>
                  </w:r>
                </w:p>
              </w:tc>
            </w:tr>
            <w:tr w14:paraId="333BC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22" w:type="dxa"/>
                  <w:vMerge w:val="restart"/>
                  <w:tcBorders>
                    <w:tl2br w:val="nil"/>
                    <w:tr2bl w:val="nil"/>
                  </w:tcBorders>
                  <w:vAlign w:val="center"/>
                </w:tcPr>
                <w:p w14:paraId="68D7DC4E">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TSP 小时平均浓度（mg/Nm</w:t>
                  </w:r>
                  <w:r>
                    <w:rPr>
                      <w:rFonts w:ascii="Times New Roman" w:hAnsi="Times New Roman"/>
                      <w:color w:val="000000" w:themeColor="text1"/>
                      <w:sz w:val="21"/>
                      <w:u w:val="none"/>
                      <w:vertAlign w:val="superscript"/>
                      <w14:textFill>
                        <w14:solidFill>
                          <w14:schemeClr w14:val="tx1"/>
                        </w14:solidFill>
                      </w14:textFill>
                    </w:rPr>
                    <w:t>3</w:t>
                  </w:r>
                  <w:r>
                    <w:rPr>
                      <w:rFonts w:ascii="Times New Roman" w:hAnsi="Times New Roman"/>
                      <w:color w:val="000000" w:themeColor="text1"/>
                      <w:sz w:val="21"/>
                      <w:u w:val="none"/>
                      <w14:textFill>
                        <w14:solidFill>
                          <w14:schemeClr w14:val="tx1"/>
                        </w14:solidFill>
                      </w14:textFill>
                    </w:rPr>
                    <w:t>）</w:t>
                  </w:r>
                </w:p>
              </w:tc>
              <w:tc>
                <w:tcPr>
                  <w:tcW w:w="979" w:type="dxa"/>
                  <w:tcBorders>
                    <w:tl2br w:val="nil"/>
                    <w:tr2bl w:val="nil"/>
                  </w:tcBorders>
                  <w:vAlign w:val="center"/>
                </w:tcPr>
                <w:p w14:paraId="35C6A6B3">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不洒水</w:t>
                  </w:r>
                </w:p>
              </w:tc>
              <w:tc>
                <w:tcPr>
                  <w:tcW w:w="822" w:type="dxa"/>
                  <w:tcBorders>
                    <w:tl2br w:val="nil"/>
                    <w:tr2bl w:val="nil"/>
                  </w:tcBorders>
                  <w:vAlign w:val="center"/>
                </w:tcPr>
                <w:p w14:paraId="369888BE">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10.14</w:t>
                  </w:r>
                </w:p>
              </w:tc>
              <w:tc>
                <w:tcPr>
                  <w:tcW w:w="696" w:type="dxa"/>
                  <w:tcBorders>
                    <w:tl2br w:val="nil"/>
                    <w:tr2bl w:val="nil"/>
                  </w:tcBorders>
                  <w:vAlign w:val="center"/>
                </w:tcPr>
                <w:p w14:paraId="24B76378">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2.89</w:t>
                  </w:r>
                </w:p>
              </w:tc>
              <w:tc>
                <w:tcPr>
                  <w:tcW w:w="696" w:type="dxa"/>
                  <w:tcBorders>
                    <w:tl2br w:val="nil"/>
                    <w:tr2bl w:val="nil"/>
                  </w:tcBorders>
                  <w:vAlign w:val="center"/>
                </w:tcPr>
                <w:p w14:paraId="42FD1C1C">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1.15</w:t>
                  </w:r>
                </w:p>
              </w:tc>
              <w:tc>
                <w:tcPr>
                  <w:tcW w:w="1048" w:type="dxa"/>
                  <w:tcBorders>
                    <w:tl2br w:val="nil"/>
                    <w:tr2bl w:val="nil"/>
                  </w:tcBorders>
                  <w:vAlign w:val="center"/>
                </w:tcPr>
                <w:p w14:paraId="49A5C3E4">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0.86</w:t>
                  </w:r>
                </w:p>
              </w:tc>
            </w:tr>
            <w:tr w14:paraId="450EF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22" w:type="dxa"/>
                  <w:vMerge w:val="continue"/>
                  <w:tcBorders>
                    <w:tl2br w:val="nil"/>
                    <w:tr2bl w:val="nil"/>
                  </w:tcBorders>
                  <w:vAlign w:val="center"/>
                </w:tcPr>
                <w:p w14:paraId="001B511D">
                  <w:pPr>
                    <w:pStyle w:val="63"/>
                    <w:spacing w:before="24" w:after="24"/>
                    <w:rPr>
                      <w:rFonts w:ascii="Times New Roman" w:hAnsi="Times New Roman"/>
                      <w:color w:val="000000" w:themeColor="text1"/>
                      <w:sz w:val="21"/>
                      <w:u w:val="none"/>
                      <w14:textFill>
                        <w14:solidFill>
                          <w14:schemeClr w14:val="tx1"/>
                        </w14:solidFill>
                      </w14:textFill>
                    </w:rPr>
                  </w:pPr>
                </w:p>
              </w:tc>
              <w:tc>
                <w:tcPr>
                  <w:tcW w:w="979" w:type="dxa"/>
                  <w:tcBorders>
                    <w:tl2br w:val="nil"/>
                    <w:tr2bl w:val="nil"/>
                  </w:tcBorders>
                  <w:vAlign w:val="center"/>
                </w:tcPr>
                <w:p w14:paraId="1270EC62">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洒水</w:t>
                  </w:r>
                </w:p>
              </w:tc>
              <w:tc>
                <w:tcPr>
                  <w:tcW w:w="822" w:type="dxa"/>
                  <w:tcBorders>
                    <w:tl2br w:val="nil"/>
                    <w:tr2bl w:val="nil"/>
                  </w:tcBorders>
                  <w:vAlign w:val="center"/>
                </w:tcPr>
                <w:p w14:paraId="5CA26E03">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2.01</w:t>
                  </w:r>
                </w:p>
              </w:tc>
              <w:tc>
                <w:tcPr>
                  <w:tcW w:w="696" w:type="dxa"/>
                  <w:tcBorders>
                    <w:tl2br w:val="nil"/>
                    <w:tr2bl w:val="nil"/>
                  </w:tcBorders>
                  <w:vAlign w:val="center"/>
                </w:tcPr>
                <w:p w14:paraId="57210E34">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1.40</w:t>
                  </w:r>
                </w:p>
              </w:tc>
              <w:tc>
                <w:tcPr>
                  <w:tcW w:w="696" w:type="dxa"/>
                  <w:tcBorders>
                    <w:tl2br w:val="nil"/>
                    <w:tr2bl w:val="nil"/>
                  </w:tcBorders>
                  <w:vAlign w:val="center"/>
                </w:tcPr>
                <w:p w14:paraId="12C810BA">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0.67</w:t>
                  </w:r>
                </w:p>
              </w:tc>
              <w:tc>
                <w:tcPr>
                  <w:tcW w:w="1048" w:type="dxa"/>
                  <w:tcBorders>
                    <w:tl2br w:val="nil"/>
                    <w:tr2bl w:val="nil"/>
                  </w:tcBorders>
                  <w:vAlign w:val="center"/>
                </w:tcPr>
                <w:p w14:paraId="1939BE1D">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0.60</w:t>
                  </w:r>
                </w:p>
              </w:tc>
            </w:tr>
          </w:tbl>
          <w:p w14:paraId="315F7E96">
            <w:pPr>
              <w:spacing w:before="120" w:beforeLines="50"/>
              <w:ind w:firstLine="480" w:firstLineChars="200"/>
              <w:rPr>
                <w:color w:val="000000" w:themeColor="text1"/>
                <w:szCs w:val="21"/>
                <w:u w:val="none"/>
                <w14:textFill>
                  <w14:solidFill>
                    <w14:schemeClr w14:val="tx1"/>
                  </w14:solidFill>
                </w14:textFill>
              </w:rPr>
            </w:pPr>
            <w:r>
              <w:rPr>
                <w:color w:val="000000" w:themeColor="text1"/>
                <w:szCs w:val="21"/>
                <w:u w:val="none"/>
                <w14:textFill>
                  <w14:solidFill>
                    <w14:schemeClr w14:val="tx1"/>
                  </w14:solidFill>
                </w14:textFill>
              </w:rPr>
              <w:t>结果表明实施每天洒水4～5次进行抑尘，可有效控制施工扬尘，将TSP污染距离缩小到20～50m范围。施工扬尘的另一种情况是建材的露天堆放和搅拌作业，因此，禁止在大风天气进行此类作业及减少建材的露天堆放是抑制这类扬尘的有效手段。此外，在建材运输、装卸、使用等过程中做好文明施工、文明管理，尽量避免或减少扬尘的产生，防止区域环境空气中粉尘污染。</w:t>
            </w:r>
          </w:p>
          <w:p w14:paraId="7BBC421A">
            <w:pPr>
              <w:ind w:firstLine="480" w:firstLineChars="200"/>
              <w:rPr>
                <w:color w:val="000000" w:themeColor="text1"/>
                <w:szCs w:val="21"/>
                <w:u w:val="none"/>
                <w14:textFill>
                  <w14:solidFill>
                    <w14:schemeClr w14:val="tx1"/>
                  </w14:solidFill>
                </w14:textFill>
              </w:rPr>
            </w:pPr>
            <w:r>
              <w:rPr>
                <w:color w:val="000000" w:themeColor="text1"/>
                <w:szCs w:val="21"/>
                <w:u w:val="none"/>
                <w14:textFill>
                  <w14:solidFill>
                    <w14:schemeClr w14:val="tx1"/>
                  </w14:solidFill>
                </w14:textFill>
              </w:rPr>
              <w:t>本工程风机机组施工区周围没有居民居住，场内新建道路评价范围内有部分居民点分布。通过以上分析评价，只要在施工期做好施工管理、洒水降尘等措施，就能有效减免对居民点的不利影响。</w:t>
            </w:r>
          </w:p>
          <w:p w14:paraId="764A045A">
            <w:pPr>
              <w:pStyle w:val="3"/>
              <w:numPr>
                <w:ilvl w:val="0"/>
                <w:numId w:val="0"/>
              </w:numPr>
              <w:tabs>
                <w:tab w:val="left" w:pos="425"/>
                <w:tab w:val="clear" w:pos="420"/>
              </w:tabs>
              <w:rPr>
                <w:rFonts w:cs="Times New Roman"/>
                <w:color w:val="000000" w:themeColor="text1"/>
                <w:szCs w:val="21"/>
                <w14:textFill>
                  <w14:solidFill>
                    <w14:schemeClr w14:val="tx1"/>
                  </w14:solidFill>
                </w14:textFill>
              </w:rPr>
            </w:pPr>
            <w:bookmarkStart w:id="134" w:name="_Toc18028"/>
            <w:bookmarkStart w:id="135" w:name="_Toc429411587"/>
            <w:bookmarkStart w:id="136" w:name="_Toc30532241"/>
            <w:bookmarkStart w:id="137" w:name="_Toc469994053"/>
            <w:bookmarkStart w:id="138" w:name="_Toc26154"/>
            <w:r>
              <w:rPr>
                <w:rFonts w:cs="Times New Roman"/>
                <w:color w:val="000000" w:themeColor="text1"/>
                <w:szCs w:val="21"/>
                <w14:textFill>
                  <w14:solidFill>
                    <w14:schemeClr w14:val="tx1"/>
                  </w14:solidFill>
                </w14:textFill>
              </w:rPr>
              <w:t>4.6 施工期固体废弃物影响分析</w:t>
            </w:r>
            <w:bookmarkEnd w:id="134"/>
            <w:bookmarkEnd w:id="135"/>
            <w:bookmarkEnd w:id="136"/>
            <w:bookmarkEnd w:id="137"/>
            <w:bookmarkEnd w:id="138"/>
          </w:p>
          <w:p w14:paraId="62E32EB5">
            <w:pPr>
              <w:ind w:firstLine="48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工程施工期间产生的固体废弃物主要来自施工场所产生的建筑垃圾（主要指场地平整、开挖、道路修筑、管道敷设、材料运输、基础工程和房屋建筑等工程施工期间产生的大量废弃的建筑材料，如砂石、石灰、木材和土石方等）以及由于施工人员活动产生的生活垃圾等。固体废弃物若处置不当，遇暴雨会被冲刷流失到环境中造成污染。</w:t>
            </w:r>
          </w:p>
          <w:p w14:paraId="746BA355">
            <w:pPr>
              <w:ind w:firstLine="48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本工程建设产生施工弃渣</w:t>
            </w:r>
            <w:r>
              <w:rPr>
                <w:rFonts w:hint="eastAsia"/>
                <w:color w:val="000000" w:themeColor="text1"/>
                <w:szCs w:val="21"/>
                <w:lang w:val="en-US" w:eastAsia="zh-CN"/>
                <w14:textFill>
                  <w14:solidFill>
                    <w14:schemeClr w14:val="tx1"/>
                  </w14:solidFill>
                </w14:textFill>
              </w:rPr>
              <w:t>59.21</w:t>
            </w:r>
            <w:r>
              <w:rPr>
                <w:color w:val="000000" w:themeColor="text1"/>
                <w:szCs w:val="21"/>
                <w14:textFill>
                  <w14:solidFill>
                    <w14:schemeClr w14:val="tx1"/>
                  </w14:solidFill>
                </w14:textFill>
              </w:rPr>
              <w:t>万m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渣料产生区域分散。弃渣堆放将占用土地、破坏原地貌、破坏植被和地表组成物；弃渣属人工塑造的松散堆积体，若不采取适当的护坡、排水等防护措施，容易造成渣体冲刷、滑落和坍塌，引发新的水土流失；大量的堆渣体在景观上与周围的景观不协调。因此，应该严格按照水保方案做好项目的水土保持工作，合理设置弃渣，严格遵循“先挡后弃”原则，减小工程弃渣产生的影响。工程施工产生的弃渣统一堆存于项目规划的</w:t>
            </w:r>
            <w:r>
              <w:rPr>
                <w:rFonts w:hint="eastAsia"/>
                <w:color w:val="000000" w:themeColor="text1"/>
                <w:szCs w:val="21"/>
                <w:lang w:val="en-US" w:eastAsia="zh-CN"/>
                <w14:textFill>
                  <w14:solidFill>
                    <w14:schemeClr w14:val="tx1"/>
                  </w14:solidFill>
                </w14:textFill>
              </w:rPr>
              <w:t>9</w:t>
            </w:r>
            <w:r>
              <w:rPr>
                <w:color w:val="000000" w:themeColor="text1"/>
                <w:szCs w:val="21"/>
                <w14:textFill>
                  <w14:solidFill>
                    <w14:schemeClr w14:val="tx1"/>
                  </w14:solidFill>
                </w14:textFill>
              </w:rPr>
              <w:t>处弃渣场内，项目施工期结束后，对弃渣场进行植被恢复绿化。</w:t>
            </w:r>
          </w:p>
          <w:p w14:paraId="546D9973">
            <w:pPr>
              <w:ind w:firstLine="48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施工人员生活垃圾80kg/d，生活垃圾的主要成分是有机物，易被微生物分解腐化，生活垃圾若乱堆乱放，则会为蚊子、苍蝇和鼠类的孳生提供良好场所；同时垃圾中有害物质也可能随水流渗入地下或随尘粒飘扬空中，污染环境，传播疾病，影响人群健康。施工期生活垃圾产生量较大，应在施工场地设置垃圾箱，对生活垃圾分类收集后，交由乡镇环卫部门统一收集后进行卫生填埋。</w:t>
            </w:r>
          </w:p>
          <w:p w14:paraId="2E28ECF9">
            <w:pPr>
              <w:pStyle w:val="3"/>
              <w:numPr>
                <w:ilvl w:val="0"/>
                <w:numId w:val="0"/>
              </w:numPr>
              <w:tabs>
                <w:tab w:val="left" w:pos="425"/>
                <w:tab w:val="clear" w:pos="420"/>
              </w:tabs>
              <w:rPr>
                <w:rFonts w:cs="Times New Roman"/>
                <w:color w:val="000000" w:themeColor="text1"/>
                <w:szCs w:val="21"/>
                <w14:textFill>
                  <w14:solidFill>
                    <w14:schemeClr w14:val="tx1"/>
                  </w14:solidFill>
                </w14:textFill>
              </w:rPr>
            </w:pPr>
            <w:bookmarkStart w:id="139" w:name="_Toc17656"/>
            <w:bookmarkStart w:id="140" w:name="_Toc29944"/>
            <w:bookmarkStart w:id="141" w:name="_Toc487702571"/>
            <w:r>
              <w:rPr>
                <w:rFonts w:cs="Times New Roman"/>
                <w:color w:val="000000" w:themeColor="text1"/>
                <w:szCs w:val="21"/>
                <w14:textFill>
                  <w14:solidFill>
                    <w14:schemeClr w14:val="tx1"/>
                  </w14:solidFill>
                </w14:textFill>
              </w:rPr>
              <w:t>4.7 施工期环境风险影响分析</w:t>
            </w:r>
            <w:bookmarkEnd w:id="139"/>
            <w:bookmarkEnd w:id="140"/>
            <w:bookmarkEnd w:id="141"/>
          </w:p>
          <w:p w14:paraId="352C0EDD">
            <w:pPr>
              <w:ind w:firstLine="48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（1）火灾风险分析</w:t>
            </w:r>
          </w:p>
          <w:p w14:paraId="6421276B">
            <w:pPr>
              <w:ind w:firstLine="48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项目在施工阶段由于进山施工物资及人员增多，使得人为导致火灾的风险增大，森林火灾是危害森林的大敌，一场火灾在旦夕之间就能把大片森林化为灰烬。由于森林被毁，林地失去覆盖，引起水土流失，殃及水利和农业。</w:t>
            </w:r>
          </w:p>
          <w:p w14:paraId="01A55183">
            <w:pPr>
              <w:ind w:firstLine="48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森林火灾是森林资源毁灭性的灾害。引起森林火灾有三个因素：可燃物、氧气和火源。在森林里可燃物和氧气是随时具备的，造成森林火灾的重要原因是火源。发生森林火灾的火源一般有自然火源与人为火源两类，其中主要是人为火源。据统计，因人为火源引起的森林火灾占99%，因此，在施工过程中必须认真贯彻“预防为主、积极消灭”的防火方针，从预防和控制山区林地防火能力入手，防患于未然：①加强防火宣传，设置护林防火宣传牌，提高施工人员的防火意识。②加强组织领导，建立健全防火组织机构。③营造生物防火隔离带，构建防火通信网络，配备相应数量的灭火器材。</w:t>
            </w:r>
          </w:p>
          <w:p w14:paraId="505F759F">
            <w:pPr>
              <w:ind w:firstLine="48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（2）渣场失稳风险分析</w:t>
            </w:r>
          </w:p>
          <w:p w14:paraId="32838311">
            <w:pPr>
              <w:ind w:firstLine="48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本工程施工期共设置</w:t>
            </w:r>
            <w:r>
              <w:rPr>
                <w:rFonts w:hint="eastAsia"/>
                <w:color w:val="000000" w:themeColor="text1"/>
                <w:szCs w:val="21"/>
                <w:lang w:val="en-US" w:eastAsia="zh-CN"/>
                <w14:textFill>
                  <w14:solidFill>
                    <w14:schemeClr w14:val="tx1"/>
                  </w14:solidFill>
                </w14:textFill>
              </w:rPr>
              <w:t>9</w:t>
            </w:r>
            <w:r>
              <w:rPr>
                <w:rFonts w:hint="eastAsia"/>
                <w:color w:val="000000" w:themeColor="text1"/>
                <w:szCs w:val="21"/>
                <w:lang w:eastAsia="zh-CN"/>
                <w14:textFill>
                  <w14:solidFill>
                    <w14:schemeClr w14:val="tx1"/>
                  </w14:solidFill>
                </w14:textFill>
              </w:rPr>
              <w:t>个</w:t>
            </w:r>
            <w:r>
              <w:rPr>
                <w:color w:val="000000" w:themeColor="text1"/>
                <w:szCs w:val="21"/>
                <w14:textFill>
                  <w14:solidFill>
                    <w14:schemeClr w14:val="tx1"/>
                  </w14:solidFill>
                </w14:textFill>
              </w:rPr>
              <w:t>弃渣场。渣场根据水土保持综合治理技术规范和防洪标准的有关规定，参考同类已建工程的实践经验和安全经济兼顾的原则，确定渣场排洪设施的设计标准，并对渣场进行防护设计。因此，渣场出现滑坡或被暴雨洪水冲溃的可能性很小。</w:t>
            </w:r>
          </w:p>
          <w:p w14:paraId="5CC1626C">
            <w:pPr>
              <w:pStyle w:val="4"/>
              <w:tabs>
                <w:tab w:val="left" w:pos="425"/>
              </w:tabs>
              <w:rPr>
                <w:color w:val="000000" w:themeColor="text1"/>
                <w:szCs w:val="24"/>
                <w14:textFill>
                  <w14:solidFill>
                    <w14:schemeClr w14:val="tx1"/>
                  </w14:solidFill>
                </w14:textFill>
              </w:rPr>
            </w:pPr>
            <w:bookmarkStart w:id="142" w:name="_Toc13608"/>
            <w:r>
              <w:rPr>
                <w:color w:val="000000" w:themeColor="text1"/>
                <w:szCs w:val="24"/>
                <w14:textFill>
                  <w14:solidFill>
                    <w14:schemeClr w14:val="tx1"/>
                  </w14:solidFill>
                </w14:textFill>
              </w:rPr>
              <w:t>4.7.1 施工期风险防范措施</w:t>
            </w:r>
            <w:bookmarkEnd w:id="142"/>
          </w:p>
          <w:p w14:paraId="290A6904">
            <w:pPr>
              <w:ind w:firstLine="48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（1）爆炸风险防范措施</w:t>
            </w:r>
          </w:p>
          <w:p w14:paraId="2362AE5E">
            <w:pPr>
              <w:ind w:firstLine="48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油料运输过程中须严格遵守危险货物运输的有关规定，运送油料的运输车辆必须采用密闭性能优越的储油罐，确保不造成环境危害。油料临时安放点的最终确定必须严格按安全防护距离要求并会同地方公安部门及相关管理部门进行现场选点协商确定，与居民点和施工营地需保持足够的安全距离，装运和发送须严格遵循《危险化学品安全管理条例》的相关规定，严格火源控制并配备相应的消防器材。</w:t>
            </w:r>
          </w:p>
          <w:p w14:paraId="356133CE">
            <w:pPr>
              <w:ind w:firstLine="48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（2）弃渣场</w:t>
            </w:r>
            <w:bookmarkStart w:id="143" w:name="_Hlk30507433"/>
            <w:r>
              <w:rPr>
                <w:color w:val="000000" w:themeColor="text1"/>
                <w:szCs w:val="21"/>
                <w14:textFill>
                  <w14:solidFill>
                    <w14:schemeClr w14:val="tx1"/>
                  </w14:solidFill>
                </w14:textFill>
              </w:rPr>
              <w:t>失稳风险防范措施</w:t>
            </w:r>
            <w:bookmarkEnd w:id="143"/>
          </w:p>
          <w:p w14:paraId="2613B1BD">
            <w:pPr>
              <w:ind w:firstLine="48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施工单位应严格按照水土保持方案及工程设计要求进行挡渣坝施工，严格执行先拦后堆；弃渣堆放时，严格施工操作，配备专业人员指挥卸渣及渣体堆放，堆放到一定高度后，进行碾压，预防零星块石滑落；堆渣时严格控制边坡坡度，避免渣场出现滑坡或被暴雨洪水冲溃的可能；运营期设置水土保持监测点，对渣体稳定性进行监测，及时发现并排除险情。</w:t>
            </w:r>
          </w:p>
        </w:tc>
      </w:tr>
      <w:tr w14:paraId="55532A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08" w:hRule="atLeast"/>
          <w:jc w:val="center"/>
        </w:trPr>
        <w:tc>
          <w:tcPr>
            <w:tcW w:w="453" w:type="dxa"/>
            <w:tcMar>
              <w:left w:w="28" w:type="dxa"/>
              <w:right w:w="28" w:type="dxa"/>
            </w:tcMar>
            <w:vAlign w:val="center"/>
          </w:tcPr>
          <w:p w14:paraId="321574C3">
            <w:pPr>
              <w:pStyle w:val="23"/>
              <w:adjustRightInd w:val="0"/>
              <w:snapToGrid w:val="0"/>
              <w:spacing w:before="0" w:beforeAutospacing="0" w:after="0" w:afterAutospacing="0"/>
              <w:jc w:val="center"/>
              <w:rPr>
                <w:rFonts w:ascii="Times New Roman" w:hAnsi="Times New Roman"/>
                <w:bCs/>
                <w:color w:val="FF0000"/>
                <w:kern w:val="2"/>
              </w:rPr>
            </w:pPr>
            <w:r>
              <w:rPr>
                <w:rFonts w:ascii="Times New Roman" w:hAnsi="Times New Roman"/>
                <w:bCs/>
                <w:color w:val="000000" w:themeColor="text1"/>
                <w:spacing w:val="10"/>
                <w:kern w:val="2"/>
                <w14:textFill>
                  <w14:solidFill>
                    <w14:schemeClr w14:val="tx1"/>
                  </w14:solidFill>
                </w14:textFill>
              </w:rPr>
              <w:t>运营期生态环境影响分析</w:t>
            </w:r>
          </w:p>
        </w:tc>
        <w:tc>
          <w:tcPr>
            <w:tcW w:w="7989" w:type="dxa"/>
          </w:tcPr>
          <w:p w14:paraId="214351E3">
            <w:pPr>
              <w:pStyle w:val="3"/>
              <w:rPr>
                <w:rFonts w:cs="Times New Roman"/>
                <w:color w:val="000000" w:themeColor="text1"/>
                <w:u w:val="none"/>
                <w14:textFill>
                  <w14:solidFill>
                    <w14:schemeClr w14:val="tx1"/>
                  </w14:solidFill>
                </w14:textFill>
              </w:rPr>
            </w:pPr>
            <w:bookmarkStart w:id="144" w:name="_Toc17488"/>
            <w:bookmarkStart w:id="145" w:name="_Toc14718"/>
            <w:r>
              <w:rPr>
                <w:rFonts w:cs="Times New Roman"/>
                <w:color w:val="000000" w:themeColor="text1"/>
                <w:u w:val="none"/>
                <w14:textFill>
                  <w14:solidFill>
                    <w14:schemeClr w14:val="tx1"/>
                  </w14:solidFill>
                </w14:textFill>
              </w:rPr>
              <w:t>4.</w:t>
            </w:r>
            <w:r>
              <w:rPr>
                <w:rFonts w:hint="eastAsia" w:cs="Times New Roman"/>
                <w:color w:val="000000" w:themeColor="text1"/>
                <w:u w:val="none"/>
                <w:lang w:val="en-US" w:eastAsia="zh-CN"/>
                <w14:textFill>
                  <w14:solidFill>
                    <w14:schemeClr w14:val="tx1"/>
                  </w14:solidFill>
                </w14:textFill>
              </w:rPr>
              <w:t>8</w:t>
            </w:r>
            <w:r>
              <w:rPr>
                <w:rFonts w:cs="Times New Roman"/>
                <w:color w:val="000000" w:themeColor="text1"/>
                <w:u w:val="none"/>
                <w14:textFill>
                  <w14:solidFill>
                    <w14:schemeClr w14:val="tx1"/>
                  </w14:solidFill>
                </w14:textFill>
              </w:rPr>
              <w:t>运营期生态环境影响分析</w:t>
            </w:r>
            <w:bookmarkEnd w:id="144"/>
            <w:bookmarkEnd w:id="145"/>
          </w:p>
          <w:p w14:paraId="49CF98B3">
            <w:pPr>
              <w:ind w:firstLine="480" w:firstLineChars="200"/>
              <w:rPr>
                <w:rFonts w:hint="eastAsia"/>
                <w:u w:val="none"/>
              </w:rPr>
            </w:pPr>
            <w:r>
              <w:rPr>
                <w:rFonts w:hint="eastAsia"/>
                <w:u w:val="none"/>
              </w:rPr>
              <w:t>风电场运营期工艺流程为：风机叶片在风力带动下将风能转化成机械能，在齿轮箱和发电机作用下机械能转变成电能。发电机出口电能经箱式变电站升压至35kV电压等级后由集电线路送入</w:t>
            </w:r>
            <w:r>
              <w:rPr>
                <w:rFonts w:hint="eastAsia"/>
                <w:u w:val="none"/>
                <w:lang w:val="en-US" w:eastAsia="zh-CN"/>
              </w:rPr>
              <w:t>22</w:t>
            </w:r>
            <w:r>
              <w:rPr>
                <w:rFonts w:hint="eastAsia"/>
                <w:u w:val="none"/>
              </w:rPr>
              <w:t>0kV 升压站。风电场工艺流程示意图见下图（图中虚线部分不属于本次环境影响评价范畴）。</w:t>
            </w:r>
          </w:p>
          <w:p w14:paraId="1382F005">
            <w:pPr>
              <w:pStyle w:val="11"/>
              <w:rPr>
                <w:rFonts w:hint="eastAsia"/>
                <w:u w:val="wave"/>
              </w:rPr>
            </w:pPr>
            <w:r>
              <w:rPr>
                <w:rFonts w:hint="eastAsia" w:eastAsia="仿宋_GB2312"/>
                <w:u w:val="none"/>
                <w:lang w:eastAsia="zh-CN"/>
              </w:rPr>
              <w:drawing>
                <wp:anchor distT="0" distB="0" distL="114300" distR="114300" simplePos="0" relativeHeight="251676672" behindDoc="1" locked="0" layoutInCell="1" allowOverlap="1">
                  <wp:simplePos x="0" y="0"/>
                  <wp:positionH relativeFrom="column">
                    <wp:posOffset>382270</wp:posOffset>
                  </wp:positionH>
                  <wp:positionV relativeFrom="paragraph">
                    <wp:posOffset>59055</wp:posOffset>
                  </wp:positionV>
                  <wp:extent cx="4330065" cy="2329815"/>
                  <wp:effectExtent l="0" t="0" r="13335" b="13335"/>
                  <wp:wrapNone/>
                  <wp:docPr id="59" name="图片 59" descr="1706540896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1706540896912"/>
                          <pic:cNvPicPr>
                            <a:picLocks noChangeAspect="1"/>
                          </pic:cNvPicPr>
                        </pic:nvPicPr>
                        <pic:blipFill>
                          <a:blip r:embed="rId55"/>
                          <a:stretch>
                            <a:fillRect/>
                          </a:stretch>
                        </pic:blipFill>
                        <pic:spPr>
                          <a:xfrm>
                            <a:off x="0" y="0"/>
                            <a:ext cx="4330065" cy="2329815"/>
                          </a:xfrm>
                          <a:prstGeom prst="rect">
                            <a:avLst/>
                          </a:prstGeom>
                        </pic:spPr>
                      </pic:pic>
                    </a:graphicData>
                  </a:graphic>
                </wp:anchor>
              </w:drawing>
            </w:r>
          </w:p>
          <w:p w14:paraId="000328AA">
            <w:pPr>
              <w:pStyle w:val="9"/>
              <w:rPr>
                <w:rFonts w:hint="eastAsia"/>
                <w:u w:val="wave"/>
              </w:rPr>
            </w:pPr>
          </w:p>
          <w:p w14:paraId="436F0063">
            <w:pPr>
              <w:pStyle w:val="11"/>
              <w:rPr>
                <w:rFonts w:hint="eastAsia"/>
                <w:u w:val="wave"/>
              </w:rPr>
            </w:pPr>
          </w:p>
          <w:p w14:paraId="7EC53DD5">
            <w:pPr>
              <w:pStyle w:val="9"/>
              <w:rPr>
                <w:rFonts w:hint="eastAsia"/>
                <w:u w:val="wave"/>
              </w:rPr>
            </w:pPr>
            <w:r>
              <w:rPr>
                <w:sz w:val="24"/>
              </w:rPr>
              <mc:AlternateContent>
                <mc:Choice Requires="wps">
                  <w:drawing>
                    <wp:anchor distT="0" distB="0" distL="114300" distR="114300" simplePos="0" relativeHeight="251681792" behindDoc="0" locked="0" layoutInCell="1" allowOverlap="1">
                      <wp:simplePos x="0" y="0"/>
                      <wp:positionH relativeFrom="column">
                        <wp:posOffset>1710055</wp:posOffset>
                      </wp:positionH>
                      <wp:positionV relativeFrom="paragraph">
                        <wp:posOffset>45720</wp:posOffset>
                      </wp:positionV>
                      <wp:extent cx="1133475" cy="474980"/>
                      <wp:effectExtent l="4445" t="4445" r="5080" b="15875"/>
                      <wp:wrapNone/>
                      <wp:docPr id="6" name="文本框 6"/>
                      <wp:cNvGraphicFramePr/>
                      <a:graphic xmlns:a="http://schemas.openxmlformats.org/drawingml/2006/main">
                        <a:graphicData uri="http://schemas.microsoft.com/office/word/2010/wordprocessingShape">
                          <wps:wsp>
                            <wps:cNvSpPr txBox="1"/>
                            <wps:spPr>
                              <a:xfrm>
                                <a:off x="3134995" y="2363470"/>
                                <a:ext cx="1133475" cy="4749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6F7A432">
                                  <w:pPr>
                                    <w:rPr>
                                      <w:rFonts w:hint="default" w:eastAsia="宋体"/>
                                      <w:sz w:val="18"/>
                                      <w:szCs w:val="18"/>
                                      <w:lang w:eastAsia="zh-CN"/>
                                    </w:rPr>
                                  </w:pPr>
                                  <w:r>
                                    <w:rPr>
                                      <w:rFonts w:hint="eastAsia"/>
                                      <w:sz w:val="18"/>
                                      <w:szCs w:val="18"/>
                                      <w:lang w:eastAsia="zh-CN"/>
                                    </w:rPr>
                                    <w:t>风电场</w:t>
                                  </w:r>
                                  <w:r>
                                    <w:rPr>
                                      <w:rFonts w:hint="eastAsia"/>
                                      <w:sz w:val="18"/>
                                      <w:szCs w:val="18"/>
                                      <w:lang w:val="en-US" w:eastAsia="zh-CN"/>
                                    </w:rPr>
                                    <w:t>220kv升压站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4.65pt;margin-top:3.6pt;height:37.4pt;width:89.25pt;z-index:251681792;mso-width-relative:page;mso-height-relative:page;" fillcolor="#FFFFFF [3201]" filled="t" stroked="t" coordsize="21600,21600" o:gfxdata="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OxqZU1gAAAAgBAAAPAAAAAAAAAAEAIAAAACIAAABkcnMvZG93bnJldi54bWxQSwECFAAU&#10;AAAACACHTuJACFIKI2UCAADDBAAADgAAAAAAAAABACAAAAAlAQAAZHJzL2Uyb0RvYy54bWxQSwUG&#10;AAAAAAYABgBZAQAA/AUAAAAA&#10;">
                      <v:fill on="t" focussize="0,0"/>
                      <v:stroke weight="0.5pt" color="#000000 [3204]" joinstyle="round"/>
                      <v:imagedata o:title=""/>
                      <o:lock v:ext="edit" aspectratio="f"/>
                      <v:textbox>
                        <w:txbxContent>
                          <w:p w14:paraId="26F7A432">
                            <w:pPr>
                              <w:rPr>
                                <w:rFonts w:hint="default" w:eastAsia="宋体"/>
                                <w:sz w:val="18"/>
                                <w:szCs w:val="18"/>
                                <w:lang w:eastAsia="zh-CN"/>
                              </w:rPr>
                            </w:pPr>
                            <w:r>
                              <w:rPr>
                                <w:rFonts w:hint="eastAsia"/>
                                <w:sz w:val="18"/>
                                <w:szCs w:val="18"/>
                                <w:lang w:eastAsia="zh-CN"/>
                              </w:rPr>
                              <w:t>风电场</w:t>
                            </w:r>
                            <w:r>
                              <w:rPr>
                                <w:rFonts w:hint="eastAsia"/>
                                <w:sz w:val="18"/>
                                <w:szCs w:val="18"/>
                                <w:lang w:val="en-US" w:eastAsia="zh-CN"/>
                              </w:rPr>
                              <w:t>220kv升压站</w:t>
                            </w:r>
                          </w:p>
                        </w:txbxContent>
                      </v:textbox>
                    </v:shape>
                  </w:pict>
                </mc:Fallback>
              </mc:AlternateContent>
            </w:r>
          </w:p>
          <w:p w14:paraId="4CBB228C">
            <w:pPr>
              <w:pStyle w:val="11"/>
              <w:rPr>
                <w:rFonts w:hint="eastAsia"/>
                <w:u w:val="wave"/>
              </w:rPr>
            </w:pPr>
          </w:p>
          <w:p w14:paraId="24D6067A">
            <w:pPr>
              <w:pStyle w:val="9"/>
              <w:rPr>
                <w:rFonts w:hint="eastAsia"/>
                <w:u w:val="wave"/>
              </w:rPr>
            </w:pPr>
            <w:r>
              <w:rPr>
                <w:sz w:val="24"/>
              </w:rPr>
              <mc:AlternateContent>
                <mc:Choice Requires="wps">
                  <w:drawing>
                    <wp:anchor distT="0" distB="0" distL="114300" distR="114300" simplePos="0" relativeHeight="251682816" behindDoc="0" locked="0" layoutInCell="1" allowOverlap="1">
                      <wp:simplePos x="0" y="0"/>
                      <wp:positionH relativeFrom="column">
                        <wp:posOffset>2411730</wp:posOffset>
                      </wp:positionH>
                      <wp:positionV relativeFrom="paragraph">
                        <wp:posOffset>192405</wp:posOffset>
                      </wp:positionV>
                      <wp:extent cx="1095375" cy="340995"/>
                      <wp:effectExtent l="4445" t="4445" r="5080" b="16510"/>
                      <wp:wrapNone/>
                      <wp:docPr id="11" name="文本框 11"/>
                      <wp:cNvGraphicFramePr/>
                      <a:graphic xmlns:a="http://schemas.openxmlformats.org/drawingml/2006/main">
                        <a:graphicData uri="http://schemas.microsoft.com/office/word/2010/wordprocessingShape">
                          <wps:wsp>
                            <wps:cNvSpPr txBox="1"/>
                            <wps:spPr>
                              <a:xfrm>
                                <a:off x="3738245" y="3125470"/>
                                <a:ext cx="1095375" cy="3409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C8CA16F">
                                  <w:pPr>
                                    <w:rPr>
                                      <w:rFonts w:hint="default" w:eastAsia="宋体"/>
                                      <w:lang w:val="en-US" w:eastAsia="zh-CN"/>
                                    </w:rPr>
                                  </w:pPr>
                                  <w:r>
                                    <w:rPr>
                                      <w:rFonts w:hint="eastAsia"/>
                                      <w:sz w:val="18"/>
                                      <w:szCs w:val="18"/>
                                      <w:lang w:eastAsia="zh-CN"/>
                                    </w:rPr>
                                    <w:t>以</w:t>
                                  </w:r>
                                  <w:r>
                                    <w:rPr>
                                      <w:rFonts w:hint="eastAsia"/>
                                      <w:sz w:val="18"/>
                                      <w:szCs w:val="18"/>
                                      <w:lang w:val="en-US" w:eastAsia="zh-CN"/>
                                    </w:rPr>
                                    <w:t>4回220kv出线</w:t>
                                  </w:r>
                                  <w:r>
                                    <w:rPr>
                                      <w:rFonts w:hint="eastAsia"/>
                                      <w:lang w:val="en-US" w:eastAsia="zh-CN"/>
                                    </w:rPr>
                                    <w:t xml:space="preserve">xg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9.9pt;margin-top:15.15pt;height:26.85pt;width:86.25pt;z-index:251682816;mso-width-relative:page;mso-height-relative:page;" fillcolor="#FFFFFF [3201]" filled="t" stroked="t" coordsize="21600,21600" o:gfxdata="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SZ6X41gAAAAkBAAAPAAAAAAAAAAEAIAAAACIAAABkcnMvZG93bnJldi54bWxQSwECFAAUAAAA&#10;CACHTuJACf0O5mICAADFBAAADgAAAAAAAAABACAAAAAlAQAAZHJzL2Uyb0RvYy54bWxQSwUGAAAA&#10;AAYABgBZAQAA+QUAAAAA&#10;">
                      <v:fill on="t" focussize="0,0"/>
                      <v:stroke weight="0.5pt" color="#000000 [3204]" joinstyle="round"/>
                      <v:imagedata o:title=""/>
                      <o:lock v:ext="edit" aspectratio="f"/>
                      <v:textbox>
                        <w:txbxContent>
                          <w:p w14:paraId="6C8CA16F">
                            <w:pPr>
                              <w:rPr>
                                <w:rFonts w:hint="default" w:eastAsia="宋体"/>
                                <w:lang w:val="en-US" w:eastAsia="zh-CN"/>
                              </w:rPr>
                            </w:pPr>
                            <w:r>
                              <w:rPr>
                                <w:rFonts w:hint="eastAsia"/>
                                <w:sz w:val="18"/>
                                <w:szCs w:val="18"/>
                                <w:lang w:eastAsia="zh-CN"/>
                              </w:rPr>
                              <w:t>以</w:t>
                            </w:r>
                            <w:r>
                              <w:rPr>
                                <w:rFonts w:hint="eastAsia"/>
                                <w:sz w:val="18"/>
                                <w:szCs w:val="18"/>
                                <w:lang w:val="en-US" w:eastAsia="zh-CN"/>
                              </w:rPr>
                              <w:t>4回220kv出线</w:t>
                            </w:r>
                            <w:r>
                              <w:rPr>
                                <w:rFonts w:hint="eastAsia"/>
                                <w:lang w:val="en-US" w:eastAsia="zh-CN"/>
                              </w:rPr>
                              <w:t xml:space="preserve">xg </w:t>
                            </w:r>
                          </w:p>
                        </w:txbxContent>
                      </v:textbox>
                    </v:shape>
                  </w:pict>
                </mc:Fallback>
              </mc:AlternateContent>
            </w:r>
          </w:p>
          <w:p w14:paraId="3F0AC1C8">
            <w:pPr>
              <w:pStyle w:val="11"/>
              <w:ind w:left="0" w:leftChars="0" w:firstLine="0" w:firstLineChars="0"/>
              <w:rPr>
                <w:rFonts w:hint="eastAsia"/>
                <w:u w:val="wave"/>
                <w:lang w:val="en-US" w:eastAsia="zh-CN"/>
              </w:rPr>
            </w:pPr>
          </w:p>
          <w:p w14:paraId="7250C5F3">
            <w:pPr>
              <w:pStyle w:val="11"/>
              <w:ind w:left="0" w:leftChars="0" w:firstLine="2891" w:firstLineChars="1200"/>
              <w:rPr>
                <w:rFonts w:hint="default" w:eastAsia="仿宋_GB2312"/>
                <w:b/>
                <w:bCs/>
                <w:sz w:val="24"/>
                <w:szCs w:val="24"/>
                <w:u w:val="none"/>
                <w:lang w:val="en-US" w:eastAsia="zh-CN"/>
              </w:rPr>
            </w:pPr>
            <w:r>
              <w:rPr>
                <w:rFonts w:hint="eastAsia"/>
                <w:b/>
                <w:bCs/>
                <w:sz w:val="24"/>
                <w:szCs w:val="24"/>
                <w:u w:val="none"/>
                <w:lang w:val="en-US" w:eastAsia="zh-CN"/>
              </w:rPr>
              <w:t>图4-1 工艺流程图</w:t>
            </w:r>
          </w:p>
          <w:p w14:paraId="3E1CF6CB">
            <w:pPr>
              <w:pStyle w:val="4"/>
              <w:numPr>
                <w:ilvl w:val="0"/>
                <w:numId w:val="7"/>
              </w:numPr>
              <w:ind w:left="425" w:hanging="425"/>
              <w:rPr>
                <w:color w:val="000000" w:themeColor="text1"/>
                <w:u w:val="none"/>
                <w14:textFill>
                  <w14:solidFill>
                    <w14:schemeClr w14:val="tx1"/>
                  </w14:solidFill>
                </w14:textFill>
              </w:rPr>
            </w:pPr>
            <w:bookmarkStart w:id="146" w:name="_Toc119425307"/>
            <w:bookmarkStart w:id="147" w:name="_Toc20002"/>
            <w:r>
              <w:rPr>
                <w:color w:val="000000" w:themeColor="text1"/>
                <w:u w:val="none"/>
                <w14:textFill>
                  <w14:solidFill>
                    <w14:schemeClr w14:val="tx1"/>
                  </w14:solidFill>
                </w14:textFill>
              </w:rPr>
              <w:t>对植物及植被的影响</w:t>
            </w:r>
            <w:bookmarkEnd w:id="146"/>
          </w:p>
          <w:p w14:paraId="6071BB5F">
            <w:pPr>
              <w:adjustRightInd w:val="0"/>
              <w:snapToGrid w:val="0"/>
              <w:spacing w:line="360" w:lineRule="auto"/>
              <w:ind w:firstLine="480" w:firstLineChars="200"/>
              <w:rPr>
                <w:rFonts w:ascii="Times New Roman" w:hAnsi="Times New Roman" w:cs="Times New Roman"/>
                <w:bCs/>
                <w:color w:val="000000" w:themeColor="text1"/>
                <w:sz w:val="24"/>
                <w:u w:val="none"/>
                <w14:textFill>
                  <w14:solidFill>
                    <w14:schemeClr w14:val="tx1"/>
                  </w14:solidFill>
                </w14:textFill>
              </w:rPr>
            </w:pPr>
            <w:r>
              <w:rPr>
                <w:rFonts w:ascii="Times New Roman" w:hAnsi="Times New Roman" w:cs="Times New Roman"/>
                <w:bCs/>
                <w:color w:val="000000" w:themeColor="text1"/>
                <w:sz w:val="24"/>
                <w:u w:val="none"/>
                <w14:textFill>
                  <w14:solidFill>
                    <w14:schemeClr w14:val="tx1"/>
                  </w14:solidFill>
                </w14:textFill>
              </w:rPr>
              <w:t>风电场投入运营后，永久占地内的植被完全被破坏，取而代之的是风机和杆塔的基础等建筑用地类型，但可以通过异地栽种乔、灌木和种植草坪等绿化方式减少由此造成的植被损失。临时占地区域被占用的植被将随着施工的结束而得到恢复，其影响将逐步消失。运营期本工程对评价区植物及植被无影响。</w:t>
            </w:r>
          </w:p>
          <w:p w14:paraId="58F8010F">
            <w:pPr>
              <w:pStyle w:val="4"/>
              <w:numPr>
                <w:ilvl w:val="0"/>
                <w:numId w:val="7"/>
              </w:numPr>
              <w:ind w:left="425" w:hanging="425"/>
              <w:rPr>
                <w:color w:val="000000" w:themeColor="text1"/>
                <w:u w:val="none"/>
                <w14:textFill>
                  <w14:solidFill>
                    <w14:schemeClr w14:val="tx1"/>
                  </w14:solidFill>
                </w14:textFill>
              </w:rPr>
            </w:pPr>
            <w:r>
              <w:rPr>
                <w:color w:val="000000" w:themeColor="text1"/>
                <w:u w:val="none"/>
                <w14:textFill>
                  <w14:solidFill>
                    <w14:schemeClr w14:val="tx1"/>
                  </w14:solidFill>
                </w14:textFill>
              </w:rPr>
              <w:t>对陆生动物的影响</w:t>
            </w:r>
          </w:p>
          <w:p w14:paraId="1A99F37D">
            <w:pPr>
              <w:spacing w:line="360" w:lineRule="auto"/>
              <w:ind w:firstLine="480" w:firstLineChars="200"/>
              <w:rPr>
                <w:rFonts w:ascii="Times New Roman" w:hAnsi="Times New Roman" w:cs="Times New Roman"/>
                <w:color w:val="000000" w:themeColor="text1"/>
                <w:kern w:val="0"/>
                <w:sz w:val="24"/>
                <w:u w:val="none"/>
                <w14:textFill>
                  <w14:solidFill>
                    <w14:schemeClr w14:val="tx1"/>
                  </w14:solidFill>
                </w14:textFill>
              </w:rPr>
            </w:pPr>
            <w:r>
              <w:rPr>
                <w:rFonts w:ascii="Times New Roman" w:hAnsi="Times New Roman" w:cs="Times New Roman"/>
                <w:color w:val="000000" w:themeColor="text1"/>
                <w:kern w:val="0"/>
                <w:sz w:val="24"/>
                <w:u w:val="none"/>
                <w14:textFill>
                  <w14:solidFill>
                    <w14:schemeClr w14:val="tx1"/>
                  </w14:solidFill>
                </w14:textFill>
              </w:rPr>
              <w:t>风电是一种清洁的能源，运营期本身不产生大气和水污染，也不产生废渣，有利于保护环境。运营期风电场对生态的影响，主要是对鸟类活动的影响。</w:t>
            </w:r>
          </w:p>
          <w:p w14:paraId="4E48B3F9">
            <w:pPr>
              <w:numPr>
                <w:ilvl w:val="0"/>
                <w:numId w:val="0"/>
              </w:numPr>
              <w:ind w:leftChars="0"/>
              <w:rPr>
                <w:b/>
                <w:bCs/>
                <w:color w:val="000000" w:themeColor="text1"/>
                <w:kern w:val="0"/>
                <w:u w:val="none"/>
                <w14:textFill>
                  <w14:solidFill>
                    <w14:schemeClr w14:val="tx1"/>
                  </w14:solidFill>
                </w14:textFill>
              </w:rPr>
            </w:pPr>
            <w:r>
              <w:rPr>
                <w:rFonts w:hint="eastAsia"/>
                <w:b/>
                <w:bCs/>
                <w:color w:val="000000" w:themeColor="text1"/>
                <w:kern w:val="0"/>
                <w:u w:val="none"/>
                <w:lang w:val="en-US" w:eastAsia="zh-CN"/>
                <w14:textFill>
                  <w14:solidFill>
                    <w14:schemeClr w14:val="tx1"/>
                  </w14:solidFill>
                </w14:textFill>
              </w:rPr>
              <w:t>1）</w:t>
            </w:r>
            <w:r>
              <w:rPr>
                <w:b/>
                <w:bCs/>
                <w:color w:val="000000" w:themeColor="text1"/>
                <w:kern w:val="0"/>
                <w:u w:val="none"/>
                <w14:textFill>
                  <w14:solidFill>
                    <w14:schemeClr w14:val="tx1"/>
                  </w14:solidFill>
                </w14:textFill>
              </w:rPr>
              <w:t>生境质量下降对动物的影响</w:t>
            </w:r>
          </w:p>
          <w:p w14:paraId="0E04C9DD">
            <w:pPr>
              <w:spacing w:line="360" w:lineRule="auto"/>
              <w:ind w:firstLine="480" w:firstLineChars="200"/>
              <w:rPr>
                <w:rFonts w:ascii="Times New Roman" w:hAnsi="Times New Roman" w:cs="Times New Roman"/>
                <w:color w:val="000000" w:themeColor="text1"/>
                <w:kern w:val="0"/>
                <w:sz w:val="24"/>
                <w:u w:val="none"/>
                <w14:textFill>
                  <w14:solidFill>
                    <w14:schemeClr w14:val="tx1"/>
                  </w14:solidFill>
                </w14:textFill>
              </w:rPr>
            </w:pPr>
            <w:r>
              <w:rPr>
                <w:rFonts w:ascii="Times New Roman" w:hAnsi="Times New Roman" w:cs="Times New Roman"/>
                <w:color w:val="000000" w:themeColor="text1"/>
                <w:kern w:val="0"/>
                <w:sz w:val="24"/>
                <w:u w:val="none"/>
                <w14:textFill>
                  <w14:solidFill>
                    <w14:schemeClr w14:val="tx1"/>
                  </w14:solidFill>
                </w14:textFill>
              </w:rPr>
              <w:t>工程永久占地（包括升压站占地、风机及箱变基础占地）会导致动物原有栖息地面积的缩小，尤其是灌丛和树木的砍伐使动物活动场所和食物资源的减少，风电设施运转、维护人员的活动等也会干扰影响部分动物的活动栖息地、觅食地。项目竣工后，新修的道路会对道路两边的两栖类、爬行类以及哺乳的正常活动增加阻隔作用，也会加剧鸟类栖息地片段化，同时是原来一些不易到达的地方（如山岭上部、山脊山顶）的可到达性增加，这些因素的叠加会造成风电场区动物栖息地质量下降。</w:t>
            </w:r>
          </w:p>
          <w:p w14:paraId="12689499">
            <w:pPr>
              <w:spacing w:line="360" w:lineRule="auto"/>
              <w:ind w:firstLine="480" w:firstLineChars="200"/>
              <w:rPr>
                <w:rFonts w:ascii="Times New Roman" w:hAnsi="Times New Roman" w:cs="Times New Roman"/>
                <w:color w:val="000000" w:themeColor="text1"/>
                <w:kern w:val="0"/>
                <w:sz w:val="24"/>
                <w:u w:val="none"/>
                <w14:textFill>
                  <w14:solidFill>
                    <w14:schemeClr w14:val="tx1"/>
                  </w14:solidFill>
                </w14:textFill>
              </w:rPr>
            </w:pPr>
            <w:r>
              <w:rPr>
                <w:rFonts w:ascii="Times New Roman" w:hAnsi="Times New Roman" w:cs="Times New Roman"/>
                <w:color w:val="000000" w:themeColor="text1"/>
                <w:kern w:val="0"/>
                <w:sz w:val="24"/>
                <w:u w:val="none"/>
                <w14:textFill>
                  <w14:solidFill>
                    <w14:schemeClr w14:val="tx1"/>
                  </w14:solidFill>
                </w14:textFill>
              </w:rPr>
              <w:t>栖息地质量下降有可能导致部分动物种群数量下降，同时也造成风电场区的生物多样性降低，部分对栖息地变化极端敏感的种类甚至有可能离开评价范围，转移至较远的栖息地活动。</w:t>
            </w:r>
          </w:p>
          <w:p w14:paraId="40B4090F">
            <w:pPr>
              <w:spacing w:line="360" w:lineRule="auto"/>
              <w:ind w:firstLine="480" w:firstLineChars="200"/>
              <w:rPr>
                <w:rFonts w:ascii="Times New Roman" w:hAnsi="Times New Roman" w:cs="Times New Roman"/>
                <w:color w:val="000000" w:themeColor="text1"/>
                <w:kern w:val="0"/>
                <w:sz w:val="24"/>
                <w:u w:val="none"/>
                <w14:textFill>
                  <w14:solidFill>
                    <w14:schemeClr w14:val="tx1"/>
                  </w14:solidFill>
                </w14:textFill>
              </w:rPr>
            </w:pPr>
            <w:r>
              <w:rPr>
                <w:rFonts w:ascii="Times New Roman" w:hAnsi="Times New Roman" w:cs="Times New Roman"/>
                <w:color w:val="000000" w:themeColor="text1"/>
                <w:kern w:val="0"/>
                <w:sz w:val="24"/>
                <w:u w:val="none"/>
                <w14:textFill>
                  <w14:solidFill>
                    <w14:schemeClr w14:val="tx1"/>
                  </w14:solidFill>
                </w14:textFill>
              </w:rPr>
              <w:t>根据现场调查，从动物活动分布分析，项目区的动物种类和数量的分布都以山体谷地低处和山丘中下部为最多，向上逐步递减，至山丘顶部活动动物相对较少。本工程对山丘上部和山顶部的植被破坏相对较大，而对山丘下部和中部主要是新修道路造成的破坏，其程度相对较小。</w:t>
            </w:r>
          </w:p>
          <w:p w14:paraId="1CF025BB">
            <w:pPr>
              <w:spacing w:line="360" w:lineRule="auto"/>
              <w:ind w:firstLine="480" w:firstLineChars="200"/>
              <w:rPr>
                <w:rFonts w:ascii="Times New Roman" w:hAnsi="Times New Roman" w:cs="Times New Roman"/>
                <w:color w:val="000000" w:themeColor="text1"/>
                <w:kern w:val="0"/>
                <w:sz w:val="24"/>
                <w:u w:val="none"/>
                <w14:textFill>
                  <w14:solidFill>
                    <w14:schemeClr w14:val="tx1"/>
                  </w14:solidFill>
                </w14:textFill>
              </w:rPr>
            </w:pPr>
            <w:r>
              <w:rPr>
                <w:rFonts w:ascii="Times New Roman" w:hAnsi="Times New Roman" w:cs="Times New Roman"/>
                <w:color w:val="000000" w:themeColor="text1"/>
                <w:kern w:val="0"/>
                <w:sz w:val="24"/>
                <w:u w:val="none"/>
                <w14:textFill>
                  <w14:solidFill>
                    <w14:schemeClr w14:val="tx1"/>
                  </w14:solidFill>
                </w14:textFill>
              </w:rPr>
              <w:t>以上分析表明，可以预测工程导致的栖息地质量下降会对动物数量造成一定的影响，尤其是鸟类，在运营初期有一段时间数量是下降的，但随着植被的逐渐恢复，动物种类，鸟类种群数量可逐渐上升，恢复到接近原来水平；由于当地现存动物大部分是一些分布广泛、适应能力强或者本身就是已经适应人类干扰环境的种类，在对环境变化相对敏感的种类如红腹锦鸡等活动范围广，因此那里的栖息地质量下降不会导致有物种消失。</w:t>
            </w:r>
          </w:p>
          <w:p w14:paraId="45A16384">
            <w:pPr>
              <w:numPr>
                <w:ilvl w:val="0"/>
                <w:numId w:val="0"/>
              </w:numPr>
              <w:ind w:leftChars="0"/>
              <w:rPr>
                <w:b/>
                <w:bCs/>
                <w:color w:val="000000" w:themeColor="text1"/>
                <w:u w:val="none"/>
                <w14:textFill>
                  <w14:solidFill>
                    <w14:schemeClr w14:val="tx1"/>
                  </w14:solidFill>
                </w14:textFill>
              </w:rPr>
            </w:pPr>
            <w:r>
              <w:rPr>
                <w:rFonts w:hint="eastAsia"/>
                <w:b/>
                <w:bCs/>
                <w:color w:val="000000" w:themeColor="text1"/>
                <w:u w:val="none"/>
                <w:lang w:val="en-US" w:eastAsia="zh-CN"/>
                <w14:textFill>
                  <w14:solidFill>
                    <w14:schemeClr w14:val="tx1"/>
                  </w14:solidFill>
                </w14:textFill>
              </w:rPr>
              <w:t>2）</w:t>
            </w:r>
            <w:r>
              <w:rPr>
                <w:b/>
                <w:bCs/>
                <w:color w:val="000000" w:themeColor="text1"/>
                <w:u w:val="none"/>
                <w14:textFill>
                  <w14:solidFill>
                    <w14:schemeClr w14:val="tx1"/>
                  </w14:solidFill>
                </w14:textFill>
              </w:rPr>
              <w:t>风电场对野生动物的影响</w:t>
            </w:r>
          </w:p>
          <w:p w14:paraId="48F717DA">
            <w:pPr>
              <w:adjustRightInd w:val="0"/>
              <w:snapToGrid w:val="0"/>
              <w:spacing w:line="360" w:lineRule="auto"/>
              <w:ind w:firstLine="480" w:firstLineChars="200"/>
              <w:rPr>
                <w:rFonts w:ascii="Times New Roman" w:hAnsi="Times New Roman" w:cs="Times New Roman"/>
                <w:bCs/>
                <w:color w:val="000000" w:themeColor="text1"/>
                <w:sz w:val="24"/>
                <w:u w:val="none"/>
                <w14:textFill>
                  <w14:solidFill>
                    <w14:schemeClr w14:val="tx1"/>
                  </w14:solidFill>
                </w14:textFill>
              </w:rPr>
            </w:pPr>
            <w:r>
              <w:rPr>
                <w:rFonts w:ascii="Times New Roman" w:hAnsi="Times New Roman" w:cs="Times New Roman"/>
                <w:bCs/>
                <w:color w:val="000000" w:themeColor="text1"/>
                <w:sz w:val="24"/>
                <w:u w:val="none"/>
                <w14:textFill>
                  <w14:solidFill>
                    <w14:schemeClr w14:val="tx1"/>
                  </w14:solidFill>
                </w14:textFill>
              </w:rPr>
              <w:t>1）对鸟类栖息和觅食的影响</w:t>
            </w:r>
          </w:p>
          <w:p w14:paraId="30BD8752">
            <w:pPr>
              <w:adjustRightInd w:val="0"/>
              <w:snapToGrid w:val="0"/>
              <w:spacing w:line="360" w:lineRule="auto"/>
              <w:ind w:firstLine="480" w:firstLineChars="200"/>
              <w:rPr>
                <w:rFonts w:ascii="Times New Roman" w:hAnsi="Times New Roman" w:cs="Times New Roman"/>
                <w:bCs/>
                <w:color w:val="000000" w:themeColor="text1"/>
                <w:sz w:val="24"/>
                <w:u w:val="none"/>
                <w14:textFill>
                  <w14:solidFill>
                    <w14:schemeClr w14:val="tx1"/>
                  </w14:solidFill>
                </w14:textFill>
              </w:rPr>
            </w:pPr>
            <w:r>
              <w:rPr>
                <w:rFonts w:ascii="Times New Roman" w:hAnsi="Times New Roman" w:cs="Times New Roman"/>
                <w:bCs/>
                <w:color w:val="000000" w:themeColor="text1"/>
                <w:sz w:val="24"/>
                <w:u w:val="none"/>
                <w14:textFill>
                  <w14:solidFill>
                    <w14:schemeClr w14:val="tx1"/>
                  </w14:solidFill>
                </w14:textFill>
              </w:rPr>
              <w:t>风机对评价区鸟类栖息和觅食的影响，主要包括两个方面。一方面是风机运行时叶片运动、噪音等对鸟类的干扰影响；另一方面是鸟类迁飞碰撞风机的影响。</w:t>
            </w:r>
          </w:p>
          <w:p w14:paraId="75A36D1F">
            <w:pPr>
              <w:adjustRightInd w:val="0"/>
              <w:snapToGrid w:val="0"/>
              <w:spacing w:line="360" w:lineRule="auto"/>
              <w:ind w:firstLine="480" w:firstLineChars="200"/>
              <w:rPr>
                <w:rFonts w:ascii="Times New Roman" w:hAnsi="Times New Roman" w:cs="Times New Roman"/>
                <w:bCs/>
                <w:color w:val="000000" w:themeColor="text1"/>
                <w:sz w:val="24"/>
                <w:u w:val="none"/>
                <w14:textFill>
                  <w14:solidFill>
                    <w14:schemeClr w14:val="tx1"/>
                  </w14:solidFill>
                </w14:textFill>
              </w:rPr>
            </w:pPr>
            <w:r>
              <w:rPr>
                <w:rFonts w:ascii="Times New Roman" w:hAnsi="Times New Roman" w:cs="Times New Roman"/>
                <w:bCs/>
                <w:color w:val="000000" w:themeColor="text1"/>
                <w:sz w:val="24"/>
                <w:u w:val="none"/>
                <w14:textFill>
                  <w14:solidFill>
                    <w14:schemeClr w14:val="tx1"/>
                  </w14:solidFill>
                </w14:textFill>
              </w:rPr>
              <w:t>风力发电场对鸟类影响最严重的后果是鸟类飞行中由于不能避让正在旋转中的风机叶片而致死或致伤，这种影响主要表现在风机转速和恶劣天气与鸟类撞击的关系。有研究说明，鸟类与风机发生撞击而造成死亡与风机的运转速度呈一定的相关关系，一般变速的风机对鸟类的影响较大（Percival，2003）。</w:t>
            </w:r>
            <w:r>
              <w:rPr>
                <w:rFonts w:hint="eastAsia" w:cs="Times New Roman"/>
                <w:bCs/>
                <w:color w:val="000000" w:themeColor="text1"/>
                <w:sz w:val="24"/>
                <w:u w:val="none"/>
                <w:lang w:eastAsia="zh-CN"/>
                <w14:textFill>
                  <w14:solidFill>
                    <w14:schemeClr w14:val="tx1"/>
                  </w14:solidFill>
                </w14:textFill>
              </w:rPr>
              <w:t>湖南华电通道太平山风电场项目</w:t>
            </w:r>
            <w:r>
              <w:rPr>
                <w:rFonts w:ascii="Times New Roman" w:hAnsi="Times New Roman" w:cs="Times New Roman"/>
                <w:bCs/>
                <w:color w:val="000000" w:themeColor="text1"/>
                <w:sz w:val="24"/>
                <w:u w:val="none"/>
                <w14:textFill>
                  <w14:solidFill>
                    <w14:schemeClr w14:val="tx1"/>
                  </w14:solidFill>
                </w14:textFill>
              </w:rPr>
              <w:t>各机位点对应轮毂高度为11</w:t>
            </w:r>
            <w:r>
              <w:rPr>
                <w:rFonts w:hint="eastAsia" w:cs="Times New Roman"/>
                <w:bCs/>
                <w:color w:val="000000" w:themeColor="text1"/>
                <w:sz w:val="24"/>
                <w:u w:val="none"/>
                <w:lang w:val="en-US" w:eastAsia="zh-CN"/>
                <w14:textFill>
                  <w14:solidFill>
                    <w14:schemeClr w14:val="tx1"/>
                  </w14:solidFill>
                </w14:textFill>
              </w:rPr>
              <w:t>5</w:t>
            </w:r>
            <w:r>
              <w:rPr>
                <w:rFonts w:ascii="Times New Roman" w:hAnsi="Times New Roman" w:cs="Times New Roman"/>
                <w:bCs/>
                <w:color w:val="000000" w:themeColor="text1"/>
                <w:sz w:val="24"/>
                <w:u w:val="none"/>
                <w14:textFill>
                  <w14:solidFill>
                    <w14:schemeClr w14:val="tx1"/>
                  </w14:solidFill>
                </w14:textFill>
              </w:rPr>
              <w:t>m，加上风机叶片高度在</w:t>
            </w:r>
            <w:r>
              <w:rPr>
                <w:rFonts w:hint="eastAsia" w:cs="Times New Roman"/>
                <w:bCs/>
                <w:color w:val="000000" w:themeColor="text1"/>
                <w:sz w:val="24"/>
                <w:u w:val="none"/>
                <w:lang w:val="en-US" w:eastAsia="zh-CN"/>
                <w14:textFill>
                  <w14:solidFill>
                    <w14:schemeClr w14:val="tx1"/>
                  </w14:solidFill>
                </w14:textFill>
              </w:rPr>
              <w:t>293</w:t>
            </w:r>
            <w:r>
              <w:rPr>
                <w:rFonts w:ascii="Times New Roman" w:hAnsi="Times New Roman" w:cs="Times New Roman"/>
                <w:bCs/>
                <w:color w:val="000000" w:themeColor="text1"/>
                <w:sz w:val="24"/>
                <w:u w:val="none"/>
                <w14:textFill>
                  <w14:solidFill>
                    <w14:schemeClr w14:val="tx1"/>
                  </w14:solidFill>
                </w14:textFill>
              </w:rPr>
              <w:t xml:space="preserve"> m，因此运营后风机的影响高度通常在13～206 m间。在天气晴好的情况下，区域内发生鸟类碰撞风机致死现象的可能性较小，风电场的鸟类基本能正常回避。但恶劣天气条件下如雾或雨天能见度低，鸟类撞击风机的可能性大大增加。很强的逆风也会使鸟类降低飞行高度，从而也会增加相撞的几率。</w:t>
            </w:r>
          </w:p>
          <w:p w14:paraId="681A3F26">
            <w:pPr>
              <w:adjustRightInd w:val="0"/>
              <w:snapToGrid w:val="0"/>
              <w:spacing w:line="360" w:lineRule="auto"/>
              <w:ind w:firstLine="480" w:firstLineChars="200"/>
              <w:rPr>
                <w:rFonts w:ascii="Times New Roman" w:hAnsi="Times New Roman" w:cs="Times New Roman"/>
                <w:bCs/>
                <w:color w:val="000000" w:themeColor="text1"/>
                <w:sz w:val="24"/>
                <w:u w:val="none"/>
                <w14:textFill>
                  <w14:solidFill>
                    <w14:schemeClr w14:val="tx1"/>
                  </w14:solidFill>
                </w14:textFill>
              </w:rPr>
            </w:pPr>
            <w:r>
              <w:rPr>
                <w:rFonts w:ascii="Times New Roman" w:hAnsi="Times New Roman" w:cs="Times New Roman"/>
                <w:bCs/>
                <w:color w:val="000000" w:themeColor="text1"/>
                <w:sz w:val="24"/>
                <w:u w:val="none"/>
                <w14:textFill>
                  <w14:solidFill>
                    <w14:schemeClr w14:val="tx1"/>
                  </w14:solidFill>
                </w14:textFill>
              </w:rPr>
              <w:t>2）对鸟类迁徙的影响</w:t>
            </w:r>
          </w:p>
          <w:p w14:paraId="17CB8F77">
            <w:pPr>
              <w:adjustRightInd w:val="0"/>
              <w:snapToGrid w:val="0"/>
              <w:spacing w:line="360" w:lineRule="auto"/>
              <w:ind w:firstLine="480" w:firstLineChars="200"/>
              <w:rPr>
                <w:rFonts w:ascii="Times New Roman" w:hAnsi="Times New Roman" w:cs="Times New Roman"/>
                <w:bCs/>
                <w:color w:val="000000" w:themeColor="text1"/>
                <w:sz w:val="24"/>
                <w:u w:val="none"/>
                <w14:textFill>
                  <w14:solidFill>
                    <w14:schemeClr w14:val="tx1"/>
                  </w14:solidFill>
                </w14:textFill>
              </w:rPr>
            </w:pPr>
            <w:r>
              <w:rPr>
                <w:rFonts w:ascii="Times New Roman" w:hAnsi="Times New Roman" w:cs="Times New Roman"/>
                <w:bCs/>
                <w:color w:val="000000" w:themeColor="text1"/>
                <w:sz w:val="24"/>
                <w:u w:val="none"/>
                <w14:textFill>
                  <w14:solidFill>
                    <w14:schemeClr w14:val="tx1"/>
                  </w14:solidFill>
                </w14:textFill>
              </w:rPr>
              <w:t>鸟类迁徙通道泛指鸟类中的某些种类，每年春季和秋季，有规律的、沿相对固定的路线、定时地在繁殖地区和越冬地区之间进行的长距离的往返移居的行为现象。</w:t>
            </w:r>
          </w:p>
          <w:p w14:paraId="11C121F5">
            <w:pPr>
              <w:adjustRightInd w:val="0"/>
              <w:snapToGrid w:val="0"/>
              <w:spacing w:line="360" w:lineRule="auto"/>
              <w:ind w:firstLine="480" w:firstLineChars="200"/>
              <w:rPr>
                <w:rFonts w:ascii="Times New Roman" w:hAnsi="Times New Roman" w:cs="Times New Roman"/>
                <w:bCs/>
                <w:color w:val="000000" w:themeColor="text1"/>
                <w:sz w:val="24"/>
                <w:u w:val="none"/>
                <w14:textFill>
                  <w14:solidFill>
                    <w14:schemeClr w14:val="tx1"/>
                  </w14:solidFill>
                </w14:textFill>
              </w:rPr>
            </w:pPr>
            <w:r>
              <w:rPr>
                <w:rFonts w:ascii="Times New Roman" w:hAnsi="Times New Roman" w:cs="Times New Roman"/>
                <w:bCs/>
                <w:color w:val="000000" w:themeColor="text1"/>
                <w:sz w:val="24"/>
                <w:u w:val="none"/>
                <w14:textFill>
                  <w14:solidFill>
                    <w14:schemeClr w14:val="tx1"/>
                  </w14:solidFill>
                </w14:textFill>
              </w:rPr>
              <w:t>风电机的风叶在旋转发电过程中，可能与飞行的鸟类相撞，一旦产生撞击，必然造成鸟类的死亡。基于目前风电机的性能，在满负荷运转时，风电机转速在5.5～16.5 r/min，风机叶尖速度在100 m/s左右，在这种速度下，鸟类均能正常回避。但是遇到异常天气，也会造成飞鸟死亡的事件。每年2～3月，杜鹃科、燕科等夏候鸟迁入本区域，而本地的冬候鸟，例如灰鹡鸰、北红尾鸲、黄眉柳莺等迁往北方。而9～11月这些鸟类又反向迁徙。在这些候鸟南北迁飞中，如果出现异常气候，在突发气流的推动下，可能与运行的风电机叶片相撞。</w:t>
            </w:r>
          </w:p>
          <w:p w14:paraId="6B272BF6">
            <w:pPr>
              <w:adjustRightInd w:val="0"/>
              <w:snapToGrid w:val="0"/>
              <w:spacing w:line="360" w:lineRule="auto"/>
              <w:ind w:firstLine="480" w:firstLineChars="200"/>
              <w:rPr>
                <w:rFonts w:ascii="Times New Roman" w:hAnsi="Times New Roman" w:cs="Times New Roman"/>
                <w:bCs/>
                <w:color w:val="000000" w:themeColor="text1"/>
                <w:sz w:val="24"/>
                <w:u w:val="none"/>
                <w14:textFill>
                  <w14:solidFill>
                    <w14:schemeClr w14:val="tx1"/>
                  </w14:solidFill>
                </w14:textFill>
              </w:rPr>
            </w:pPr>
            <w:r>
              <w:rPr>
                <w:rFonts w:hint="eastAsia"/>
                <w:bCs/>
                <w:color w:val="000000" w:themeColor="text1"/>
                <w:u w:val="none"/>
                <w14:textFill>
                  <w14:solidFill>
                    <w14:schemeClr w14:val="tx1"/>
                  </w14:solidFill>
                </w14:textFill>
              </w:rPr>
              <w:t>拟建风电场场址在山顶上，山体高耸陡峻，难以积水，无法形成湿地环境，鸟类栖息地主要以山顶灌草丛、幼林地和裸地为主，极不适宜鸟类栖息。加之风电场所在山体也并非迁徙水鸟的迁徙通道。因此，风电场建设期间，进场道路、风机机位及弃渣场的建设均不会对鸟类迁徙产生影响。尽管该风电场未在鸟类的迁徙通道上，但是一些迁徙性林鸟会途经或在该地停留越冬或繁殖，如黑卷尾、发冠卷尾等鸟类。然而这些鸟类的越冬生境或繁殖生境多在中低海拔林灌生境，风电场施工区仅涉及极少部分生境。</w:t>
            </w:r>
          </w:p>
          <w:p w14:paraId="567FF145">
            <w:pPr>
              <w:adjustRightInd w:val="0"/>
              <w:snapToGrid w:val="0"/>
              <w:spacing w:line="360" w:lineRule="auto"/>
              <w:ind w:firstLine="480" w:firstLineChars="200"/>
              <w:rPr>
                <w:rFonts w:ascii="Times New Roman" w:hAnsi="Times New Roman" w:cs="Times New Roman"/>
                <w:bCs/>
                <w:color w:val="000000" w:themeColor="text1"/>
                <w:sz w:val="24"/>
                <w:u w:val="none"/>
                <w14:textFill>
                  <w14:solidFill>
                    <w14:schemeClr w14:val="tx1"/>
                  </w14:solidFill>
                </w14:textFill>
              </w:rPr>
            </w:pPr>
            <w:r>
              <w:rPr>
                <w:rFonts w:ascii="Times New Roman" w:hAnsi="Times New Roman" w:cs="Times New Roman"/>
                <w:bCs/>
                <w:color w:val="000000" w:themeColor="text1"/>
                <w:sz w:val="24"/>
                <w:u w:val="none"/>
                <w14:textFill>
                  <w14:solidFill>
                    <w14:schemeClr w14:val="tx1"/>
                  </w14:solidFill>
                </w14:textFill>
              </w:rPr>
              <w:t>虽然</w:t>
            </w:r>
            <w:r>
              <w:rPr>
                <w:rFonts w:hint="eastAsia" w:cs="Times New Roman"/>
                <w:bCs/>
                <w:color w:val="000000" w:themeColor="text1"/>
                <w:sz w:val="24"/>
                <w:u w:val="none"/>
                <w:lang w:eastAsia="zh-CN"/>
                <w14:textFill>
                  <w14:solidFill>
                    <w14:schemeClr w14:val="tx1"/>
                  </w14:solidFill>
                </w14:textFill>
              </w:rPr>
              <w:t>湖南华电通道太平山风电场项目</w:t>
            </w:r>
            <w:r>
              <w:rPr>
                <w:rFonts w:ascii="Times New Roman" w:hAnsi="Times New Roman" w:cs="Times New Roman"/>
                <w:bCs/>
                <w:color w:val="000000" w:themeColor="text1"/>
                <w:sz w:val="24"/>
                <w:u w:val="none"/>
                <w14:textFill>
                  <w14:solidFill>
                    <w14:schemeClr w14:val="tx1"/>
                  </w14:solidFill>
                </w14:textFill>
              </w:rPr>
              <w:t>的风机位不与湖南省的鸟类迁徙通道、重要的候鸟迁徙地重叠，但还是建议在鸟类迁徙的春秋两季加强观察。一旦发现大批鸟类穿越风电场或者遇到特殊环境，减少风机运行或者停机，以杜绝对鸟类的伤害同时防止风机受损。</w:t>
            </w:r>
          </w:p>
          <w:p w14:paraId="36A32207">
            <w:pPr>
              <w:adjustRightInd w:val="0"/>
              <w:snapToGrid w:val="0"/>
              <w:spacing w:line="360" w:lineRule="auto"/>
              <w:ind w:firstLine="480" w:firstLineChars="200"/>
              <w:rPr>
                <w:rFonts w:ascii="Times New Roman" w:hAnsi="Times New Roman" w:cs="Times New Roman"/>
                <w:bCs/>
                <w:color w:val="000000" w:themeColor="text1"/>
                <w:sz w:val="24"/>
                <w:u w:val="none"/>
                <w14:textFill>
                  <w14:solidFill>
                    <w14:schemeClr w14:val="tx1"/>
                  </w14:solidFill>
                </w14:textFill>
              </w:rPr>
            </w:pPr>
            <w:r>
              <w:rPr>
                <w:rFonts w:ascii="Times New Roman" w:hAnsi="Times New Roman" w:cs="Times New Roman"/>
                <w:bCs/>
                <w:color w:val="000000" w:themeColor="text1"/>
                <w:sz w:val="24"/>
                <w:u w:val="none"/>
                <w14:textFill>
                  <w14:solidFill>
                    <w14:schemeClr w14:val="tx1"/>
                  </w14:solidFill>
                </w14:textFill>
              </w:rPr>
              <w:t>3）风机噪声对动物栖息和觅食的影响</w:t>
            </w:r>
          </w:p>
          <w:p w14:paraId="7FD12231">
            <w:pPr>
              <w:adjustRightInd w:val="0"/>
              <w:snapToGrid w:val="0"/>
              <w:spacing w:line="360" w:lineRule="auto"/>
              <w:ind w:firstLine="480" w:firstLineChars="200"/>
              <w:rPr>
                <w:rFonts w:ascii="Times New Roman" w:hAnsi="Times New Roman" w:cs="Times New Roman"/>
                <w:bCs/>
                <w:color w:val="000000" w:themeColor="text1"/>
                <w:sz w:val="24"/>
                <w:u w:val="none"/>
                <w14:textFill>
                  <w14:solidFill>
                    <w14:schemeClr w14:val="tx1"/>
                  </w14:solidFill>
                </w14:textFill>
              </w:rPr>
            </w:pPr>
            <w:r>
              <w:rPr>
                <w:rFonts w:ascii="Times New Roman" w:hAnsi="Times New Roman" w:cs="Times New Roman"/>
                <w:bCs/>
                <w:color w:val="000000" w:themeColor="text1"/>
                <w:sz w:val="24"/>
                <w:u w:val="none"/>
                <w14:textFill>
                  <w14:solidFill>
                    <w14:schemeClr w14:val="tx1"/>
                  </w14:solidFill>
                </w14:textFill>
              </w:rPr>
              <w:t>风电机在运转过程中会产生叶片扫风噪声和机械运转噪声。对动物将造成一定的驱赶作用，其中特别是对鸟类和兽类中的蝙蝠类有较大影响。由于大多数鸟类和兽类对噪声具有较高的敏感性，在该噪声环境条件下，大多数鸟类会选择回避，这将造成动物活动范围的缩减。但动物对长期持续而无害的噪声会产生一定的适应性，随着运行时间的延长，这种影响会逐渐减小甚至消失。</w:t>
            </w:r>
          </w:p>
          <w:p w14:paraId="25F5924B">
            <w:pPr>
              <w:numPr>
                <w:ilvl w:val="0"/>
                <w:numId w:val="0"/>
              </w:numPr>
              <w:ind w:leftChars="0"/>
              <w:rPr>
                <w:b/>
                <w:bCs/>
                <w:color w:val="000000" w:themeColor="text1"/>
                <w:u w:val="none"/>
                <w14:textFill>
                  <w14:solidFill>
                    <w14:schemeClr w14:val="tx1"/>
                  </w14:solidFill>
                </w14:textFill>
              </w:rPr>
            </w:pPr>
            <w:r>
              <w:rPr>
                <w:rFonts w:hint="eastAsia"/>
                <w:b/>
                <w:bCs/>
                <w:color w:val="000000" w:themeColor="text1"/>
                <w:u w:val="none"/>
                <w:lang w:val="en-US" w:eastAsia="zh-CN"/>
                <w14:textFill>
                  <w14:solidFill>
                    <w14:schemeClr w14:val="tx1"/>
                  </w14:solidFill>
                </w14:textFill>
              </w:rPr>
              <w:t>3）</w:t>
            </w:r>
            <w:r>
              <w:rPr>
                <w:b/>
                <w:bCs/>
                <w:color w:val="000000" w:themeColor="text1"/>
                <w:u w:val="none"/>
                <w14:textFill>
                  <w14:solidFill>
                    <w14:schemeClr w14:val="tx1"/>
                  </w14:solidFill>
                </w14:textFill>
              </w:rPr>
              <w:t>集电线路对野生动物的影响</w:t>
            </w:r>
          </w:p>
          <w:p w14:paraId="30D69569">
            <w:pPr>
              <w:adjustRightInd w:val="0"/>
              <w:snapToGrid w:val="0"/>
              <w:spacing w:line="360" w:lineRule="auto"/>
              <w:ind w:firstLine="480" w:firstLineChars="200"/>
              <w:rPr>
                <w:rFonts w:ascii="Times New Roman" w:hAnsi="Times New Roman" w:cs="Times New Roman"/>
                <w:bCs/>
                <w:color w:val="000000" w:themeColor="text1"/>
                <w:sz w:val="24"/>
                <w:u w:val="none"/>
                <w14:textFill>
                  <w14:solidFill>
                    <w14:schemeClr w14:val="tx1"/>
                  </w14:solidFill>
                </w14:textFill>
              </w:rPr>
            </w:pPr>
            <w:r>
              <w:rPr>
                <w:rFonts w:ascii="Times New Roman" w:hAnsi="Times New Roman" w:cs="Times New Roman"/>
                <w:bCs/>
                <w:color w:val="000000" w:themeColor="text1"/>
                <w:sz w:val="24"/>
                <w:u w:val="none"/>
                <w14:textFill>
                  <w14:solidFill>
                    <w14:schemeClr w14:val="tx1"/>
                  </w14:solidFill>
                </w14:textFill>
              </w:rPr>
              <w:t>本工程集电线路采用全部电缆直埋敷设沿道路敷设，新建电缆线路</w:t>
            </w:r>
            <w:r>
              <w:rPr>
                <w:rFonts w:hint="eastAsia" w:cs="Times New Roman"/>
                <w:bCs/>
                <w:color w:val="000000" w:themeColor="text1"/>
                <w:sz w:val="24"/>
                <w:u w:val="none"/>
                <w:lang w:val="en-US" w:eastAsia="zh-CN"/>
                <w14:textFill>
                  <w14:solidFill>
                    <w14:schemeClr w14:val="tx1"/>
                  </w14:solidFill>
                </w14:textFill>
              </w:rPr>
              <w:t>56.1</w:t>
            </w:r>
            <w:r>
              <w:rPr>
                <w:rFonts w:ascii="Times New Roman" w:hAnsi="Times New Roman" w:cs="Times New Roman"/>
                <w:bCs/>
                <w:color w:val="000000" w:themeColor="text1"/>
                <w:sz w:val="24"/>
                <w:u w:val="none"/>
                <w14:textFill>
                  <w14:solidFill>
                    <w14:schemeClr w14:val="tx1"/>
                  </w14:solidFill>
                </w14:textFill>
              </w:rPr>
              <w:t xml:space="preserve"> km。本项目在设计时考虑了防磁、防辐射等要求，直埋电缆开槽底宽0.8 m，深1 m。由于地下电缆外护套和铠装层对工频电场起到了一定的屏蔽作用，电缆周围的工频电场不大，加之土壤和电缆隧道起到的屏蔽作用，地表上的工频电场与建设前当地工频电场的环境背景相当。因此，集电线路基本不会对周边陆生脊椎动物产生影响。</w:t>
            </w:r>
          </w:p>
          <w:p w14:paraId="2D1571F3">
            <w:pPr>
              <w:numPr>
                <w:ilvl w:val="0"/>
                <w:numId w:val="0"/>
              </w:numPr>
              <w:ind w:leftChars="0"/>
              <w:rPr>
                <w:b/>
                <w:bCs/>
                <w:color w:val="000000" w:themeColor="text1"/>
                <w:u w:val="none"/>
                <w14:textFill>
                  <w14:solidFill>
                    <w14:schemeClr w14:val="tx1"/>
                  </w14:solidFill>
                </w14:textFill>
              </w:rPr>
            </w:pPr>
            <w:r>
              <w:rPr>
                <w:rFonts w:hint="eastAsia"/>
                <w:b/>
                <w:bCs/>
                <w:color w:val="000000" w:themeColor="text1"/>
                <w:u w:val="none"/>
                <w:lang w:val="en-US" w:eastAsia="zh-CN"/>
                <w14:textFill>
                  <w14:solidFill>
                    <w14:schemeClr w14:val="tx1"/>
                  </w14:solidFill>
                </w14:textFill>
              </w:rPr>
              <w:t>4）</w:t>
            </w:r>
            <w:r>
              <w:rPr>
                <w:b/>
                <w:bCs/>
                <w:color w:val="000000" w:themeColor="text1"/>
                <w:u w:val="none"/>
                <w14:textFill>
                  <w14:solidFill>
                    <w14:schemeClr w14:val="tx1"/>
                  </w14:solidFill>
                </w14:textFill>
              </w:rPr>
              <w:t>升压站对动物的影响</w:t>
            </w:r>
          </w:p>
          <w:p w14:paraId="3FC91283">
            <w:pPr>
              <w:adjustRightInd w:val="0"/>
              <w:snapToGrid w:val="0"/>
              <w:spacing w:line="360" w:lineRule="auto"/>
              <w:ind w:firstLine="480" w:firstLineChars="200"/>
              <w:rPr>
                <w:rFonts w:ascii="Times New Roman" w:hAnsi="Times New Roman" w:cs="Times New Roman"/>
                <w:color w:val="000000" w:themeColor="text1"/>
                <w:sz w:val="24"/>
                <w:u w:val="none"/>
                <w14:textFill>
                  <w14:solidFill>
                    <w14:schemeClr w14:val="tx1"/>
                  </w14:solidFill>
                </w14:textFill>
              </w:rPr>
            </w:pPr>
            <w:r>
              <w:rPr>
                <w:rFonts w:ascii="Times New Roman" w:hAnsi="Times New Roman" w:cs="Times New Roman"/>
                <w:color w:val="000000" w:themeColor="text1"/>
                <w:sz w:val="24"/>
                <w:u w:val="none"/>
                <w14:textFill>
                  <w14:solidFill>
                    <w14:schemeClr w14:val="tx1"/>
                  </w14:solidFill>
                </w14:textFill>
              </w:rPr>
              <w:t>升压站属于永久占地，运营期对陆生动物的主要影响为生境改变影响、运行噪声影响、工作人员活动影响等。</w:t>
            </w:r>
          </w:p>
          <w:p w14:paraId="58402DF4">
            <w:pPr>
              <w:numPr>
                <w:ilvl w:val="255"/>
                <w:numId w:val="0"/>
              </w:numPr>
              <w:adjustRightInd w:val="0"/>
              <w:snapToGrid w:val="0"/>
              <w:spacing w:line="360" w:lineRule="auto"/>
              <w:ind w:firstLine="480" w:firstLineChars="200"/>
              <w:rPr>
                <w:rFonts w:ascii="Times New Roman" w:hAnsi="Times New Roman" w:cs="Times New Roman"/>
                <w:color w:val="000000" w:themeColor="text1"/>
                <w:sz w:val="24"/>
                <w:u w:val="none"/>
                <w14:textFill>
                  <w14:solidFill>
                    <w14:schemeClr w14:val="tx1"/>
                  </w14:solidFill>
                </w14:textFill>
              </w:rPr>
            </w:pPr>
            <w:r>
              <w:rPr>
                <w:rFonts w:ascii="Times New Roman" w:hAnsi="Times New Roman" w:cs="Times New Roman"/>
                <w:color w:val="000000" w:themeColor="text1"/>
                <w:sz w:val="24"/>
                <w:u w:val="none"/>
                <w14:textFill>
                  <w14:solidFill>
                    <w14:schemeClr w14:val="tx1"/>
                  </w14:solidFill>
                </w14:textFill>
              </w:rPr>
              <w:t>1）生境改变影响：升压站生境变化将降低该区域内动物种群密度，但不会造成物种消失。但由于施工期该影响已经存在，且升压站的占地面积小。此外，施工结束后，随着水保措施的实施，区域植被得到恢复，也可降低生境改变对动物的影响。因此，生境改变对动物的影响有限。</w:t>
            </w:r>
          </w:p>
          <w:p w14:paraId="0DBFA227">
            <w:pPr>
              <w:numPr>
                <w:ilvl w:val="255"/>
                <w:numId w:val="0"/>
              </w:numPr>
              <w:adjustRightInd w:val="0"/>
              <w:snapToGrid w:val="0"/>
              <w:spacing w:line="360" w:lineRule="auto"/>
              <w:ind w:firstLine="480" w:firstLineChars="200"/>
              <w:rPr>
                <w:rFonts w:ascii="Times New Roman" w:hAnsi="Times New Roman" w:cs="Times New Roman"/>
                <w:color w:val="000000" w:themeColor="text1"/>
                <w:sz w:val="24"/>
                <w:u w:val="none"/>
                <w14:textFill>
                  <w14:solidFill>
                    <w14:schemeClr w14:val="tx1"/>
                  </w14:solidFill>
                </w14:textFill>
              </w:rPr>
            </w:pPr>
            <w:r>
              <w:rPr>
                <w:rFonts w:ascii="Times New Roman" w:hAnsi="Times New Roman" w:cs="Times New Roman"/>
                <w:color w:val="000000" w:themeColor="text1"/>
                <w:sz w:val="24"/>
                <w:u w:val="none"/>
                <w14:textFill>
                  <w14:solidFill>
                    <w14:schemeClr w14:val="tx1"/>
                  </w14:solidFill>
                </w14:textFill>
              </w:rPr>
              <w:t>2）运营期噪声影响：升压站运营期间的噪声主要来自主变、电抗器和室外配电装置等电器设备所产生的电磁噪声。根据类比工程，升压站厂界噪声满足《工业企业厂界环境噪声排放标准》（GB12348-2008）中的2类标准。因此，升压站噪声对区域动物的影响较小。</w:t>
            </w:r>
          </w:p>
          <w:p w14:paraId="4ED909E4">
            <w:pPr>
              <w:adjustRightInd w:val="0"/>
              <w:snapToGrid w:val="0"/>
              <w:spacing w:line="360" w:lineRule="auto"/>
              <w:ind w:firstLine="480" w:firstLineChars="200"/>
              <w:rPr>
                <w:rFonts w:ascii="Times New Roman" w:hAnsi="Times New Roman" w:cs="Times New Roman"/>
                <w:bCs/>
                <w:color w:val="000000" w:themeColor="text1"/>
                <w:sz w:val="24"/>
                <w:u w:val="none"/>
                <w14:textFill>
                  <w14:solidFill>
                    <w14:schemeClr w14:val="tx1"/>
                  </w14:solidFill>
                </w14:textFill>
              </w:rPr>
            </w:pPr>
            <w:r>
              <w:rPr>
                <w:rFonts w:ascii="Times New Roman" w:hAnsi="Times New Roman" w:cs="Times New Roman"/>
                <w:color w:val="000000" w:themeColor="text1"/>
                <w:sz w:val="24"/>
                <w:u w:val="none"/>
                <w14:textFill>
                  <w14:solidFill>
                    <w14:schemeClr w14:val="tx1"/>
                  </w14:solidFill>
                </w14:textFill>
              </w:rPr>
              <w:t>3）工作人员活动影响：</w:t>
            </w:r>
            <w:r>
              <w:rPr>
                <w:rFonts w:ascii="Times New Roman" w:hAnsi="Times New Roman" w:cs="Times New Roman"/>
                <w:bCs/>
                <w:color w:val="000000" w:themeColor="text1"/>
                <w:sz w:val="24"/>
                <w:u w:val="none"/>
                <w14:textFill>
                  <w14:solidFill>
                    <w14:schemeClr w14:val="tx1"/>
                  </w14:solidFill>
                </w14:textFill>
              </w:rPr>
              <w:t>运营期升压站中设置有办公生活区，若不采取合理措施，运营期工作人员正常生产生活产生的生活垃圾及生活污水将污染升压站周围动物生境，使得动物远离该地区，亦或引来大量啮齿类动物的到来，而恶化该区域的生态平衡，但由于工作人员数量不多，这种影响较小，且可以通过合理的保护措施加以消减或避免。</w:t>
            </w:r>
          </w:p>
          <w:p w14:paraId="3DD804D9">
            <w:pPr>
              <w:numPr>
                <w:ilvl w:val="0"/>
                <w:numId w:val="0"/>
              </w:numPr>
              <w:ind w:leftChars="0"/>
              <w:rPr>
                <w:b/>
                <w:bCs/>
                <w:color w:val="000000" w:themeColor="text1"/>
                <w:u w:val="none"/>
                <w14:textFill>
                  <w14:solidFill>
                    <w14:schemeClr w14:val="tx1"/>
                  </w14:solidFill>
                </w14:textFill>
              </w:rPr>
            </w:pPr>
            <w:r>
              <w:rPr>
                <w:rFonts w:hint="eastAsia"/>
                <w:b/>
                <w:bCs/>
                <w:color w:val="000000" w:themeColor="text1"/>
                <w:u w:val="none"/>
                <w:lang w:val="en-US" w:eastAsia="zh-CN"/>
                <w14:textFill>
                  <w14:solidFill>
                    <w14:schemeClr w14:val="tx1"/>
                  </w14:solidFill>
                </w14:textFill>
              </w:rPr>
              <w:t>5）</w:t>
            </w:r>
            <w:r>
              <w:rPr>
                <w:b/>
                <w:bCs/>
                <w:color w:val="000000" w:themeColor="text1"/>
                <w:u w:val="none"/>
                <w14:textFill>
                  <w14:solidFill>
                    <w14:schemeClr w14:val="tx1"/>
                  </w14:solidFill>
                </w14:textFill>
              </w:rPr>
              <w:t>检修道路对动物的影响</w:t>
            </w:r>
          </w:p>
          <w:p w14:paraId="2C124E0E">
            <w:pPr>
              <w:adjustRightInd w:val="0"/>
              <w:snapToGrid w:val="0"/>
              <w:spacing w:line="360" w:lineRule="auto"/>
              <w:ind w:firstLine="480" w:firstLineChars="200"/>
              <w:rPr>
                <w:rFonts w:ascii="Times New Roman" w:hAnsi="Times New Roman" w:cs="Times New Roman"/>
                <w:bCs/>
                <w:color w:val="000000" w:themeColor="text1"/>
                <w:sz w:val="24"/>
                <w:u w:val="none"/>
                <w14:textFill>
                  <w14:solidFill>
                    <w14:schemeClr w14:val="tx1"/>
                  </w14:solidFill>
                </w14:textFill>
              </w:rPr>
            </w:pPr>
            <w:bookmarkStart w:id="148" w:name="_Toc119425318"/>
            <w:r>
              <w:rPr>
                <w:rFonts w:ascii="Times New Roman" w:hAnsi="Times New Roman" w:cs="Times New Roman"/>
                <w:bCs/>
                <w:color w:val="000000" w:themeColor="text1"/>
                <w:sz w:val="24"/>
                <w:u w:val="none"/>
                <w14:textFill>
                  <w14:solidFill>
                    <w14:schemeClr w14:val="tx1"/>
                  </w14:solidFill>
                </w14:textFill>
              </w:rPr>
              <w:t>风电场运营后，检修道路对评价区内动物的影响主要在于栖息地的破碎使动物的活动范围受到限制，和提高动物在新建道路上穿行的死亡概率，但这种影响主要是对迁移能力较差的动物如两栖类、爬行类，对鸟类和哺乳类影响不大。考虑到运营期施工道路主要为检修功能，路面为山皮石路面，道路上车流量较小。因此，检修</w:t>
            </w:r>
            <w:r>
              <w:rPr>
                <w:rFonts w:ascii="Times New Roman" w:hAnsi="Times New Roman" w:cs="Times New Roman"/>
                <w:color w:val="000000" w:themeColor="text1"/>
                <w:sz w:val="24"/>
                <w:u w:val="none"/>
                <w14:textFill>
                  <w14:solidFill>
                    <w14:schemeClr w14:val="tx1"/>
                  </w14:solidFill>
                </w14:textFill>
              </w:rPr>
              <w:t>道路对动物影响较小，导致动物穿行死亡的频率较小</w:t>
            </w:r>
            <w:r>
              <w:rPr>
                <w:rFonts w:ascii="Times New Roman" w:hAnsi="Times New Roman" w:cs="Times New Roman"/>
                <w:bCs/>
                <w:color w:val="000000" w:themeColor="text1"/>
                <w:sz w:val="24"/>
                <w:u w:val="none"/>
                <w14:textFill>
                  <w14:solidFill>
                    <w14:schemeClr w14:val="tx1"/>
                  </w14:solidFill>
                </w14:textFill>
              </w:rPr>
              <w:t>。</w:t>
            </w:r>
          </w:p>
          <w:p w14:paraId="428DA77F">
            <w:pPr>
              <w:pStyle w:val="3"/>
              <w:rPr>
                <w:rFonts w:cs="Times New Roman"/>
                <w:color w:val="000000" w:themeColor="text1"/>
                <w:u w:val="none"/>
                <w14:textFill>
                  <w14:solidFill>
                    <w14:schemeClr w14:val="tx1"/>
                  </w14:solidFill>
                </w14:textFill>
              </w:rPr>
            </w:pPr>
            <w:r>
              <w:rPr>
                <w:rFonts w:cs="Times New Roman"/>
                <w:color w:val="000000" w:themeColor="text1"/>
                <w:u w:val="none"/>
                <w14:textFill>
                  <w14:solidFill>
                    <w14:schemeClr w14:val="tx1"/>
                  </w14:solidFill>
                </w14:textFill>
              </w:rPr>
              <w:t>对景观生态体系完整性的影响</w:t>
            </w:r>
            <w:bookmarkEnd w:id="148"/>
          </w:p>
          <w:p w14:paraId="54EAE2EB">
            <w:pPr>
              <w:pStyle w:val="4"/>
              <w:spacing w:line="360" w:lineRule="auto"/>
              <w:rPr>
                <w:color w:val="000000" w:themeColor="text1"/>
                <w:u w:val="none"/>
                <w14:textFill>
                  <w14:solidFill>
                    <w14:schemeClr w14:val="tx1"/>
                  </w14:solidFill>
                </w14:textFill>
              </w:rPr>
            </w:pPr>
            <w:bookmarkStart w:id="149" w:name="_Toc11301"/>
            <w:bookmarkStart w:id="150" w:name="_Toc26971_WPSOffice_Level3"/>
            <w:bookmarkStart w:id="151" w:name="_Toc119425319"/>
            <w:r>
              <w:rPr>
                <w:color w:val="000000" w:themeColor="text1"/>
                <w:u w:val="none"/>
                <w14:textFill>
                  <w14:solidFill>
                    <w14:schemeClr w14:val="tx1"/>
                  </w14:solidFill>
                </w14:textFill>
              </w:rPr>
              <w:t>土地利用变化</w:t>
            </w:r>
            <w:bookmarkEnd w:id="149"/>
            <w:bookmarkEnd w:id="150"/>
            <w:bookmarkEnd w:id="151"/>
          </w:p>
          <w:p w14:paraId="76699231">
            <w:pPr>
              <w:pStyle w:val="89"/>
              <w:spacing w:line="360" w:lineRule="auto"/>
              <w:ind w:firstLine="480" w:firstLineChars="200"/>
              <w:jc w:val="both"/>
              <w:rPr>
                <w:rFonts w:ascii="Times New Roman" w:hAnsi="Times New Roman" w:eastAsia="宋体" w:cs="Times New Roman"/>
                <w:b w:val="0"/>
                <w:bCs/>
                <w:color w:val="000000" w:themeColor="text1"/>
                <w:kern w:val="2"/>
                <w:sz w:val="24"/>
                <w:szCs w:val="24"/>
                <w:u w:val="none"/>
                <w:lang w:val="en-US" w:eastAsia="zh-CN" w:bidi="ar-SA"/>
                <w14:textFill>
                  <w14:solidFill>
                    <w14:schemeClr w14:val="tx1"/>
                  </w14:solidFill>
                </w14:textFill>
              </w:rPr>
            </w:pPr>
            <w:r>
              <w:rPr>
                <w:rFonts w:ascii="Times New Roman" w:hAnsi="Times New Roman" w:eastAsia="宋体" w:cs="Times New Roman"/>
                <w:b w:val="0"/>
                <w:bCs/>
                <w:color w:val="000000" w:themeColor="text1"/>
                <w:kern w:val="2"/>
                <w:sz w:val="24"/>
                <w:szCs w:val="24"/>
                <w:u w:val="none"/>
                <w:lang w:val="en-US" w:eastAsia="zh-CN" w:bidi="ar-SA"/>
                <w14:textFill>
                  <w14:solidFill>
                    <w14:schemeClr w14:val="tx1"/>
                  </w14:solidFill>
                </w14:textFill>
              </w:rPr>
              <w:t>根据本工程的水保方案，占地类型主要为林地、草地及其他用地。永久占地面积为</w:t>
            </w:r>
            <w:r>
              <w:rPr>
                <w:rFonts w:hint="eastAsia" w:cs="Times New Roman"/>
                <w:b w:val="0"/>
                <w:bCs/>
                <w:color w:val="000000" w:themeColor="text1"/>
                <w:kern w:val="2"/>
                <w:sz w:val="24"/>
                <w:szCs w:val="24"/>
                <w:u w:val="none"/>
                <w:lang w:val="en-US" w:eastAsia="zh-CN" w:bidi="ar-SA"/>
                <w14:textFill>
                  <w14:solidFill>
                    <w14:schemeClr w14:val="tx1"/>
                  </w14:solidFill>
                </w14:textFill>
              </w:rPr>
              <w:t>1.61</w:t>
            </w:r>
            <w:r>
              <w:rPr>
                <w:rFonts w:ascii="Times New Roman" w:hAnsi="Times New Roman" w:eastAsia="宋体" w:cs="Times New Roman"/>
                <w:b w:val="0"/>
                <w:bCs/>
                <w:color w:val="000000" w:themeColor="text1"/>
                <w:kern w:val="2"/>
                <w:sz w:val="24"/>
                <w:szCs w:val="24"/>
                <w:u w:val="none"/>
                <w:lang w:val="en-US" w:eastAsia="zh-CN" w:bidi="ar-SA"/>
                <w14:textFill>
                  <w14:solidFill>
                    <w14:schemeClr w14:val="tx1"/>
                  </w14:solidFill>
                </w14:textFill>
              </w:rPr>
              <w:t>hm</w:t>
            </w:r>
            <w:r>
              <w:rPr>
                <w:rFonts w:ascii="Times New Roman" w:hAnsi="Times New Roman" w:eastAsia="宋体" w:cs="Times New Roman"/>
                <w:b w:val="0"/>
                <w:bCs/>
                <w:color w:val="000000" w:themeColor="text1"/>
                <w:kern w:val="2"/>
                <w:sz w:val="24"/>
                <w:szCs w:val="24"/>
                <w:u w:val="none"/>
                <w:vertAlign w:val="superscript"/>
                <w:lang w:val="en-US" w:eastAsia="zh-CN" w:bidi="ar-SA"/>
                <w14:textFill>
                  <w14:solidFill>
                    <w14:schemeClr w14:val="tx1"/>
                  </w14:solidFill>
                </w14:textFill>
              </w:rPr>
              <w:t>2</w:t>
            </w:r>
            <w:r>
              <w:rPr>
                <w:rFonts w:ascii="Times New Roman" w:hAnsi="Times New Roman" w:eastAsia="宋体" w:cs="Times New Roman"/>
                <w:b w:val="0"/>
                <w:bCs/>
                <w:color w:val="000000" w:themeColor="text1"/>
                <w:kern w:val="2"/>
                <w:sz w:val="24"/>
                <w:szCs w:val="24"/>
                <w:u w:val="none"/>
                <w:lang w:val="en-US" w:eastAsia="zh-CN" w:bidi="ar-SA"/>
                <w14:textFill>
                  <w14:solidFill>
                    <w14:schemeClr w14:val="tx1"/>
                  </w14:solidFill>
                </w14:textFill>
              </w:rPr>
              <w:t>，会改变原有土地利用性质，对土地利用的影响是不可逆的。</w:t>
            </w:r>
          </w:p>
          <w:p w14:paraId="196E3FF1">
            <w:pPr>
              <w:pStyle w:val="4"/>
              <w:spacing w:line="360" w:lineRule="auto"/>
              <w:rPr>
                <w:color w:val="000000" w:themeColor="text1"/>
                <w:u w:val="none"/>
                <w14:textFill>
                  <w14:solidFill>
                    <w14:schemeClr w14:val="tx1"/>
                  </w14:solidFill>
                </w14:textFill>
              </w:rPr>
            </w:pPr>
            <w:bookmarkStart w:id="152" w:name="_Toc21601_WPSOffice_Level3"/>
            <w:bookmarkStart w:id="153" w:name="_Toc9686"/>
            <w:bookmarkStart w:id="154" w:name="_Toc470013459"/>
            <w:bookmarkStart w:id="155" w:name="_Toc119425320"/>
            <w:r>
              <w:rPr>
                <w:color w:val="000000" w:themeColor="text1"/>
                <w:u w:val="none"/>
                <w14:textFill>
                  <w14:solidFill>
                    <w14:schemeClr w14:val="tx1"/>
                  </w14:solidFill>
                </w14:textFill>
              </w:rPr>
              <w:t>自然体系生物量的变化</w:t>
            </w:r>
            <w:bookmarkEnd w:id="152"/>
            <w:bookmarkEnd w:id="153"/>
            <w:bookmarkEnd w:id="154"/>
            <w:bookmarkEnd w:id="155"/>
          </w:p>
          <w:p w14:paraId="41464D19">
            <w:pPr>
              <w:adjustRightInd w:val="0"/>
              <w:snapToGrid w:val="0"/>
              <w:spacing w:line="360" w:lineRule="auto"/>
              <w:ind w:firstLine="480" w:firstLineChars="200"/>
              <w:rPr>
                <w:rFonts w:ascii="Times New Roman" w:hAnsi="Times New Roman" w:cs="Times New Roman"/>
                <w:color w:val="000000" w:themeColor="text1"/>
                <w:sz w:val="24"/>
                <w:u w:val="none"/>
                <w14:textFill>
                  <w14:solidFill>
                    <w14:schemeClr w14:val="tx1"/>
                  </w14:solidFill>
                </w14:textFill>
              </w:rPr>
            </w:pPr>
            <w:r>
              <w:rPr>
                <w:rFonts w:ascii="Times New Roman" w:hAnsi="Times New Roman" w:cs="Times New Roman"/>
                <w:color w:val="000000" w:themeColor="text1"/>
                <w:sz w:val="24"/>
                <w:u w:val="none"/>
                <w14:textFill>
                  <w14:solidFill>
                    <w14:schemeClr w14:val="tx1"/>
                  </w14:solidFill>
                </w14:textFill>
              </w:rPr>
              <w:t>工程建设对评价区植被生物量的影响是由</w:t>
            </w:r>
            <w:r>
              <w:rPr>
                <w:rFonts w:ascii="Times New Roman" w:hAnsi="Times New Roman" w:cs="Times New Roman"/>
                <w:bCs/>
                <w:color w:val="000000" w:themeColor="text1"/>
                <w:sz w:val="24"/>
                <w:u w:val="none"/>
                <w14:textFill>
                  <w14:solidFill>
                    <w14:schemeClr w14:val="tx1"/>
                  </w14:solidFill>
                </w14:textFill>
              </w:rPr>
              <w:t>工程占地引起的，工程建设占地包括永久占地和临时占地，永久占地区植被占用后的生物量损失是永久损失，临时占地区在区域内工程建设完成后尽快进行植被恢复，缓解生物量的损失，并逐渐恢复。评价区在项目建设时永久占地（风电机组区和升压站区）面积共</w:t>
            </w:r>
            <w:r>
              <w:rPr>
                <w:rFonts w:hint="eastAsia" w:cs="Times New Roman"/>
                <w:bCs/>
                <w:color w:val="000000" w:themeColor="text1"/>
                <w:sz w:val="24"/>
                <w:u w:val="none"/>
                <w:lang w:val="en-US" w:eastAsia="zh-CN"/>
                <w14:textFill>
                  <w14:solidFill>
                    <w14:schemeClr w14:val="tx1"/>
                  </w14:solidFill>
                </w14:textFill>
              </w:rPr>
              <w:t>1.61</w:t>
            </w:r>
            <w:r>
              <w:rPr>
                <w:rFonts w:ascii="Times New Roman" w:hAnsi="Times New Roman" w:cs="Times New Roman"/>
                <w:bCs/>
                <w:color w:val="000000" w:themeColor="text1"/>
                <w:sz w:val="24"/>
                <w:u w:val="none"/>
                <w14:textFill>
                  <w14:solidFill>
                    <w14:schemeClr w14:val="tx1"/>
                  </w14:solidFill>
                </w14:textFill>
              </w:rPr>
              <w:t>hm</w:t>
            </w:r>
            <w:r>
              <w:rPr>
                <w:rFonts w:ascii="Times New Roman" w:hAnsi="Times New Roman" w:cs="Times New Roman"/>
                <w:bCs/>
                <w:color w:val="000000" w:themeColor="text1"/>
                <w:sz w:val="24"/>
                <w:u w:val="none"/>
                <w:vertAlign w:val="superscript"/>
                <w14:textFill>
                  <w14:solidFill>
                    <w14:schemeClr w14:val="tx1"/>
                  </w14:solidFill>
                </w14:textFill>
              </w:rPr>
              <w:t>2</w:t>
            </w:r>
            <w:r>
              <w:rPr>
                <w:rFonts w:ascii="Times New Roman" w:hAnsi="Times New Roman" w:cs="Times New Roman"/>
                <w:bCs/>
                <w:color w:val="000000" w:themeColor="text1"/>
                <w:sz w:val="24"/>
                <w:u w:val="none"/>
                <w14:textFill>
                  <w14:solidFill>
                    <w14:schemeClr w14:val="tx1"/>
                  </w14:solidFill>
                </w14:textFill>
              </w:rPr>
              <w:t>，占地区土地类型为林地、草地及其他用地</w:t>
            </w:r>
            <w:r>
              <w:rPr>
                <w:rFonts w:ascii="Times New Roman" w:hAnsi="Times New Roman" w:cs="Times New Roman"/>
                <w:color w:val="000000" w:themeColor="text1"/>
                <w:sz w:val="24"/>
                <w:u w:val="none"/>
                <w14:textFill>
                  <w14:solidFill>
                    <w14:schemeClr w14:val="tx1"/>
                  </w14:solidFill>
                </w14:textFill>
              </w:rPr>
              <w:t>。</w:t>
            </w:r>
          </w:p>
          <w:p w14:paraId="5DD12C37">
            <w:pPr>
              <w:adjustRightInd w:val="0"/>
              <w:snapToGrid w:val="0"/>
              <w:spacing w:line="360" w:lineRule="auto"/>
              <w:ind w:firstLine="480" w:firstLineChars="200"/>
              <w:rPr>
                <w:rFonts w:ascii="Times New Roman" w:hAnsi="Times New Roman" w:cs="Times New Roman"/>
                <w:bCs/>
                <w:color w:val="000000" w:themeColor="text1"/>
                <w:sz w:val="24"/>
                <w:u w:val="none"/>
                <w14:textFill>
                  <w14:solidFill>
                    <w14:schemeClr w14:val="tx1"/>
                  </w14:solidFill>
                </w14:textFill>
              </w:rPr>
            </w:pPr>
            <w:r>
              <w:rPr>
                <w:rFonts w:hint="eastAsia" w:ascii="Times New Roman" w:hAnsi="Times New Roman" w:cs="Times New Roman"/>
                <w:bCs/>
                <w:color w:val="000000" w:themeColor="text1"/>
                <w:sz w:val="24"/>
                <w:u w:val="none"/>
                <w14:textFill>
                  <w14:solidFill>
                    <w14:schemeClr w14:val="tx1"/>
                  </w14:solidFill>
                </w14:textFill>
              </w:rPr>
              <w:t>项目建设后，项目建设后评价区植被总生物量会有所减少，其影响程度较小，是评价区生态系统能够承受的。</w:t>
            </w:r>
          </w:p>
          <w:p w14:paraId="3EEB1F1E">
            <w:pPr>
              <w:pStyle w:val="4"/>
              <w:spacing w:line="360" w:lineRule="auto"/>
              <w:rPr>
                <w:color w:val="000000" w:themeColor="text1"/>
                <w:u w:val="none"/>
                <w14:textFill>
                  <w14:solidFill>
                    <w14:schemeClr w14:val="tx1"/>
                  </w14:solidFill>
                </w14:textFill>
              </w:rPr>
            </w:pPr>
            <w:bookmarkStart w:id="156" w:name="_Toc2335_WPSOffice_Level3"/>
            <w:bookmarkStart w:id="157" w:name="_Toc28366"/>
            <w:bookmarkStart w:id="158" w:name="_Toc119425321"/>
            <w:r>
              <w:rPr>
                <w:color w:val="000000" w:themeColor="text1"/>
                <w:u w:val="none"/>
                <w14:textFill>
                  <w14:solidFill>
                    <w14:schemeClr w14:val="tx1"/>
                  </w14:solidFill>
                </w14:textFill>
              </w:rPr>
              <w:t>景观生态体系质量综合评价</w:t>
            </w:r>
            <w:bookmarkEnd w:id="156"/>
            <w:bookmarkEnd w:id="157"/>
            <w:bookmarkEnd w:id="158"/>
          </w:p>
          <w:p w14:paraId="1D4A8D37">
            <w:pPr>
              <w:adjustRightInd w:val="0"/>
              <w:snapToGrid w:val="0"/>
              <w:spacing w:line="360" w:lineRule="auto"/>
              <w:ind w:firstLine="480" w:firstLineChars="200"/>
              <w:rPr>
                <w:rFonts w:ascii="Times New Roman" w:hAnsi="Times New Roman" w:cs="Times New Roman"/>
                <w:bCs/>
                <w:color w:val="000000" w:themeColor="text1"/>
                <w:sz w:val="24"/>
                <w:u w:val="none"/>
                <w14:textFill>
                  <w14:solidFill>
                    <w14:schemeClr w14:val="tx1"/>
                  </w14:solidFill>
                </w14:textFill>
              </w:rPr>
            </w:pPr>
            <w:r>
              <w:rPr>
                <w:rFonts w:ascii="Times New Roman" w:hAnsi="Times New Roman" w:cs="Times New Roman"/>
                <w:bCs/>
                <w:color w:val="000000" w:themeColor="text1"/>
                <w:sz w:val="24"/>
                <w:u w:val="none"/>
                <w14:textFill>
                  <w14:solidFill>
                    <w14:schemeClr w14:val="tx1"/>
                  </w14:solidFill>
                </w14:textFill>
              </w:rPr>
              <w:t>工程建设前后有一定变化，评价区各景观斑块的密度（Rd）、频率（Rf）、景观比例（Lp）及优势度（Do）均会有一定的变化，但变化范围较小</w:t>
            </w:r>
            <w:r>
              <w:rPr>
                <w:rFonts w:hint="eastAsia" w:ascii="Times New Roman" w:hAnsi="Times New Roman" w:cs="Times New Roman"/>
                <w:bCs/>
                <w:color w:val="000000" w:themeColor="text1"/>
                <w:sz w:val="24"/>
                <w:u w:val="none"/>
                <w:lang w:eastAsia="zh-CN"/>
                <w14:textFill>
                  <w14:solidFill>
                    <w14:schemeClr w14:val="tx1"/>
                  </w14:solidFill>
                </w14:textFill>
              </w:rPr>
              <w:t>。</w:t>
            </w:r>
            <w:r>
              <w:rPr>
                <w:rFonts w:ascii="Times New Roman" w:hAnsi="Times New Roman" w:cs="Times New Roman"/>
                <w:bCs/>
                <w:color w:val="000000" w:themeColor="text1"/>
                <w:sz w:val="24"/>
                <w:u w:val="none"/>
                <w14:textFill>
                  <w14:solidFill>
                    <w14:schemeClr w14:val="tx1"/>
                  </w14:solidFill>
                </w14:textFill>
              </w:rPr>
              <w:t>工程建设后，评价区内林地、草地、耕地及湿地的景观优势度有所降低，但下降的幅度较小，这是由于工程永久占地，造成景观斑块数量和面积变化导致。建设用地及其他用地的优势度明显增加，由于风机、升压站等永久占地的建筑物建成，使评价区内建设用地优势度增加。工程实施后林地、耕地的优势度值仍为较高最高，表明本工程的实施后对评价区自然体系景观质量没有重大影响。</w:t>
            </w:r>
          </w:p>
          <w:p w14:paraId="5ACC344E">
            <w:pPr>
              <w:pStyle w:val="3"/>
              <w:rPr>
                <w:rFonts w:cs="Times New Roman"/>
                <w:color w:val="000000" w:themeColor="text1"/>
                <w:u w:val="none"/>
                <w14:textFill>
                  <w14:solidFill>
                    <w14:schemeClr w14:val="tx1"/>
                  </w14:solidFill>
                </w14:textFill>
              </w:rPr>
            </w:pPr>
            <w:bookmarkStart w:id="159" w:name="_Toc365557078"/>
            <w:bookmarkStart w:id="160" w:name="_Toc119425322"/>
            <w:bookmarkStart w:id="161" w:name="_Toc488065008"/>
            <w:r>
              <w:rPr>
                <w:rFonts w:cs="Times New Roman"/>
                <w:color w:val="000000" w:themeColor="text1"/>
                <w:u w:val="none"/>
                <w14:textFill>
                  <w14:solidFill>
                    <w14:schemeClr w14:val="tx1"/>
                  </w14:solidFill>
                </w14:textFill>
              </w:rPr>
              <w:t>生态完整性综合影响分析</w:t>
            </w:r>
            <w:bookmarkEnd w:id="159"/>
            <w:bookmarkEnd w:id="160"/>
            <w:bookmarkEnd w:id="161"/>
          </w:p>
          <w:p w14:paraId="028AA06D">
            <w:pPr>
              <w:ind w:firstLine="480"/>
              <w:rPr>
                <w:rFonts w:hint="eastAsia" w:eastAsia="宋体"/>
                <w:bCs/>
                <w:color w:val="000000" w:themeColor="text1"/>
                <w:u w:val="none"/>
                <w:lang w:eastAsia="zh-CN"/>
                <w14:textFill>
                  <w14:solidFill>
                    <w14:schemeClr w14:val="tx1"/>
                  </w14:solidFill>
                </w14:textFill>
              </w:rPr>
            </w:pPr>
            <w:r>
              <w:rPr>
                <w:rFonts w:ascii="Times New Roman" w:hAnsi="Times New Roman" w:cs="Times New Roman"/>
                <w:bCs/>
                <w:color w:val="000000" w:themeColor="text1"/>
                <w:sz w:val="24"/>
                <w:u w:val="none"/>
                <w14:textFill>
                  <w14:solidFill>
                    <w14:schemeClr w14:val="tx1"/>
                  </w14:solidFill>
                </w14:textFill>
              </w:rPr>
              <w:t>工程建设所造成的区域土地利用格局变化，将对区域自然体系产生一定影响，通过工程涉及区域自然生态系统体系的自我调节，以及施工完成后对临时占地区及工程区周边进行植被恢复和绿化，在工程运行一段时间后，工程影响区自然体系的性质和功能将得到一定的恢复。另外，在工程建设过程中应注意生态系统的保护，使受到影响的生态系统的自然生产力尽快得到恢复。综上所述，工程建设对评价区生态完整性的综合影响较小</w:t>
            </w:r>
            <w:r>
              <w:rPr>
                <w:rFonts w:hint="eastAsia" w:ascii="Times New Roman" w:hAnsi="Times New Roman" w:cs="Times New Roman"/>
                <w:bCs/>
                <w:color w:val="000000" w:themeColor="text1"/>
                <w:sz w:val="24"/>
                <w:u w:val="none"/>
                <w:lang w:eastAsia="zh-CN"/>
                <w14:textFill>
                  <w14:solidFill>
                    <w14:schemeClr w14:val="tx1"/>
                  </w14:solidFill>
                </w14:textFill>
              </w:rPr>
              <w:t>。</w:t>
            </w:r>
          </w:p>
          <w:bookmarkEnd w:id="147"/>
          <w:p w14:paraId="16FB6CC9">
            <w:pPr>
              <w:pStyle w:val="3"/>
              <w:numPr>
                <w:ilvl w:val="0"/>
                <w:numId w:val="0"/>
              </w:numPr>
              <w:tabs>
                <w:tab w:val="left" w:pos="425"/>
                <w:tab w:val="clear" w:pos="420"/>
              </w:tabs>
              <w:rPr>
                <w:rFonts w:cs="Times New Roman"/>
                <w:color w:val="000000" w:themeColor="text1"/>
                <w:szCs w:val="21"/>
                <w:u w:val="none"/>
                <w14:textFill>
                  <w14:solidFill>
                    <w14:schemeClr w14:val="tx1"/>
                  </w14:solidFill>
                </w14:textFill>
              </w:rPr>
            </w:pPr>
            <w:bookmarkStart w:id="162" w:name="_Toc21578"/>
            <w:bookmarkStart w:id="163" w:name="_Toc426"/>
            <w:r>
              <w:rPr>
                <w:rFonts w:cs="Times New Roman"/>
                <w:color w:val="000000" w:themeColor="text1"/>
                <w:szCs w:val="21"/>
                <w:u w:val="none"/>
                <w14:textFill>
                  <w14:solidFill>
                    <w14:schemeClr w14:val="tx1"/>
                  </w14:solidFill>
                </w14:textFill>
              </w:rPr>
              <w:t>4.9 运营期声环境影响分析</w:t>
            </w:r>
            <w:bookmarkEnd w:id="162"/>
            <w:bookmarkEnd w:id="163"/>
          </w:p>
          <w:p w14:paraId="2136ADE2">
            <w:pPr>
              <w:ind w:firstLine="480" w:firstLineChars="200"/>
              <w:rPr>
                <w:color w:val="000000" w:themeColor="text1"/>
                <w:szCs w:val="21"/>
                <w:u w:val="none"/>
                <w14:textFill>
                  <w14:solidFill>
                    <w14:schemeClr w14:val="tx1"/>
                  </w14:solidFill>
                </w14:textFill>
              </w:rPr>
            </w:pPr>
            <w:r>
              <w:rPr>
                <w:color w:val="000000" w:themeColor="text1"/>
                <w:szCs w:val="21"/>
                <w:u w:val="none"/>
                <w14:textFill>
                  <w14:solidFill>
                    <w14:schemeClr w14:val="tx1"/>
                  </w14:solidFill>
                </w14:textFill>
              </w:rPr>
              <w:t>风电场营运期噪声主要是风机噪声和升压站低频噪声。</w:t>
            </w:r>
          </w:p>
          <w:p w14:paraId="10742D8B">
            <w:pPr>
              <w:pStyle w:val="4"/>
              <w:tabs>
                <w:tab w:val="left" w:pos="425"/>
              </w:tabs>
              <w:rPr>
                <w:color w:val="000000" w:themeColor="text1"/>
                <w:szCs w:val="24"/>
                <w:u w:val="none"/>
                <w14:textFill>
                  <w14:solidFill>
                    <w14:schemeClr w14:val="tx1"/>
                  </w14:solidFill>
                </w14:textFill>
              </w:rPr>
            </w:pPr>
            <w:bookmarkStart w:id="164" w:name="_Toc6366"/>
            <w:r>
              <w:rPr>
                <w:color w:val="000000" w:themeColor="text1"/>
                <w:szCs w:val="24"/>
                <w:u w:val="none"/>
                <w14:textFill>
                  <w14:solidFill>
                    <w14:schemeClr w14:val="tx1"/>
                  </w14:solidFill>
                </w14:textFill>
              </w:rPr>
              <w:t>4.9.1 风机噪声影响分析</w:t>
            </w:r>
            <w:bookmarkEnd w:id="164"/>
          </w:p>
          <w:p w14:paraId="67932872">
            <w:pPr>
              <w:ind w:firstLine="422"/>
              <w:rPr>
                <w:b/>
                <w:color w:val="000000" w:themeColor="text1"/>
                <w:szCs w:val="21"/>
                <w:u w:val="wave"/>
                <w14:textFill>
                  <w14:solidFill>
                    <w14:schemeClr w14:val="tx1"/>
                  </w14:solidFill>
                </w14:textFill>
              </w:rPr>
            </w:pPr>
            <w:r>
              <w:rPr>
                <w:b/>
                <w:color w:val="000000" w:themeColor="text1"/>
                <w:szCs w:val="21"/>
                <w:u w:val="wave"/>
                <w14:textFill>
                  <w14:solidFill>
                    <w14:schemeClr w14:val="tx1"/>
                  </w14:solidFill>
                </w14:textFill>
              </w:rPr>
              <w:t>（1）风机噪声源强</w:t>
            </w:r>
          </w:p>
          <w:p w14:paraId="7A600A93">
            <w:pPr>
              <w:ind w:firstLine="422"/>
              <w:rPr>
                <w:rFonts w:hint="eastAsia"/>
                <w:color w:val="000000" w:themeColor="text1"/>
                <w:szCs w:val="21"/>
                <w:u w:val="wave"/>
                <w14:textFill>
                  <w14:solidFill>
                    <w14:schemeClr w14:val="tx1"/>
                  </w14:solidFill>
                </w14:textFill>
              </w:rPr>
            </w:pPr>
            <w:r>
              <w:rPr>
                <w:rFonts w:hint="eastAsia"/>
                <w:color w:val="000000" w:themeColor="text1"/>
                <w:szCs w:val="21"/>
                <w:u w:val="wave"/>
                <w14:textFill>
                  <w14:solidFill>
                    <w14:schemeClr w14:val="tx1"/>
                  </w14:solidFill>
                </w14:textFill>
              </w:rPr>
              <w:t>风机运行过程中的噪声来源于风轮叶片旋转时产生的空气动力噪声和齿轮箱和发电机等部件发出的机械噪声，液压及润滑油冷却系统噪声。</w:t>
            </w:r>
          </w:p>
          <w:p w14:paraId="59953E1D">
            <w:pPr>
              <w:ind w:firstLine="422"/>
              <w:rPr>
                <w:rFonts w:hint="eastAsia"/>
                <w:color w:val="000000" w:themeColor="text1"/>
                <w:szCs w:val="21"/>
                <w:u w:val="wave"/>
                <w14:textFill>
                  <w14:solidFill>
                    <w14:schemeClr w14:val="tx1"/>
                  </w14:solidFill>
                </w14:textFill>
              </w:rPr>
            </w:pPr>
            <w:r>
              <w:rPr>
                <w:rFonts w:hint="eastAsia"/>
                <w:color w:val="000000" w:themeColor="text1"/>
                <w:szCs w:val="21"/>
                <w:u w:val="wave"/>
                <w14:textFill>
                  <w14:solidFill>
                    <w14:schemeClr w14:val="tx1"/>
                  </w14:solidFill>
                </w14:textFill>
              </w:rPr>
              <w:t>本次收集</w:t>
            </w:r>
            <w:r>
              <w:rPr>
                <w:rFonts w:hint="eastAsia"/>
                <w:color w:val="000000" w:themeColor="text1"/>
                <w:szCs w:val="21"/>
                <w:u w:val="wave"/>
                <w:lang w:val="en-US" w:eastAsia="zh-CN"/>
                <w14:textFill>
                  <w14:solidFill>
                    <w14:schemeClr w14:val="tx1"/>
                  </w14:solidFill>
                </w14:textFill>
              </w:rPr>
              <w:t>了东方电气风电股份有限公司</w:t>
            </w:r>
            <w:r>
              <w:rPr>
                <w:rFonts w:hint="eastAsia"/>
                <w:color w:val="000000" w:themeColor="text1"/>
                <w:szCs w:val="21"/>
                <w:u w:val="wave"/>
                <w14:textFill>
                  <w14:solidFill>
                    <w14:schemeClr w14:val="tx1"/>
                  </w14:solidFill>
                </w14:textFill>
              </w:rPr>
              <w:t>风机的风能噪声测试报告，5.</w:t>
            </w:r>
            <w:r>
              <w:rPr>
                <w:rFonts w:hint="eastAsia"/>
                <w:color w:val="000000" w:themeColor="text1"/>
                <w:szCs w:val="21"/>
                <w:u w:val="wave"/>
                <w:lang w:val="en-US" w:eastAsia="zh-CN"/>
                <w14:textFill>
                  <w14:solidFill>
                    <w14:schemeClr w14:val="tx1"/>
                  </w14:solidFill>
                </w14:textFill>
              </w:rPr>
              <w:t>5</w:t>
            </w:r>
            <w:r>
              <w:rPr>
                <w:rFonts w:hint="eastAsia"/>
                <w:color w:val="000000" w:themeColor="text1"/>
                <w:szCs w:val="21"/>
                <w:u w:val="wave"/>
                <w14:textFill>
                  <w14:solidFill>
                    <w14:schemeClr w14:val="tx1"/>
                  </w14:solidFill>
                </w14:textFill>
              </w:rPr>
              <w:t>MW的风力发电机组（轮毂高度</w:t>
            </w:r>
            <w:r>
              <w:rPr>
                <w:rFonts w:hint="eastAsia"/>
                <w:color w:val="000000" w:themeColor="text1"/>
                <w:szCs w:val="21"/>
                <w:u w:val="wave"/>
                <w:lang w:val="en-US" w:eastAsia="zh-CN"/>
                <w14:textFill>
                  <w14:solidFill>
                    <w14:schemeClr w14:val="tx1"/>
                  </w14:solidFill>
                </w14:textFill>
              </w:rPr>
              <w:t>11</w:t>
            </w:r>
            <w:r>
              <w:rPr>
                <w:rFonts w:hint="eastAsia"/>
                <w:color w:val="000000" w:themeColor="text1"/>
                <w:szCs w:val="21"/>
                <w:u w:val="wave"/>
                <w14:textFill>
                  <w14:solidFill>
                    <w14:schemeClr w14:val="tx1"/>
                  </w14:solidFill>
                </w14:textFill>
              </w:rPr>
              <w:t>5m，</w:t>
            </w:r>
            <w:r>
              <w:rPr>
                <w:rFonts w:hint="eastAsia"/>
                <w:color w:val="000000" w:themeColor="text1"/>
                <w:szCs w:val="21"/>
                <w:u w:val="wave"/>
                <w:lang w:val="en-US" w:eastAsia="zh-CN"/>
                <w14:textFill>
                  <w14:solidFill>
                    <w14:schemeClr w14:val="tx1"/>
                  </w14:solidFill>
                </w14:textFill>
              </w:rPr>
              <w:t>风机型号DEW-G5500-200，</w:t>
            </w:r>
            <w:r>
              <w:rPr>
                <w:rFonts w:hint="eastAsia"/>
                <w:color w:val="000000" w:themeColor="text1"/>
                <w:szCs w:val="21"/>
                <w:u w:val="wave"/>
                <w14:textFill>
                  <w14:solidFill>
                    <w14:schemeClr w14:val="tx1"/>
                  </w14:solidFill>
                </w14:textFill>
              </w:rPr>
              <w:t>测试时间为202</w:t>
            </w:r>
            <w:r>
              <w:rPr>
                <w:rFonts w:hint="eastAsia"/>
                <w:color w:val="000000" w:themeColor="text1"/>
                <w:szCs w:val="21"/>
                <w:u w:val="wave"/>
                <w:lang w:val="en-US" w:eastAsia="zh-CN"/>
                <w14:textFill>
                  <w14:solidFill>
                    <w14:schemeClr w14:val="tx1"/>
                  </w14:solidFill>
                </w14:textFill>
              </w:rPr>
              <w:t>3</w:t>
            </w:r>
            <w:r>
              <w:rPr>
                <w:rFonts w:hint="eastAsia"/>
                <w:color w:val="000000" w:themeColor="text1"/>
                <w:szCs w:val="21"/>
                <w:u w:val="wave"/>
                <w14:textFill>
                  <w14:solidFill>
                    <w14:schemeClr w14:val="tx1"/>
                  </w14:solidFill>
                </w14:textFill>
              </w:rPr>
              <w:t>年</w:t>
            </w:r>
            <w:r>
              <w:rPr>
                <w:rFonts w:hint="eastAsia"/>
                <w:color w:val="000000" w:themeColor="text1"/>
                <w:szCs w:val="21"/>
                <w:u w:val="wave"/>
                <w:lang w:val="en-US" w:eastAsia="zh-CN"/>
                <w14:textFill>
                  <w14:solidFill>
                    <w14:schemeClr w14:val="tx1"/>
                  </w14:solidFill>
                </w14:textFill>
              </w:rPr>
              <w:t>6</w:t>
            </w:r>
            <w:r>
              <w:rPr>
                <w:rFonts w:hint="eastAsia"/>
                <w:color w:val="000000" w:themeColor="text1"/>
                <w:szCs w:val="21"/>
                <w:u w:val="wave"/>
                <w14:textFill>
                  <w14:solidFill>
                    <w14:schemeClr w14:val="tx1"/>
                  </w14:solidFill>
                </w14:textFill>
              </w:rPr>
              <w:t>月），在风速</w:t>
            </w:r>
            <w:r>
              <w:rPr>
                <w:rFonts w:hint="eastAsia"/>
                <w:color w:val="000000" w:themeColor="text1"/>
                <w:szCs w:val="21"/>
                <w:u w:val="wave"/>
                <w:lang w:val="en-US" w:eastAsia="zh-CN"/>
                <w14:textFill>
                  <w14:solidFill>
                    <w14:schemeClr w14:val="tx1"/>
                  </w14:solidFill>
                </w14:textFill>
              </w:rPr>
              <w:t>5</w:t>
            </w:r>
            <w:r>
              <w:rPr>
                <w:rFonts w:hint="eastAsia"/>
                <w:color w:val="000000" w:themeColor="text1"/>
                <w:szCs w:val="21"/>
                <w:u w:val="wave"/>
                <w14:textFill>
                  <w14:solidFill>
                    <w14:schemeClr w14:val="tx1"/>
                  </w14:solidFill>
                </w14:textFill>
              </w:rPr>
              <w:t>m/s~1</w:t>
            </w:r>
            <w:r>
              <w:rPr>
                <w:rFonts w:hint="eastAsia"/>
                <w:color w:val="000000" w:themeColor="text1"/>
                <w:szCs w:val="21"/>
                <w:u w:val="wave"/>
                <w:lang w:val="en-US" w:eastAsia="zh-CN"/>
                <w14:textFill>
                  <w14:solidFill>
                    <w14:schemeClr w14:val="tx1"/>
                  </w14:solidFill>
                </w14:textFill>
              </w:rPr>
              <w:t>2</w:t>
            </w:r>
            <w:r>
              <w:rPr>
                <w:rFonts w:hint="eastAsia"/>
                <w:color w:val="000000" w:themeColor="text1"/>
                <w:szCs w:val="21"/>
                <w:u w:val="wave"/>
                <w14:textFill>
                  <w14:solidFill>
                    <w14:schemeClr w14:val="tx1"/>
                  </w14:solidFill>
                </w14:textFill>
              </w:rPr>
              <w:t>m/s情况下，整机噪声值为</w:t>
            </w:r>
            <w:r>
              <w:rPr>
                <w:rFonts w:hint="eastAsia"/>
                <w:color w:val="000000" w:themeColor="text1"/>
                <w:szCs w:val="21"/>
                <w:u w:val="wave"/>
                <w:lang w:val="en-US" w:eastAsia="zh-CN"/>
                <w14:textFill>
                  <w14:solidFill>
                    <w14:schemeClr w14:val="tx1"/>
                  </w14:solidFill>
                </w14:textFill>
              </w:rPr>
              <w:t>96.2</w:t>
            </w:r>
            <w:r>
              <w:rPr>
                <w:rFonts w:hint="eastAsia"/>
                <w:color w:val="000000" w:themeColor="text1"/>
                <w:szCs w:val="21"/>
                <w:u w:val="wave"/>
                <w14:textFill>
                  <w14:solidFill>
                    <w14:schemeClr w14:val="tx1"/>
                  </w14:solidFill>
                </w14:textFill>
              </w:rPr>
              <w:t>~10</w:t>
            </w:r>
            <w:r>
              <w:rPr>
                <w:rFonts w:hint="eastAsia"/>
                <w:color w:val="000000" w:themeColor="text1"/>
                <w:szCs w:val="21"/>
                <w:u w:val="wave"/>
                <w:lang w:val="en-US" w:eastAsia="zh-CN"/>
                <w14:textFill>
                  <w14:solidFill>
                    <w14:schemeClr w14:val="tx1"/>
                  </w14:solidFill>
                </w14:textFill>
              </w:rPr>
              <w:t>8</w:t>
            </w:r>
            <w:r>
              <w:rPr>
                <w:rFonts w:hint="eastAsia"/>
                <w:color w:val="000000" w:themeColor="text1"/>
                <w:szCs w:val="21"/>
                <w:u w:val="wave"/>
                <w14:textFill>
                  <w14:solidFill>
                    <w14:schemeClr w14:val="tx1"/>
                  </w14:solidFill>
                </w14:textFill>
              </w:rPr>
              <w:t>.</w:t>
            </w:r>
            <w:r>
              <w:rPr>
                <w:rFonts w:hint="eastAsia"/>
                <w:color w:val="000000" w:themeColor="text1"/>
                <w:szCs w:val="21"/>
                <w:u w:val="wave"/>
                <w:lang w:val="en-US" w:eastAsia="zh-CN"/>
                <w14:textFill>
                  <w14:solidFill>
                    <w14:schemeClr w14:val="tx1"/>
                  </w14:solidFill>
                </w14:textFill>
              </w:rPr>
              <w:t>9</w:t>
            </w:r>
            <w:r>
              <w:rPr>
                <w:rFonts w:hint="eastAsia"/>
                <w:color w:val="000000" w:themeColor="text1"/>
                <w:szCs w:val="21"/>
                <w:u w:val="wave"/>
                <w14:textFill>
                  <w14:solidFill>
                    <w14:schemeClr w14:val="tx1"/>
                  </w14:solidFill>
                </w14:textFill>
              </w:rPr>
              <w:t>dB（A）。本项目据拟安装</w:t>
            </w:r>
            <w:r>
              <w:rPr>
                <w:rFonts w:hint="eastAsia"/>
                <w:color w:val="000000" w:themeColor="text1"/>
                <w:szCs w:val="21"/>
                <w:u w:val="wave"/>
                <w:lang w:val="en-US" w:eastAsia="zh-CN"/>
                <w14:textFill>
                  <w14:solidFill>
                    <w14:schemeClr w14:val="tx1"/>
                  </w14:solidFill>
                </w14:textFill>
              </w:rPr>
              <w:t>15</w:t>
            </w:r>
            <w:r>
              <w:rPr>
                <w:rFonts w:hint="eastAsia"/>
                <w:color w:val="000000" w:themeColor="text1"/>
                <w:szCs w:val="21"/>
                <w:u w:val="wave"/>
                <w14:textFill>
                  <w14:solidFill>
                    <w14:schemeClr w14:val="tx1"/>
                  </w14:solidFill>
                </w14:textFill>
              </w:rPr>
              <w:t>台5.0MW机型</w:t>
            </w:r>
            <w:r>
              <w:rPr>
                <w:rFonts w:hint="eastAsia"/>
                <w:color w:val="000000" w:themeColor="text1"/>
                <w:szCs w:val="21"/>
                <w:u w:val="wave"/>
                <w:lang w:eastAsia="zh-CN"/>
                <w14:textFill>
                  <w14:solidFill>
                    <w14:schemeClr w14:val="tx1"/>
                  </w14:solidFill>
                </w14:textFill>
              </w:rPr>
              <w:t>，</w:t>
            </w:r>
            <w:r>
              <w:rPr>
                <w:rFonts w:hint="eastAsia"/>
                <w:color w:val="000000" w:themeColor="text1"/>
                <w:szCs w:val="21"/>
                <w:u w:val="wave"/>
                <w14:textFill>
                  <w14:solidFill>
                    <w14:schemeClr w14:val="tx1"/>
                  </w14:solidFill>
                </w14:textFill>
              </w:rPr>
              <w:t>类比可知：在风速为</w:t>
            </w:r>
            <w:r>
              <w:rPr>
                <w:rFonts w:hint="eastAsia"/>
                <w:color w:val="000000" w:themeColor="text1"/>
                <w:szCs w:val="21"/>
                <w:u w:val="wave"/>
                <w:lang w:val="en-US" w:eastAsia="zh-CN"/>
                <w14:textFill>
                  <w14:solidFill>
                    <w14:schemeClr w14:val="tx1"/>
                  </w14:solidFill>
                </w14:textFill>
              </w:rPr>
              <w:t>5</w:t>
            </w:r>
            <w:r>
              <w:rPr>
                <w:rFonts w:hint="eastAsia"/>
                <w:color w:val="000000" w:themeColor="text1"/>
                <w:szCs w:val="21"/>
                <w:u w:val="wave"/>
                <w14:textFill>
                  <w14:solidFill>
                    <w14:schemeClr w14:val="tx1"/>
                  </w14:solidFill>
                </w14:textFill>
              </w:rPr>
              <w:t>m/s~1</w:t>
            </w:r>
            <w:r>
              <w:rPr>
                <w:rFonts w:hint="eastAsia"/>
                <w:color w:val="000000" w:themeColor="text1"/>
                <w:szCs w:val="21"/>
                <w:u w:val="wave"/>
                <w:lang w:val="en-US" w:eastAsia="zh-CN"/>
                <w14:textFill>
                  <w14:solidFill>
                    <w14:schemeClr w14:val="tx1"/>
                  </w14:solidFill>
                </w14:textFill>
              </w:rPr>
              <w:t>2</w:t>
            </w:r>
            <w:r>
              <w:rPr>
                <w:rFonts w:hint="eastAsia"/>
                <w:color w:val="000000" w:themeColor="text1"/>
                <w:szCs w:val="21"/>
                <w:u w:val="wave"/>
                <w14:textFill>
                  <w14:solidFill>
                    <w14:schemeClr w14:val="tx1"/>
                  </w14:solidFill>
                </w14:textFill>
              </w:rPr>
              <w:t>m/s之间时，噪声源强为9</w:t>
            </w:r>
            <w:r>
              <w:rPr>
                <w:rFonts w:hint="eastAsia"/>
                <w:color w:val="000000" w:themeColor="text1"/>
                <w:szCs w:val="21"/>
                <w:u w:val="wave"/>
                <w:lang w:val="en-US" w:eastAsia="zh-CN"/>
                <w14:textFill>
                  <w14:solidFill>
                    <w14:schemeClr w14:val="tx1"/>
                  </w14:solidFill>
                </w14:textFill>
              </w:rPr>
              <w:t>6.2</w:t>
            </w:r>
            <w:r>
              <w:rPr>
                <w:rFonts w:hint="eastAsia"/>
                <w:color w:val="000000" w:themeColor="text1"/>
                <w:szCs w:val="21"/>
                <w:u w:val="wave"/>
                <w14:textFill>
                  <w14:solidFill>
                    <w14:schemeClr w14:val="tx1"/>
                  </w14:solidFill>
                </w14:textFill>
              </w:rPr>
              <w:t>dB（A）~10</w:t>
            </w:r>
            <w:r>
              <w:rPr>
                <w:rFonts w:hint="eastAsia"/>
                <w:color w:val="000000" w:themeColor="text1"/>
                <w:szCs w:val="21"/>
                <w:u w:val="wave"/>
                <w:lang w:val="en-US" w:eastAsia="zh-CN"/>
                <w14:textFill>
                  <w14:solidFill>
                    <w14:schemeClr w14:val="tx1"/>
                  </w14:solidFill>
                </w14:textFill>
              </w:rPr>
              <w:t>8.9</w:t>
            </w:r>
            <w:r>
              <w:rPr>
                <w:rFonts w:hint="eastAsia"/>
                <w:color w:val="000000" w:themeColor="text1"/>
                <w:szCs w:val="21"/>
                <w:u w:val="wave"/>
                <w14:textFill>
                  <w14:solidFill>
                    <w14:schemeClr w14:val="tx1"/>
                  </w14:solidFill>
                </w14:textFill>
              </w:rPr>
              <w:t>dB（A）。考虑可能的最不利情况，预测时风电机组运行时轮毂处噪声源强为10</w:t>
            </w:r>
            <w:r>
              <w:rPr>
                <w:rFonts w:hint="eastAsia"/>
                <w:color w:val="000000" w:themeColor="text1"/>
                <w:szCs w:val="21"/>
                <w:u w:val="wave"/>
                <w:lang w:val="en-US" w:eastAsia="zh-CN"/>
                <w14:textFill>
                  <w14:solidFill>
                    <w14:schemeClr w14:val="tx1"/>
                  </w14:solidFill>
                </w14:textFill>
              </w:rPr>
              <w:t>8.</w:t>
            </w:r>
            <w:r>
              <w:rPr>
                <w:rFonts w:hint="eastAsia"/>
                <w:color w:val="000000" w:themeColor="text1"/>
                <w:szCs w:val="21"/>
                <w:u w:val="wave"/>
                <w14:textFill>
                  <w14:solidFill>
                    <w14:schemeClr w14:val="tx1"/>
                  </w14:solidFill>
                </w14:textFill>
              </w:rPr>
              <w:t>9dB（A）。考虑到本项目所在区域风速平均为5.26m/s，因而取值完全满足评价要求。液压及润滑油冷却系统噪声值约为78dB(A)；偏航系统刹车偶发噪声，偏航系统刹车偶发噪声值约为120dB(A)。</w:t>
            </w:r>
          </w:p>
          <w:p w14:paraId="3A48622A">
            <w:pPr>
              <w:ind w:firstLine="422"/>
              <w:rPr>
                <w:color w:val="000000" w:themeColor="text1"/>
                <w:szCs w:val="21"/>
                <w:u w:val="wave"/>
                <w14:textFill>
                  <w14:solidFill>
                    <w14:schemeClr w14:val="tx1"/>
                  </w14:solidFill>
                </w14:textFill>
              </w:rPr>
            </w:pPr>
            <w:r>
              <w:rPr>
                <w:b/>
                <w:color w:val="000000" w:themeColor="text1"/>
                <w:szCs w:val="21"/>
                <w:u w:val="wave"/>
                <w14:textFill>
                  <w14:solidFill>
                    <w14:schemeClr w14:val="tx1"/>
                  </w14:solidFill>
                </w14:textFill>
              </w:rPr>
              <w:t>（2）预测方法</w:t>
            </w:r>
          </w:p>
          <w:p w14:paraId="7E9B543E">
            <w:pPr>
              <w:ind w:firstLine="480" w:firstLineChars="200"/>
              <w:rPr>
                <w:color w:val="000000" w:themeColor="text1"/>
                <w:u w:val="wave"/>
                <w14:textFill>
                  <w14:solidFill>
                    <w14:schemeClr w14:val="tx1"/>
                  </w14:solidFill>
                </w14:textFill>
              </w:rPr>
            </w:pPr>
            <w:r>
              <w:rPr>
                <w:color w:val="000000" w:themeColor="text1"/>
                <w:u w:val="wave"/>
                <w14:textFill>
                  <w14:solidFill>
                    <w14:schemeClr w14:val="tx1"/>
                  </w14:solidFill>
                </w14:textFill>
              </w:rPr>
              <w:t>由于风电机组间相距较远，一般大于300m，每个风电机组可视为一个独立声源。</w:t>
            </w:r>
          </w:p>
          <w:p w14:paraId="73517C21">
            <w:pPr>
              <w:adjustRightInd w:val="0"/>
              <w:snapToGrid w:val="0"/>
              <w:ind w:firstLine="480" w:firstLineChars="200"/>
              <w:rPr>
                <w:color w:val="000000" w:themeColor="text1"/>
                <w:kern w:val="0"/>
                <w:u w:val="wave"/>
                <w14:textFill>
                  <w14:solidFill>
                    <w14:schemeClr w14:val="tx1"/>
                  </w14:solidFill>
                </w14:textFill>
              </w:rPr>
            </w:pPr>
            <w:r>
              <w:rPr>
                <w:color w:val="000000" w:themeColor="text1"/>
                <w:u w:val="wave"/>
                <w14:textFill>
                  <w14:solidFill>
                    <w14:schemeClr w14:val="tx1"/>
                  </w14:solidFill>
                </w14:textFill>
              </w:rPr>
              <w:t>根据《环境影响评价技术导则 声环境》（HJ2.4-2021），</w:t>
            </w:r>
            <w:r>
              <w:rPr>
                <w:snapToGrid w:val="0"/>
                <w:color w:val="000000" w:themeColor="text1"/>
                <w:kern w:val="0"/>
                <w:u w:val="wave"/>
                <w14:textFill>
                  <w14:solidFill>
                    <w14:schemeClr w14:val="tx1"/>
                  </w14:solidFill>
                </w14:textFill>
              </w:rPr>
              <w:t>附录</w:t>
            </w:r>
            <w:r>
              <w:rPr>
                <w:rFonts w:hint="eastAsia"/>
                <w:snapToGrid w:val="0"/>
                <w:color w:val="000000" w:themeColor="text1"/>
                <w:kern w:val="0"/>
                <w:u w:val="wave"/>
                <w:lang w:eastAsia="zh-CN"/>
                <w14:textFill>
                  <w14:solidFill>
                    <w14:schemeClr w14:val="tx1"/>
                  </w14:solidFill>
                </w14:textFill>
              </w:rPr>
              <w:t>“</w:t>
            </w:r>
            <w:r>
              <w:rPr>
                <w:snapToGrid w:val="0"/>
                <w:color w:val="000000" w:themeColor="text1"/>
                <w:kern w:val="0"/>
                <w:u w:val="wave"/>
                <w14:textFill>
                  <w14:solidFill>
                    <w14:schemeClr w14:val="tx1"/>
                  </w14:solidFill>
                </w14:textFill>
              </w:rPr>
              <w:t>A3.1.3 面声源的几何发散衰减</w:t>
            </w:r>
            <w:r>
              <w:rPr>
                <w:rFonts w:hint="eastAsia"/>
                <w:snapToGrid w:val="0"/>
                <w:color w:val="000000" w:themeColor="text1"/>
                <w:kern w:val="0"/>
                <w:u w:val="wave"/>
                <w:lang w:eastAsia="zh-CN"/>
                <w14:textFill>
                  <w14:solidFill>
                    <w14:schemeClr w14:val="tx1"/>
                  </w14:solidFill>
                </w14:textFill>
              </w:rPr>
              <w:t>”</w:t>
            </w:r>
            <w:r>
              <w:rPr>
                <w:snapToGrid w:val="0"/>
                <w:color w:val="000000" w:themeColor="text1"/>
                <w:kern w:val="0"/>
                <w:u w:val="wave"/>
                <w14:textFill>
                  <w14:solidFill>
                    <w14:schemeClr w14:val="tx1"/>
                  </w14:solidFill>
                </w14:textFill>
              </w:rPr>
              <w:t>，</w:t>
            </w:r>
            <w:r>
              <w:rPr>
                <w:rFonts w:hint="eastAsia"/>
                <w:snapToGrid w:val="0"/>
                <w:color w:val="000000" w:themeColor="text1"/>
                <w:kern w:val="0"/>
                <w:u w:val="wave"/>
                <w:lang w:eastAsia="zh-CN"/>
                <w14:textFill>
                  <w14:solidFill>
                    <w14:schemeClr w14:val="tx1"/>
                  </w14:solidFill>
                </w14:textFill>
              </w:rPr>
              <w:t>“</w:t>
            </w:r>
            <w:r>
              <w:rPr>
                <w:snapToGrid w:val="0"/>
                <w:color w:val="000000" w:themeColor="text1"/>
                <w:kern w:val="0"/>
                <w:u w:val="wave"/>
                <w14:textFill>
                  <w14:solidFill>
                    <w14:schemeClr w14:val="tx1"/>
                  </w14:solidFill>
                </w14:textFill>
              </w:rPr>
              <w:t>长方形面声源中心轴线上的声衰减曲线。当预测点和面声源中心距离r处于以下条件时，可按下述方法近似计算：r＜a/π时，几乎不衰减（A</w:t>
            </w:r>
            <w:r>
              <w:rPr>
                <w:snapToGrid w:val="0"/>
                <w:color w:val="000000" w:themeColor="text1"/>
                <w:kern w:val="0"/>
                <w:u w:val="wave"/>
                <w:vertAlign w:val="subscript"/>
                <w14:textFill>
                  <w14:solidFill>
                    <w14:schemeClr w14:val="tx1"/>
                  </w14:solidFill>
                </w14:textFill>
              </w:rPr>
              <w:t>div</w:t>
            </w:r>
            <w:r>
              <w:rPr>
                <w:snapToGrid w:val="0"/>
                <w:color w:val="000000" w:themeColor="text1"/>
                <w:kern w:val="0"/>
                <w:u w:val="wave"/>
                <w14:textFill>
                  <w14:solidFill>
                    <w14:schemeClr w14:val="tx1"/>
                  </w14:solidFill>
                </w14:textFill>
              </w:rPr>
              <w:t>≈0）；当a/π＜r＜b/π，距离加倍衰减3dB左右，类似线声源衰减特性[A</w:t>
            </w:r>
            <w:r>
              <w:rPr>
                <w:snapToGrid w:val="0"/>
                <w:color w:val="000000" w:themeColor="text1"/>
                <w:kern w:val="0"/>
                <w:u w:val="wave"/>
                <w:vertAlign w:val="subscript"/>
                <w14:textFill>
                  <w14:solidFill>
                    <w14:schemeClr w14:val="tx1"/>
                  </w14:solidFill>
                </w14:textFill>
              </w:rPr>
              <w:t>div</w:t>
            </w:r>
            <w:r>
              <w:rPr>
                <w:snapToGrid w:val="0"/>
                <w:color w:val="000000" w:themeColor="text1"/>
                <w:kern w:val="0"/>
                <w:u w:val="wave"/>
                <w14:textFill>
                  <w14:solidFill>
                    <w14:schemeClr w14:val="tx1"/>
                  </w14:solidFill>
                </w14:textFill>
              </w:rPr>
              <w:t>≈10 lg(r/r</w:t>
            </w:r>
            <w:r>
              <w:rPr>
                <w:snapToGrid w:val="0"/>
                <w:color w:val="000000" w:themeColor="text1"/>
                <w:kern w:val="0"/>
                <w:u w:val="wave"/>
                <w:vertAlign w:val="subscript"/>
                <w14:textFill>
                  <w14:solidFill>
                    <w14:schemeClr w14:val="tx1"/>
                  </w14:solidFill>
                </w14:textFill>
              </w:rPr>
              <w:t>0</w:t>
            </w:r>
            <w:r>
              <w:rPr>
                <w:snapToGrid w:val="0"/>
                <w:color w:val="000000" w:themeColor="text1"/>
                <w:kern w:val="0"/>
                <w:u w:val="wave"/>
                <w14:textFill>
                  <w14:solidFill>
                    <w14:schemeClr w14:val="tx1"/>
                  </w14:solidFill>
                </w14:textFill>
              </w:rPr>
              <w:t>)]；当r＞b/π时，距离加倍衰减趋近于6dB，类似点声源衰减特性[A</w:t>
            </w:r>
            <w:r>
              <w:rPr>
                <w:snapToGrid w:val="0"/>
                <w:color w:val="000000" w:themeColor="text1"/>
                <w:kern w:val="0"/>
                <w:u w:val="wave"/>
                <w:vertAlign w:val="subscript"/>
                <w14:textFill>
                  <w14:solidFill>
                    <w14:schemeClr w14:val="tx1"/>
                  </w14:solidFill>
                </w14:textFill>
              </w:rPr>
              <w:t>div</w:t>
            </w:r>
            <w:r>
              <w:rPr>
                <w:snapToGrid w:val="0"/>
                <w:color w:val="000000" w:themeColor="text1"/>
                <w:kern w:val="0"/>
                <w:u w:val="wave"/>
                <w14:textFill>
                  <w14:solidFill>
                    <w14:schemeClr w14:val="tx1"/>
                  </w14:solidFill>
                </w14:textFill>
              </w:rPr>
              <w:t>≈20lg(r/r</w:t>
            </w:r>
            <w:r>
              <w:rPr>
                <w:snapToGrid w:val="0"/>
                <w:color w:val="000000" w:themeColor="text1"/>
                <w:kern w:val="0"/>
                <w:u w:val="wave"/>
                <w:vertAlign w:val="subscript"/>
                <w14:textFill>
                  <w14:solidFill>
                    <w14:schemeClr w14:val="tx1"/>
                  </w14:solidFill>
                </w14:textFill>
              </w:rPr>
              <w:t>0</w:t>
            </w:r>
            <w:r>
              <w:rPr>
                <w:snapToGrid w:val="0"/>
                <w:color w:val="000000" w:themeColor="text1"/>
                <w:kern w:val="0"/>
                <w:u w:val="wave"/>
                <w14:textFill>
                  <w14:solidFill>
                    <w14:schemeClr w14:val="tx1"/>
                  </w14:solidFill>
                </w14:textFill>
              </w:rPr>
              <w:t>)]。其中面声源的b＞a。</w:t>
            </w:r>
            <w:r>
              <w:rPr>
                <w:rFonts w:hint="eastAsia"/>
                <w:snapToGrid w:val="0"/>
                <w:color w:val="000000" w:themeColor="text1"/>
                <w:kern w:val="0"/>
                <w:u w:val="wave"/>
                <w:lang w:eastAsia="zh-CN"/>
                <w14:textFill>
                  <w14:solidFill>
                    <w14:schemeClr w14:val="tx1"/>
                  </w14:solidFill>
                </w14:textFill>
              </w:rPr>
              <w:t>”</w:t>
            </w:r>
            <w:r>
              <w:rPr>
                <w:snapToGrid w:val="0"/>
                <w:color w:val="000000" w:themeColor="text1"/>
                <w:kern w:val="0"/>
                <w:u w:val="wave"/>
                <w14:textFill>
                  <w14:solidFill>
                    <w14:schemeClr w14:val="tx1"/>
                  </w14:solidFill>
                </w14:textFill>
              </w:rPr>
              <w:t>本项目风轮直径</w:t>
            </w:r>
            <w:r>
              <w:rPr>
                <w:rFonts w:hint="eastAsia"/>
                <w:snapToGrid w:val="0"/>
                <w:color w:val="000000" w:themeColor="text1"/>
                <w:kern w:val="0"/>
                <w:u w:val="wave"/>
                <w14:textFill>
                  <w14:solidFill>
                    <w14:schemeClr w14:val="tx1"/>
                  </w14:solidFill>
                </w14:textFill>
              </w:rPr>
              <w:t>200m</w:t>
            </w:r>
            <w:r>
              <w:rPr>
                <w:snapToGrid w:val="0"/>
                <w:color w:val="000000" w:themeColor="text1"/>
                <w:kern w:val="0"/>
                <w:u w:val="wave"/>
                <w14:textFill>
                  <w14:solidFill>
                    <w14:schemeClr w14:val="tx1"/>
                  </w14:solidFill>
                </w14:textFill>
              </w:rPr>
              <w:t>，近似于面声源考虑，当r＜</w:t>
            </w:r>
            <w:r>
              <w:rPr>
                <w:rFonts w:hint="eastAsia"/>
                <w:snapToGrid w:val="0"/>
                <w:color w:val="000000" w:themeColor="text1"/>
                <w:kern w:val="0"/>
                <w:u w:val="wave"/>
                <w14:textFill>
                  <w14:solidFill>
                    <w14:schemeClr w14:val="tx1"/>
                  </w14:solidFill>
                </w14:textFill>
              </w:rPr>
              <w:t>200</w:t>
            </w:r>
            <w:r>
              <w:rPr>
                <w:snapToGrid w:val="0"/>
                <w:color w:val="000000" w:themeColor="text1"/>
                <w:kern w:val="0"/>
                <w:u w:val="wave"/>
                <w14:textFill>
                  <w14:solidFill>
                    <w14:schemeClr w14:val="tx1"/>
                  </w14:solidFill>
                </w14:textFill>
              </w:rPr>
              <w:t>/π（即＜6</w:t>
            </w:r>
            <w:r>
              <w:rPr>
                <w:rFonts w:hint="eastAsia"/>
                <w:snapToGrid w:val="0"/>
                <w:color w:val="000000" w:themeColor="text1"/>
                <w:kern w:val="0"/>
                <w:u w:val="wave"/>
                <w14:textFill>
                  <w14:solidFill>
                    <w14:schemeClr w14:val="tx1"/>
                  </w14:solidFill>
                </w14:textFill>
              </w:rPr>
              <w:t>3.7</w:t>
            </w:r>
            <w:r>
              <w:rPr>
                <w:snapToGrid w:val="0"/>
                <w:color w:val="000000" w:themeColor="text1"/>
                <w:kern w:val="0"/>
                <w:u w:val="wave"/>
                <w14:textFill>
                  <w14:solidFill>
                    <w14:schemeClr w14:val="tx1"/>
                  </w14:solidFill>
                </w14:textFill>
              </w:rPr>
              <w:t>）m时，噪声几乎不衰减；当r＞</w:t>
            </w:r>
            <w:r>
              <w:rPr>
                <w:rFonts w:hint="eastAsia"/>
                <w:snapToGrid w:val="0"/>
                <w:color w:val="000000" w:themeColor="text1"/>
                <w:kern w:val="0"/>
                <w:u w:val="wave"/>
                <w14:textFill>
                  <w14:solidFill>
                    <w14:schemeClr w14:val="tx1"/>
                  </w14:solidFill>
                </w14:textFill>
              </w:rPr>
              <w:t>200</w:t>
            </w:r>
            <w:r>
              <w:rPr>
                <w:snapToGrid w:val="0"/>
                <w:color w:val="000000" w:themeColor="text1"/>
                <w:kern w:val="0"/>
                <w:u w:val="wave"/>
                <w14:textFill>
                  <w14:solidFill>
                    <w14:schemeClr w14:val="tx1"/>
                  </w14:solidFill>
                </w14:textFill>
              </w:rPr>
              <w:t>/π（即＞</w:t>
            </w:r>
            <w:r>
              <w:rPr>
                <w:rFonts w:hint="eastAsia"/>
                <w:snapToGrid w:val="0"/>
                <w:color w:val="000000" w:themeColor="text1"/>
                <w:kern w:val="0"/>
                <w:u w:val="wave"/>
                <w14:textFill>
                  <w14:solidFill>
                    <w14:schemeClr w14:val="tx1"/>
                  </w14:solidFill>
                </w14:textFill>
              </w:rPr>
              <w:t>63.7</w:t>
            </w:r>
            <w:r>
              <w:rPr>
                <w:snapToGrid w:val="0"/>
                <w:color w:val="000000" w:themeColor="text1"/>
                <w:kern w:val="0"/>
                <w:u w:val="wave"/>
                <w14:textFill>
                  <w14:solidFill>
                    <w14:schemeClr w14:val="tx1"/>
                  </w14:solidFill>
                </w14:textFill>
              </w:rPr>
              <w:t>）m时，类似点声源衰减特性，距离加倍衰减趋近于6dB。</w:t>
            </w:r>
          </w:p>
          <w:p w14:paraId="1259B613">
            <w:pPr>
              <w:adjustRightInd w:val="0"/>
              <w:snapToGrid w:val="0"/>
              <w:ind w:firstLine="480" w:firstLineChars="200"/>
              <w:rPr>
                <w:snapToGrid w:val="0"/>
                <w:color w:val="000000" w:themeColor="text1"/>
                <w:kern w:val="0"/>
                <w:u w:val="wave"/>
                <w14:textFill>
                  <w14:solidFill>
                    <w14:schemeClr w14:val="tx1"/>
                  </w14:solidFill>
                </w14:textFill>
              </w:rPr>
            </w:pPr>
            <w:r>
              <w:rPr>
                <w:color w:val="000000" w:themeColor="text1"/>
                <w:kern w:val="0"/>
                <w:u w:val="wave"/>
                <w14:textFill>
                  <w14:solidFill>
                    <w14:schemeClr w14:val="tx1"/>
                  </w14:solidFill>
                </w14:textFill>
              </w:rPr>
              <w:t>噪声预测采用处于半自由空间的点声源衰减公式。处于半自由空间的点声源衰减公式为：</w:t>
            </w:r>
          </w:p>
          <w:p w14:paraId="4492E4DE">
            <w:pPr>
              <w:autoSpaceDE w:val="0"/>
              <w:autoSpaceDN w:val="0"/>
              <w:adjustRightInd w:val="0"/>
              <w:jc w:val="center"/>
              <w:rPr>
                <w:color w:val="000000" w:themeColor="text1"/>
                <w:u w:val="wave"/>
                <w14:textFill>
                  <w14:solidFill>
                    <w14:schemeClr w14:val="tx1"/>
                  </w14:solidFill>
                </w14:textFill>
              </w:rPr>
            </w:pPr>
            <w:r>
              <w:rPr>
                <w:snapToGrid w:val="0"/>
                <w:color w:val="000000" w:themeColor="text1"/>
                <w:kern w:val="0"/>
                <w:u w:val="wave"/>
                <w14:textFill>
                  <w14:solidFill>
                    <w14:schemeClr w14:val="tx1"/>
                  </w14:solidFill>
                </w14:textFill>
              </w:rPr>
              <w:t>L</w:t>
            </w:r>
            <w:r>
              <w:rPr>
                <w:snapToGrid w:val="0"/>
                <w:color w:val="000000" w:themeColor="text1"/>
                <w:kern w:val="0"/>
                <w:u w:val="wave"/>
                <w:vertAlign w:val="subscript"/>
                <w14:textFill>
                  <w14:solidFill>
                    <w14:schemeClr w14:val="tx1"/>
                  </w14:solidFill>
                </w14:textFill>
              </w:rPr>
              <w:t>A</w:t>
            </w:r>
            <w:r>
              <w:rPr>
                <w:snapToGrid w:val="0"/>
                <w:color w:val="000000" w:themeColor="text1"/>
                <w:kern w:val="0"/>
                <w:u w:val="wave"/>
                <w14:textFill>
                  <w14:solidFill>
                    <w14:schemeClr w14:val="tx1"/>
                  </w14:solidFill>
                </w14:textFill>
              </w:rPr>
              <w:t>(r)＝L</w:t>
            </w:r>
            <w:r>
              <w:rPr>
                <w:snapToGrid w:val="0"/>
                <w:color w:val="000000" w:themeColor="text1"/>
                <w:kern w:val="0"/>
                <w:u w:val="wave"/>
                <w:vertAlign w:val="subscript"/>
                <w14:textFill>
                  <w14:solidFill>
                    <w14:schemeClr w14:val="tx1"/>
                  </w14:solidFill>
                </w14:textFill>
              </w:rPr>
              <w:t>AW</w:t>
            </w:r>
            <w:r>
              <w:rPr>
                <w:snapToGrid w:val="0"/>
                <w:color w:val="000000" w:themeColor="text1"/>
                <w:kern w:val="0"/>
                <w:u w:val="wave"/>
                <w14:textFill>
                  <w14:solidFill>
                    <w14:schemeClr w14:val="tx1"/>
                  </w14:solidFill>
                </w14:textFill>
              </w:rPr>
              <w:t>－20lgr－8</w:t>
            </w:r>
          </w:p>
          <w:p w14:paraId="4503E49E">
            <w:pPr>
              <w:autoSpaceDE w:val="0"/>
              <w:autoSpaceDN w:val="0"/>
              <w:adjustRightInd w:val="0"/>
              <w:ind w:firstLine="480" w:firstLineChars="200"/>
              <w:jc w:val="left"/>
              <w:rPr>
                <w:color w:val="000000" w:themeColor="text1"/>
                <w:u w:val="wave"/>
                <w14:textFill>
                  <w14:solidFill>
                    <w14:schemeClr w14:val="tx1"/>
                  </w14:solidFill>
                </w14:textFill>
              </w:rPr>
            </w:pPr>
            <w:r>
              <w:rPr>
                <w:color w:val="000000" w:themeColor="text1"/>
                <w:u w:val="wave"/>
                <w14:textFill>
                  <w14:solidFill>
                    <w14:schemeClr w14:val="tx1"/>
                  </w14:solidFill>
                </w14:textFill>
              </w:rPr>
              <w:t>式中，L</w:t>
            </w:r>
            <w:r>
              <w:rPr>
                <w:color w:val="000000" w:themeColor="text1"/>
                <w:u w:val="wave"/>
                <w:vertAlign w:val="subscript"/>
                <w14:textFill>
                  <w14:solidFill>
                    <w14:schemeClr w14:val="tx1"/>
                  </w14:solidFill>
                </w14:textFill>
              </w:rPr>
              <w:t>A</w:t>
            </w:r>
            <w:r>
              <w:rPr>
                <w:color w:val="000000" w:themeColor="text1"/>
                <w:u w:val="wave"/>
                <w14:textFill>
                  <w14:solidFill>
                    <w14:schemeClr w14:val="tx1"/>
                  </w14:solidFill>
                </w14:textFill>
              </w:rPr>
              <w:t>(r)——距声源r处的A声级，dB(A)；</w:t>
            </w:r>
          </w:p>
          <w:p w14:paraId="03574E81">
            <w:pPr>
              <w:adjustRightInd w:val="0"/>
              <w:snapToGrid w:val="0"/>
              <w:ind w:firstLine="1200" w:firstLineChars="500"/>
              <w:rPr>
                <w:color w:val="000000" w:themeColor="text1"/>
                <w:kern w:val="0"/>
                <w:u w:val="wave"/>
                <w14:textFill>
                  <w14:solidFill>
                    <w14:schemeClr w14:val="tx1"/>
                  </w14:solidFill>
                </w14:textFill>
              </w:rPr>
            </w:pPr>
            <w:r>
              <w:rPr>
                <w:color w:val="000000" w:themeColor="text1"/>
                <w:u w:val="wave"/>
                <w14:textFill>
                  <w14:solidFill>
                    <w14:schemeClr w14:val="tx1"/>
                  </w14:solidFill>
                </w14:textFill>
              </w:rPr>
              <w:t>L</w:t>
            </w:r>
            <w:r>
              <w:rPr>
                <w:color w:val="000000" w:themeColor="text1"/>
                <w:u w:val="wave"/>
                <w:vertAlign w:val="subscript"/>
                <w14:textFill>
                  <w14:solidFill>
                    <w14:schemeClr w14:val="tx1"/>
                  </w14:solidFill>
                </w14:textFill>
              </w:rPr>
              <w:t>AW</w:t>
            </w:r>
            <w:r>
              <w:rPr>
                <w:color w:val="000000" w:themeColor="text1"/>
                <w:u w:val="wave"/>
                <w14:textFill>
                  <w14:solidFill>
                    <w14:schemeClr w14:val="tx1"/>
                  </w14:solidFill>
                </w14:textFill>
              </w:rPr>
              <w:t>——点声源A计权声功率级，dB；</w:t>
            </w:r>
          </w:p>
          <w:p w14:paraId="024C0728">
            <w:pPr>
              <w:ind w:firstLine="1200" w:firstLineChars="500"/>
              <w:rPr>
                <w:color w:val="000000" w:themeColor="text1"/>
                <w:szCs w:val="21"/>
                <w:u w:val="wave"/>
                <w14:textFill>
                  <w14:solidFill>
                    <w14:schemeClr w14:val="tx1"/>
                  </w14:solidFill>
                </w14:textFill>
              </w:rPr>
            </w:pPr>
            <w:r>
              <w:rPr>
                <w:color w:val="000000" w:themeColor="text1"/>
                <w:kern w:val="0"/>
                <w:u w:val="wave"/>
                <w14:textFill>
                  <w14:solidFill>
                    <w14:schemeClr w14:val="tx1"/>
                  </w14:solidFill>
                </w14:textFill>
              </w:rPr>
              <w:t>r——预测点距声源的距离，m。</w:t>
            </w:r>
          </w:p>
          <w:p w14:paraId="0DB4FD4C">
            <w:pPr>
              <w:ind w:firstLine="480" w:firstLineChars="200"/>
              <w:rPr>
                <w:color w:val="000000" w:themeColor="text1"/>
                <w:szCs w:val="21"/>
                <w:u w:val="wave"/>
                <w14:textFill>
                  <w14:solidFill>
                    <w14:schemeClr w14:val="tx1"/>
                  </w14:solidFill>
                </w14:textFill>
              </w:rPr>
            </w:pPr>
            <w:r>
              <w:rPr>
                <w:color w:val="000000" w:themeColor="text1"/>
                <w:szCs w:val="21"/>
                <w:u w:val="wave"/>
                <w14:textFill>
                  <w14:solidFill>
                    <w14:schemeClr w14:val="tx1"/>
                  </w14:solidFill>
                </w14:textFill>
              </w:rPr>
              <w:t>多声源叠加公式为：</w:t>
            </w:r>
          </w:p>
          <w:p w14:paraId="1D1ACAD3">
            <w:pPr>
              <w:ind w:firstLine="480" w:firstLineChars="200"/>
              <w:rPr>
                <w:color w:val="000000" w:themeColor="text1"/>
                <w:szCs w:val="21"/>
                <w:u w:val="wave"/>
                <w14:textFill>
                  <w14:solidFill>
                    <w14:schemeClr w14:val="tx1"/>
                  </w14:solidFill>
                </w14:textFill>
              </w:rPr>
            </w:pPr>
            <w:r>
              <w:rPr>
                <w:color w:val="000000" w:themeColor="text1"/>
                <w:szCs w:val="21"/>
                <w:u w:val="wave"/>
                <w14:textFill>
                  <w14:solidFill>
                    <w14:schemeClr w14:val="tx1"/>
                  </w14:solidFill>
                </w14:textFill>
              </w:rPr>
              <w:drawing>
                <wp:inline distT="0" distB="0" distL="114300" distR="114300">
                  <wp:extent cx="1492250" cy="209550"/>
                  <wp:effectExtent l="0" t="0" r="12700" b="0"/>
                  <wp:docPr id="4" name="图片 25"/>
                  <wp:cNvGraphicFramePr/>
                  <a:graphic xmlns:a="http://schemas.openxmlformats.org/drawingml/2006/main">
                    <a:graphicData uri="http://schemas.openxmlformats.org/drawingml/2006/picture">
                      <pic:pic xmlns:pic="http://schemas.openxmlformats.org/drawingml/2006/picture">
                        <pic:nvPicPr>
                          <pic:cNvPr id="4" name="图片 25"/>
                          <pic:cNvPicPr/>
                        </pic:nvPicPr>
                        <pic:blipFill>
                          <a:blip r:embed="rId56"/>
                          <a:stretch>
                            <a:fillRect/>
                          </a:stretch>
                        </pic:blipFill>
                        <pic:spPr>
                          <a:xfrm>
                            <a:off x="0" y="0"/>
                            <a:ext cx="1492250" cy="209550"/>
                          </a:xfrm>
                          <a:prstGeom prst="rect">
                            <a:avLst/>
                          </a:prstGeom>
                          <a:noFill/>
                          <a:ln>
                            <a:noFill/>
                          </a:ln>
                        </pic:spPr>
                      </pic:pic>
                    </a:graphicData>
                  </a:graphic>
                </wp:inline>
              </w:drawing>
            </w:r>
          </w:p>
          <w:p w14:paraId="7BBCDD55">
            <w:pPr>
              <w:ind w:firstLine="480" w:firstLineChars="200"/>
              <w:rPr>
                <w:color w:val="000000" w:themeColor="text1"/>
                <w:szCs w:val="21"/>
                <w:u w:val="wave"/>
                <w14:textFill>
                  <w14:solidFill>
                    <w14:schemeClr w14:val="tx1"/>
                  </w14:solidFill>
                </w14:textFill>
              </w:rPr>
            </w:pPr>
            <w:r>
              <w:rPr>
                <w:color w:val="000000" w:themeColor="text1"/>
                <w:szCs w:val="21"/>
                <w:u w:val="wave"/>
                <w14:textFill>
                  <w14:solidFill>
                    <w14:schemeClr w14:val="tx1"/>
                  </w14:solidFill>
                </w14:textFill>
              </w:rPr>
              <w:t>式中，L</w:t>
            </w:r>
            <w:r>
              <w:rPr>
                <w:color w:val="000000" w:themeColor="text1"/>
                <w:szCs w:val="21"/>
                <w:u w:val="wave"/>
                <w:vertAlign w:val="subscript"/>
                <w14:textFill>
                  <w14:solidFill>
                    <w14:schemeClr w14:val="tx1"/>
                  </w14:solidFill>
                </w14:textFill>
              </w:rPr>
              <w:t>eqg</w:t>
            </w:r>
            <w:r>
              <w:rPr>
                <w:color w:val="000000" w:themeColor="text1"/>
                <w:szCs w:val="21"/>
                <w:u w:val="wave"/>
                <w14:textFill>
                  <w14:solidFill>
                    <w14:schemeClr w14:val="tx1"/>
                  </w14:solidFill>
                </w14:textFill>
              </w:rPr>
              <w:t>——n个噪声源叠加后的总噪声值，dB；</w:t>
            </w:r>
          </w:p>
          <w:p w14:paraId="3502F062">
            <w:pPr>
              <w:ind w:firstLine="480" w:firstLineChars="200"/>
              <w:rPr>
                <w:color w:val="000000" w:themeColor="text1"/>
                <w:szCs w:val="21"/>
                <w:u w:val="wave"/>
                <w14:textFill>
                  <w14:solidFill>
                    <w14:schemeClr w14:val="tx1"/>
                  </w14:solidFill>
                </w14:textFill>
              </w:rPr>
            </w:pPr>
            <w:r>
              <w:rPr>
                <w:color w:val="000000" w:themeColor="text1"/>
                <w:szCs w:val="21"/>
                <w:u w:val="wave"/>
                <w14:textFill>
                  <w14:solidFill>
                    <w14:schemeClr w14:val="tx1"/>
                  </w14:solidFill>
                </w14:textFill>
              </w:rPr>
              <w:t xml:space="preserve">      L</w:t>
            </w:r>
            <w:r>
              <w:rPr>
                <w:color w:val="000000" w:themeColor="text1"/>
                <w:szCs w:val="21"/>
                <w:u w:val="wave"/>
                <w:vertAlign w:val="subscript"/>
                <w14:textFill>
                  <w14:solidFill>
                    <w14:schemeClr w14:val="tx1"/>
                  </w14:solidFill>
                </w14:textFill>
              </w:rPr>
              <w:t>Ai</w:t>
            </w:r>
            <w:r>
              <w:rPr>
                <w:color w:val="000000" w:themeColor="text1"/>
                <w:szCs w:val="21"/>
                <w:u w:val="wave"/>
                <w14:textFill>
                  <w14:solidFill>
                    <w14:schemeClr w14:val="tx1"/>
                  </w14:solidFill>
                </w14:textFill>
              </w:rPr>
              <w:t>——第i个噪声源对该点的噪声值，dB。</w:t>
            </w:r>
          </w:p>
          <w:p w14:paraId="34BCCB0B">
            <w:pPr>
              <w:snapToGrid w:val="0"/>
              <w:ind w:firstLine="482" w:firstLineChars="200"/>
              <w:rPr>
                <w:b/>
                <w:color w:val="000000" w:themeColor="text1"/>
                <w:szCs w:val="21"/>
                <w:u w:val="wave"/>
                <w14:textFill>
                  <w14:solidFill>
                    <w14:schemeClr w14:val="tx1"/>
                  </w14:solidFill>
                </w14:textFill>
              </w:rPr>
            </w:pPr>
            <w:r>
              <w:rPr>
                <w:b/>
                <w:color w:val="000000" w:themeColor="text1"/>
                <w:szCs w:val="21"/>
                <w:u w:val="wave"/>
                <w14:textFill>
                  <w14:solidFill>
                    <w14:schemeClr w14:val="tx1"/>
                  </w14:solidFill>
                </w14:textFill>
              </w:rPr>
              <w:t>（3）预测内容</w:t>
            </w:r>
          </w:p>
          <w:p w14:paraId="745554A1">
            <w:pPr>
              <w:ind w:firstLine="480" w:firstLineChars="200"/>
              <w:rPr>
                <w:color w:val="000000" w:themeColor="text1"/>
                <w:szCs w:val="21"/>
                <w:u w:val="wave"/>
                <w14:textFill>
                  <w14:solidFill>
                    <w14:schemeClr w14:val="tx1"/>
                  </w14:solidFill>
                </w14:textFill>
              </w:rPr>
            </w:pPr>
            <w:r>
              <w:rPr>
                <w:color w:val="000000" w:themeColor="text1"/>
                <w:szCs w:val="21"/>
                <w:u w:val="wave"/>
                <w14:textFill>
                  <w14:solidFill>
                    <w14:schemeClr w14:val="tx1"/>
                  </w14:solidFill>
                </w14:textFill>
              </w:rPr>
              <w:t>预测风电机组噪声200~500m处噪声贡献值，预测偏航系统偶发噪声的环境影响，预测风机运行对最近居民处的声环境影响，计算噪声影响控制区。</w:t>
            </w:r>
          </w:p>
          <w:p w14:paraId="3417B063">
            <w:pPr>
              <w:snapToGrid w:val="0"/>
              <w:ind w:firstLine="482" w:firstLineChars="200"/>
              <w:rPr>
                <w:b/>
                <w:color w:val="000000" w:themeColor="text1"/>
                <w:szCs w:val="21"/>
                <w:u w:val="wave"/>
                <w14:textFill>
                  <w14:solidFill>
                    <w14:schemeClr w14:val="tx1"/>
                  </w14:solidFill>
                </w14:textFill>
              </w:rPr>
            </w:pPr>
            <w:r>
              <w:rPr>
                <w:b/>
                <w:color w:val="000000" w:themeColor="text1"/>
                <w:szCs w:val="21"/>
                <w:u w:val="wave"/>
                <w14:textFill>
                  <w14:solidFill>
                    <w14:schemeClr w14:val="tx1"/>
                  </w14:solidFill>
                </w14:textFill>
              </w:rPr>
              <w:t>（4）预测结果</w:t>
            </w:r>
          </w:p>
          <w:p w14:paraId="09285064">
            <w:pPr>
              <w:snapToGrid w:val="0"/>
              <w:ind w:firstLine="482" w:firstLineChars="200"/>
              <w:rPr>
                <w:b/>
                <w:color w:val="000000" w:themeColor="text1"/>
                <w:szCs w:val="21"/>
                <w:u w:val="wave"/>
                <w14:textFill>
                  <w14:solidFill>
                    <w14:schemeClr w14:val="tx1"/>
                  </w14:solidFill>
                </w14:textFill>
              </w:rPr>
            </w:pPr>
            <w:r>
              <w:rPr>
                <w:b/>
                <w:color w:val="000000" w:themeColor="text1"/>
                <w:szCs w:val="21"/>
                <w:u w:val="wave"/>
                <w14:textFill>
                  <w14:solidFill>
                    <w14:schemeClr w14:val="tx1"/>
                  </w14:solidFill>
                </w14:textFill>
              </w:rPr>
              <w:t>a）单机噪声预测结果</w:t>
            </w:r>
          </w:p>
          <w:p w14:paraId="14495B7F">
            <w:pPr>
              <w:ind w:firstLine="480" w:firstLineChars="200"/>
              <w:rPr>
                <w:color w:val="000000" w:themeColor="text1"/>
                <w:szCs w:val="21"/>
                <w:u w:val="wave"/>
                <w14:textFill>
                  <w14:solidFill>
                    <w14:schemeClr w14:val="tx1"/>
                  </w14:solidFill>
                </w14:textFill>
              </w:rPr>
            </w:pPr>
            <w:r>
              <w:rPr>
                <w:color w:val="000000" w:themeColor="text1"/>
                <w:szCs w:val="21"/>
                <w:u w:val="wave"/>
                <w14:textFill>
                  <w14:solidFill>
                    <w14:schemeClr w14:val="tx1"/>
                  </w14:solidFill>
                </w14:textFill>
              </w:rPr>
              <w:t>单个风机噪声影响预测结果见下表。</w:t>
            </w:r>
          </w:p>
          <w:p w14:paraId="1F0A223C">
            <w:pPr>
              <w:pStyle w:val="8"/>
              <w:rPr>
                <w:color w:val="000000" w:themeColor="text1"/>
                <w:u w:val="wave"/>
                <w14:textFill>
                  <w14:solidFill>
                    <w14:schemeClr w14:val="tx1"/>
                  </w14:solidFill>
                </w14:textFill>
              </w:rPr>
            </w:pPr>
            <w:r>
              <w:rPr>
                <w:color w:val="000000" w:themeColor="text1"/>
                <w:u w:val="wave"/>
                <w14:textFill>
                  <w14:solidFill>
                    <w14:schemeClr w14:val="tx1"/>
                  </w14:solidFill>
                </w14:textFill>
              </w:rPr>
              <w:t>表4</w:t>
            </w:r>
            <w:r>
              <w:rPr>
                <w:rFonts w:hint="eastAsia"/>
                <w:color w:val="000000" w:themeColor="text1"/>
                <w:u w:val="wave"/>
                <w14:textFill>
                  <w14:solidFill>
                    <w14:schemeClr w14:val="tx1"/>
                  </w14:solidFill>
                </w14:textFill>
              </w:rPr>
              <w:t>.9-1</w:t>
            </w:r>
            <w:r>
              <w:rPr>
                <w:color w:val="000000" w:themeColor="text1"/>
                <w:u w:val="wave"/>
                <w14:textFill>
                  <w14:solidFill>
                    <w14:schemeClr w14:val="tx1"/>
                  </w14:solidFill>
                </w14:textFill>
              </w:rPr>
              <w:t xml:space="preserve">  单个</w:t>
            </w:r>
            <w:r>
              <w:rPr>
                <w:rFonts w:hint="eastAsia"/>
                <w:color w:val="000000" w:themeColor="text1"/>
                <w:u w:val="wave"/>
                <w:lang w:val="en-US" w:eastAsia="zh-CN"/>
                <w14:textFill>
                  <w14:solidFill>
                    <w14:schemeClr w14:val="tx1"/>
                  </w14:solidFill>
                </w14:textFill>
              </w:rPr>
              <w:t>5MW</w:t>
            </w:r>
            <w:r>
              <w:rPr>
                <w:color w:val="000000" w:themeColor="text1"/>
                <w:u w:val="wave"/>
                <w14:textFill>
                  <w14:solidFill>
                    <w14:schemeClr w14:val="tx1"/>
                  </w14:solidFill>
                </w14:textFill>
              </w:rPr>
              <w:t>风机噪声衰减计算结果</w:t>
            </w:r>
          </w:p>
          <w:tbl>
            <w:tblPr>
              <w:tblStyle w:val="26"/>
              <w:tblW w:w="775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332"/>
              <w:gridCol w:w="804"/>
              <w:gridCol w:w="842"/>
              <w:gridCol w:w="863"/>
              <w:gridCol w:w="831"/>
              <w:gridCol w:w="776"/>
              <w:gridCol w:w="690"/>
              <w:gridCol w:w="832"/>
              <w:gridCol w:w="782"/>
            </w:tblGrid>
            <w:tr w14:paraId="0414E9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332" w:type="dxa"/>
                  <w:tcBorders>
                    <w:tl2br w:val="nil"/>
                    <w:tr2bl w:val="nil"/>
                  </w:tcBorders>
                  <w:noWrap w:val="0"/>
                  <w:vAlign w:val="center"/>
                </w:tcPr>
                <w:p w14:paraId="03FDC3C3">
                  <w:pPr>
                    <w:widowControl/>
                    <w:spacing w:line="240" w:lineRule="auto"/>
                    <w:jc w:val="center"/>
                    <w:textAlignment w:val="bottom"/>
                    <w:rPr>
                      <w:rStyle w:val="96"/>
                      <w:rFonts w:hint="default" w:ascii="Times New Roman" w:hAnsi="Times New Roman" w:eastAsia="宋体" w:cs="Times New Roman"/>
                      <w:color w:val="000000" w:themeColor="text1"/>
                      <w:u w:val="wave"/>
                      <w:lang w:bidi="ar"/>
                      <w14:textFill>
                        <w14:solidFill>
                          <w14:schemeClr w14:val="tx1"/>
                        </w14:solidFill>
                      </w14:textFill>
                    </w:rPr>
                  </w:pPr>
                  <w:r>
                    <w:rPr>
                      <w:rStyle w:val="96"/>
                      <w:rFonts w:hint="default" w:ascii="Times New Roman" w:hAnsi="Times New Roman" w:eastAsia="宋体" w:cs="Times New Roman"/>
                      <w:color w:val="000000" w:themeColor="text1"/>
                      <w:u w:val="wave"/>
                      <w:lang w:bidi="ar"/>
                      <w14:textFill>
                        <w14:solidFill>
                          <w14:schemeClr w14:val="tx1"/>
                        </w14:solidFill>
                      </w14:textFill>
                    </w:rPr>
                    <w:t>距声源水平距离r1（m）</w:t>
                  </w:r>
                </w:p>
              </w:tc>
              <w:tc>
                <w:tcPr>
                  <w:tcW w:w="804" w:type="dxa"/>
                  <w:tcBorders>
                    <w:tl2br w:val="nil"/>
                    <w:tr2bl w:val="nil"/>
                  </w:tcBorders>
                  <w:noWrap w:val="0"/>
                  <w:vAlign w:val="center"/>
                </w:tcPr>
                <w:p w14:paraId="5A41A96E">
                  <w:pPr>
                    <w:widowControl/>
                    <w:spacing w:line="240" w:lineRule="auto"/>
                    <w:jc w:val="center"/>
                    <w:textAlignment w:val="bottom"/>
                    <w:rPr>
                      <w:rStyle w:val="96"/>
                      <w:rFonts w:hint="default" w:ascii="Times New Roman" w:hAnsi="Times New Roman" w:eastAsia="宋体" w:cs="Times New Roman"/>
                      <w:color w:val="000000" w:themeColor="text1"/>
                      <w:u w:val="wave"/>
                      <w:lang w:val="en-US" w:eastAsia="zh-CN" w:bidi="ar"/>
                      <w14:textFill>
                        <w14:solidFill>
                          <w14:schemeClr w14:val="tx1"/>
                        </w14:solidFill>
                      </w14:textFill>
                    </w:rPr>
                  </w:pPr>
                  <w:r>
                    <w:rPr>
                      <w:rStyle w:val="96"/>
                      <w:rFonts w:hint="eastAsia" w:ascii="Times New Roman" w:hAnsi="Times New Roman" w:eastAsia="宋体" w:cs="Times New Roman"/>
                      <w:color w:val="000000" w:themeColor="text1"/>
                      <w:u w:val="wave"/>
                      <w:lang w:val="en-US" w:eastAsia="zh-CN" w:bidi="ar"/>
                      <w14:textFill>
                        <w14:solidFill>
                          <w14:schemeClr w14:val="tx1"/>
                        </w14:solidFill>
                      </w14:textFill>
                    </w:rPr>
                    <w:t>300</w:t>
                  </w:r>
                </w:p>
              </w:tc>
              <w:tc>
                <w:tcPr>
                  <w:tcW w:w="842" w:type="dxa"/>
                  <w:tcBorders>
                    <w:tl2br w:val="nil"/>
                    <w:tr2bl w:val="nil"/>
                  </w:tcBorders>
                  <w:noWrap w:val="0"/>
                  <w:vAlign w:val="center"/>
                </w:tcPr>
                <w:p w14:paraId="11BA3D3A">
                  <w:pPr>
                    <w:widowControl/>
                    <w:spacing w:line="240" w:lineRule="auto"/>
                    <w:jc w:val="center"/>
                    <w:textAlignment w:val="bottom"/>
                    <w:rPr>
                      <w:rStyle w:val="96"/>
                      <w:rFonts w:hint="default" w:ascii="Times New Roman" w:hAnsi="Times New Roman" w:eastAsia="宋体" w:cs="Times New Roman"/>
                      <w:color w:val="000000" w:themeColor="text1"/>
                      <w:u w:val="wave"/>
                      <w:lang w:val="en-US" w:eastAsia="zh-CN" w:bidi="ar"/>
                      <w14:textFill>
                        <w14:solidFill>
                          <w14:schemeClr w14:val="tx1"/>
                        </w14:solidFill>
                      </w14:textFill>
                    </w:rPr>
                  </w:pPr>
                  <w:r>
                    <w:rPr>
                      <w:rStyle w:val="96"/>
                      <w:rFonts w:hint="eastAsia" w:ascii="Times New Roman" w:hAnsi="Times New Roman" w:eastAsia="宋体" w:cs="Times New Roman"/>
                      <w:color w:val="000000" w:themeColor="text1"/>
                      <w:u w:val="wave"/>
                      <w:lang w:val="en-US" w:eastAsia="zh-CN" w:bidi="ar"/>
                      <w14:textFill>
                        <w14:solidFill>
                          <w14:schemeClr w14:val="tx1"/>
                        </w14:solidFill>
                      </w14:textFill>
                    </w:rPr>
                    <w:t>320</w:t>
                  </w:r>
                </w:p>
              </w:tc>
              <w:tc>
                <w:tcPr>
                  <w:tcW w:w="863" w:type="dxa"/>
                  <w:tcBorders>
                    <w:tl2br w:val="nil"/>
                    <w:tr2bl w:val="nil"/>
                  </w:tcBorders>
                  <w:noWrap w:val="0"/>
                  <w:vAlign w:val="center"/>
                </w:tcPr>
                <w:p w14:paraId="6ACA3354">
                  <w:pPr>
                    <w:widowControl/>
                    <w:spacing w:line="240" w:lineRule="auto"/>
                    <w:jc w:val="center"/>
                    <w:textAlignment w:val="bottom"/>
                    <w:rPr>
                      <w:rStyle w:val="96"/>
                      <w:rFonts w:hint="default" w:ascii="Times New Roman" w:hAnsi="Times New Roman" w:eastAsia="宋体" w:cs="Times New Roman"/>
                      <w:color w:val="000000" w:themeColor="text1"/>
                      <w:u w:val="wave"/>
                      <w:lang w:val="en-US" w:eastAsia="zh-CN" w:bidi="ar"/>
                      <w14:textFill>
                        <w14:solidFill>
                          <w14:schemeClr w14:val="tx1"/>
                        </w14:solidFill>
                      </w14:textFill>
                    </w:rPr>
                  </w:pPr>
                  <w:r>
                    <w:rPr>
                      <w:rStyle w:val="96"/>
                      <w:rFonts w:hint="eastAsia" w:ascii="Times New Roman" w:hAnsi="Times New Roman" w:eastAsia="宋体" w:cs="Times New Roman"/>
                      <w:color w:val="000000" w:themeColor="text1"/>
                      <w:u w:val="wave"/>
                      <w:lang w:val="en-US" w:eastAsia="zh-CN" w:bidi="ar"/>
                      <w14:textFill>
                        <w14:solidFill>
                          <w14:schemeClr w14:val="tx1"/>
                        </w14:solidFill>
                      </w14:textFill>
                    </w:rPr>
                    <w:t>340</w:t>
                  </w:r>
                </w:p>
              </w:tc>
              <w:tc>
                <w:tcPr>
                  <w:tcW w:w="831" w:type="dxa"/>
                  <w:tcBorders>
                    <w:tl2br w:val="nil"/>
                    <w:tr2bl w:val="nil"/>
                  </w:tcBorders>
                  <w:noWrap w:val="0"/>
                  <w:vAlign w:val="center"/>
                </w:tcPr>
                <w:p w14:paraId="489484F5">
                  <w:pPr>
                    <w:widowControl/>
                    <w:spacing w:line="240" w:lineRule="auto"/>
                    <w:jc w:val="center"/>
                    <w:textAlignment w:val="bottom"/>
                    <w:rPr>
                      <w:rStyle w:val="96"/>
                      <w:rFonts w:hint="default" w:ascii="Times New Roman" w:hAnsi="Times New Roman" w:eastAsia="宋体" w:cs="Times New Roman"/>
                      <w:color w:val="000000" w:themeColor="text1"/>
                      <w:u w:val="wave"/>
                      <w:lang w:val="en-US" w:eastAsia="zh-CN" w:bidi="ar"/>
                      <w14:textFill>
                        <w14:solidFill>
                          <w14:schemeClr w14:val="tx1"/>
                        </w14:solidFill>
                      </w14:textFill>
                    </w:rPr>
                  </w:pPr>
                  <w:r>
                    <w:rPr>
                      <w:rStyle w:val="96"/>
                      <w:rFonts w:hint="eastAsia" w:ascii="Times New Roman" w:hAnsi="Times New Roman" w:eastAsia="宋体" w:cs="Times New Roman"/>
                      <w:color w:val="000000" w:themeColor="text1"/>
                      <w:u w:val="wave"/>
                      <w:lang w:bidi="ar"/>
                      <w14:textFill>
                        <w14:solidFill>
                          <w14:schemeClr w14:val="tx1"/>
                        </w14:solidFill>
                      </w14:textFill>
                    </w:rPr>
                    <w:t>3</w:t>
                  </w:r>
                  <w:r>
                    <w:rPr>
                      <w:rStyle w:val="96"/>
                      <w:rFonts w:hint="eastAsia" w:ascii="Times New Roman" w:hAnsi="Times New Roman" w:eastAsia="宋体" w:cs="Times New Roman"/>
                      <w:color w:val="000000" w:themeColor="text1"/>
                      <w:u w:val="wave"/>
                      <w:lang w:val="en-US" w:eastAsia="zh-CN" w:bidi="ar"/>
                      <w14:textFill>
                        <w14:solidFill>
                          <w14:schemeClr w14:val="tx1"/>
                        </w14:solidFill>
                      </w14:textFill>
                    </w:rPr>
                    <w:t>60</w:t>
                  </w:r>
                </w:p>
              </w:tc>
              <w:tc>
                <w:tcPr>
                  <w:tcW w:w="776" w:type="dxa"/>
                  <w:tcBorders>
                    <w:tl2br w:val="nil"/>
                    <w:tr2bl w:val="nil"/>
                  </w:tcBorders>
                  <w:noWrap w:val="0"/>
                  <w:vAlign w:val="center"/>
                </w:tcPr>
                <w:p w14:paraId="58AA04F9">
                  <w:pPr>
                    <w:widowControl/>
                    <w:spacing w:line="240" w:lineRule="auto"/>
                    <w:jc w:val="center"/>
                    <w:textAlignment w:val="bottom"/>
                    <w:rPr>
                      <w:rStyle w:val="96"/>
                      <w:rFonts w:hint="default" w:ascii="Times New Roman" w:hAnsi="Times New Roman" w:eastAsia="宋体" w:cs="Times New Roman"/>
                      <w:color w:val="000000" w:themeColor="text1"/>
                      <w:u w:val="wave"/>
                      <w:lang w:val="en-US" w:eastAsia="zh-CN" w:bidi="ar"/>
                      <w14:textFill>
                        <w14:solidFill>
                          <w14:schemeClr w14:val="tx1"/>
                        </w14:solidFill>
                      </w14:textFill>
                    </w:rPr>
                  </w:pPr>
                  <w:r>
                    <w:rPr>
                      <w:rStyle w:val="96"/>
                      <w:rFonts w:hint="eastAsia" w:ascii="Times New Roman" w:hAnsi="Times New Roman" w:eastAsia="宋体" w:cs="Times New Roman"/>
                      <w:color w:val="000000" w:themeColor="text1"/>
                      <w:u w:val="wave"/>
                      <w:lang w:val="en-US" w:eastAsia="zh-CN" w:bidi="ar"/>
                      <w14:textFill>
                        <w14:solidFill>
                          <w14:schemeClr w14:val="tx1"/>
                        </w14:solidFill>
                      </w14:textFill>
                    </w:rPr>
                    <w:t>380</w:t>
                  </w:r>
                </w:p>
              </w:tc>
              <w:tc>
                <w:tcPr>
                  <w:tcW w:w="690" w:type="dxa"/>
                  <w:tcBorders>
                    <w:tl2br w:val="nil"/>
                    <w:tr2bl w:val="nil"/>
                  </w:tcBorders>
                  <w:noWrap w:val="0"/>
                  <w:vAlign w:val="center"/>
                </w:tcPr>
                <w:p w14:paraId="5A7C9755">
                  <w:pPr>
                    <w:widowControl/>
                    <w:spacing w:line="240" w:lineRule="auto"/>
                    <w:jc w:val="center"/>
                    <w:textAlignment w:val="bottom"/>
                    <w:rPr>
                      <w:rStyle w:val="96"/>
                      <w:rFonts w:hint="default" w:ascii="Times New Roman" w:hAnsi="Times New Roman" w:eastAsia="宋体" w:cs="Times New Roman"/>
                      <w:color w:val="000000" w:themeColor="text1"/>
                      <w:u w:val="wave"/>
                      <w:lang w:val="en-US" w:eastAsia="zh-CN" w:bidi="ar"/>
                      <w14:textFill>
                        <w14:solidFill>
                          <w14:schemeClr w14:val="tx1"/>
                        </w14:solidFill>
                      </w14:textFill>
                    </w:rPr>
                  </w:pPr>
                  <w:r>
                    <w:rPr>
                      <w:rStyle w:val="96"/>
                      <w:rFonts w:hint="eastAsia" w:ascii="Times New Roman" w:hAnsi="Times New Roman" w:eastAsia="宋体" w:cs="Times New Roman"/>
                      <w:color w:val="000000" w:themeColor="text1"/>
                      <w:u w:val="wave"/>
                      <w:lang w:val="en-US" w:eastAsia="zh-CN" w:bidi="ar"/>
                      <w14:textFill>
                        <w14:solidFill>
                          <w14:schemeClr w14:val="tx1"/>
                        </w14:solidFill>
                      </w14:textFill>
                    </w:rPr>
                    <w:t>400</w:t>
                  </w:r>
                </w:p>
              </w:tc>
              <w:tc>
                <w:tcPr>
                  <w:tcW w:w="832" w:type="dxa"/>
                  <w:tcBorders>
                    <w:tl2br w:val="nil"/>
                    <w:tr2bl w:val="nil"/>
                  </w:tcBorders>
                  <w:noWrap w:val="0"/>
                  <w:vAlign w:val="center"/>
                </w:tcPr>
                <w:p w14:paraId="5EC007FB">
                  <w:pPr>
                    <w:widowControl/>
                    <w:spacing w:line="240" w:lineRule="auto"/>
                    <w:jc w:val="center"/>
                    <w:textAlignment w:val="bottom"/>
                    <w:rPr>
                      <w:rStyle w:val="96"/>
                      <w:rFonts w:hint="default" w:ascii="Times New Roman" w:hAnsi="Times New Roman" w:eastAsia="宋体" w:cs="Times New Roman"/>
                      <w:color w:val="000000" w:themeColor="text1"/>
                      <w:u w:val="wave"/>
                      <w:lang w:val="en-US" w:eastAsia="zh-CN" w:bidi="ar"/>
                      <w14:textFill>
                        <w14:solidFill>
                          <w14:schemeClr w14:val="tx1"/>
                        </w14:solidFill>
                      </w14:textFill>
                    </w:rPr>
                  </w:pPr>
                  <w:r>
                    <w:rPr>
                      <w:rStyle w:val="96"/>
                      <w:rFonts w:hint="eastAsia" w:ascii="Times New Roman" w:hAnsi="Times New Roman" w:eastAsia="宋体" w:cs="Times New Roman"/>
                      <w:color w:val="000000" w:themeColor="text1"/>
                      <w:u w:val="wave"/>
                      <w:lang w:val="en-US" w:eastAsia="zh-CN" w:bidi="ar"/>
                      <w14:textFill>
                        <w14:solidFill>
                          <w14:schemeClr w14:val="tx1"/>
                        </w14:solidFill>
                      </w14:textFill>
                    </w:rPr>
                    <w:t>450</w:t>
                  </w:r>
                </w:p>
              </w:tc>
              <w:tc>
                <w:tcPr>
                  <w:tcW w:w="782" w:type="dxa"/>
                  <w:tcBorders>
                    <w:tl2br w:val="nil"/>
                    <w:tr2bl w:val="nil"/>
                  </w:tcBorders>
                  <w:noWrap w:val="0"/>
                  <w:vAlign w:val="center"/>
                </w:tcPr>
                <w:p w14:paraId="7EB790BB">
                  <w:pPr>
                    <w:widowControl/>
                    <w:spacing w:line="240" w:lineRule="auto"/>
                    <w:jc w:val="center"/>
                    <w:textAlignment w:val="bottom"/>
                    <w:rPr>
                      <w:rStyle w:val="96"/>
                      <w:rFonts w:hint="default" w:ascii="Times New Roman" w:hAnsi="Times New Roman" w:eastAsia="宋体" w:cs="Times New Roman"/>
                      <w:color w:val="000000" w:themeColor="text1"/>
                      <w:u w:val="wave"/>
                      <w:lang w:val="en-US" w:eastAsia="zh-CN" w:bidi="ar"/>
                      <w14:textFill>
                        <w14:solidFill>
                          <w14:schemeClr w14:val="tx1"/>
                        </w14:solidFill>
                      </w14:textFill>
                    </w:rPr>
                  </w:pPr>
                  <w:r>
                    <w:rPr>
                      <w:rStyle w:val="96"/>
                      <w:rFonts w:hint="eastAsia" w:ascii="Times New Roman" w:hAnsi="Times New Roman" w:eastAsia="宋体" w:cs="Times New Roman"/>
                      <w:color w:val="000000" w:themeColor="text1"/>
                      <w:u w:val="wave"/>
                      <w:lang w:val="en-US" w:eastAsia="zh-CN" w:bidi="ar"/>
                      <w14:textFill>
                        <w14:solidFill>
                          <w14:schemeClr w14:val="tx1"/>
                        </w14:solidFill>
                      </w14:textFill>
                    </w:rPr>
                    <w:t>500</w:t>
                  </w:r>
                </w:p>
              </w:tc>
            </w:tr>
            <w:tr w14:paraId="7BF779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3" w:hRule="atLeast"/>
                <w:jc w:val="center"/>
              </w:trPr>
              <w:tc>
                <w:tcPr>
                  <w:tcW w:w="1332" w:type="dxa"/>
                  <w:tcBorders>
                    <w:tl2br w:val="nil"/>
                    <w:tr2bl w:val="nil"/>
                  </w:tcBorders>
                  <w:noWrap w:val="0"/>
                  <w:vAlign w:val="center"/>
                </w:tcPr>
                <w:p w14:paraId="5FB60ED3">
                  <w:pPr>
                    <w:widowControl/>
                    <w:spacing w:line="240" w:lineRule="auto"/>
                    <w:jc w:val="center"/>
                    <w:textAlignment w:val="bottom"/>
                    <w:rPr>
                      <w:rStyle w:val="96"/>
                      <w:rFonts w:hint="default" w:ascii="Times New Roman" w:hAnsi="Times New Roman" w:eastAsia="宋体" w:cs="Times New Roman"/>
                      <w:color w:val="000000" w:themeColor="text1"/>
                      <w:u w:val="wave"/>
                      <w:lang w:bidi="ar"/>
                      <w14:textFill>
                        <w14:solidFill>
                          <w14:schemeClr w14:val="tx1"/>
                        </w14:solidFill>
                      </w14:textFill>
                    </w:rPr>
                  </w:pPr>
                  <w:r>
                    <w:rPr>
                      <w:rStyle w:val="96"/>
                      <w:rFonts w:hint="default" w:ascii="Times New Roman" w:hAnsi="Times New Roman" w:eastAsia="宋体" w:cs="Times New Roman"/>
                      <w:color w:val="000000" w:themeColor="text1"/>
                      <w:u w:val="wave"/>
                      <w:lang w:bidi="ar"/>
                      <w14:textFill>
                        <w14:solidFill>
                          <w14:schemeClr w14:val="tx1"/>
                        </w14:solidFill>
                      </w14:textFill>
                    </w:rPr>
                    <w:t>距声源</w:t>
                  </w:r>
                  <w:r>
                    <w:rPr>
                      <w:rStyle w:val="96"/>
                      <w:rFonts w:hint="eastAsia" w:ascii="Times New Roman" w:hAnsi="Times New Roman" w:eastAsia="宋体" w:cs="Times New Roman"/>
                      <w:color w:val="000000" w:themeColor="text1"/>
                      <w:u w:val="wave"/>
                      <w:lang w:bidi="ar"/>
                      <w14:textFill>
                        <w14:solidFill>
                          <w14:schemeClr w14:val="tx1"/>
                        </w14:solidFill>
                      </w14:textFill>
                    </w:rPr>
                    <w:t>几何</w:t>
                  </w:r>
                  <w:r>
                    <w:rPr>
                      <w:rStyle w:val="96"/>
                      <w:rFonts w:hint="default" w:ascii="Times New Roman" w:hAnsi="Times New Roman" w:eastAsia="宋体" w:cs="Times New Roman"/>
                      <w:color w:val="000000" w:themeColor="text1"/>
                      <w:u w:val="wave"/>
                      <w:lang w:bidi="ar"/>
                      <w14:textFill>
                        <w14:solidFill>
                          <w14:schemeClr w14:val="tx1"/>
                        </w14:solidFill>
                      </w14:textFill>
                    </w:rPr>
                    <w:t>距离r（m）</w:t>
                  </w:r>
                </w:p>
              </w:tc>
              <w:tc>
                <w:tcPr>
                  <w:tcW w:w="804" w:type="dxa"/>
                  <w:tcBorders>
                    <w:tl2br w:val="nil"/>
                    <w:tr2bl w:val="nil"/>
                  </w:tcBorders>
                  <w:noWrap w:val="0"/>
                  <w:vAlign w:val="center"/>
                </w:tcPr>
                <w:p w14:paraId="3DA7DEF4">
                  <w:pPr>
                    <w:widowControl/>
                    <w:spacing w:line="240" w:lineRule="auto"/>
                    <w:jc w:val="center"/>
                    <w:textAlignment w:val="bottom"/>
                    <w:rPr>
                      <w:rStyle w:val="96"/>
                      <w:rFonts w:hint="default" w:ascii="Times New Roman" w:hAnsi="Times New Roman" w:eastAsia="宋体" w:cs="Times New Roman"/>
                      <w:color w:val="000000" w:themeColor="text1"/>
                      <w:u w:val="wave"/>
                      <w:lang w:val="en-US" w:eastAsia="zh-CN" w:bidi="ar"/>
                      <w14:textFill>
                        <w14:solidFill>
                          <w14:schemeClr w14:val="tx1"/>
                        </w14:solidFill>
                      </w14:textFill>
                    </w:rPr>
                  </w:pPr>
                  <w:r>
                    <w:rPr>
                      <w:rStyle w:val="96"/>
                      <w:rFonts w:hint="eastAsia" w:ascii="Times New Roman" w:hAnsi="Times New Roman" w:eastAsia="宋体" w:cs="Times New Roman"/>
                      <w:color w:val="000000" w:themeColor="text1"/>
                      <w:u w:val="wave"/>
                      <w:lang w:val="en-US" w:eastAsia="zh-CN" w:bidi="ar"/>
                      <w14:textFill>
                        <w14:solidFill>
                          <w14:schemeClr w14:val="tx1"/>
                        </w14:solidFill>
                      </w14:textFill>
                    </w:rPr>
                    <w:t>319.5</w:t>
                  </w:r>
                </w:p>
              </w:tc>
              <w:tc>
                <w:tcPr>
                  <w:tcW w:w="842" w:type="dxa"/>
                  <w:tcBorders>
                    <w:tl2br w:val="nil"/>
                    <w:tr2bl w:val="nil"/>
                  </w:tcBorders>
                  <w:noWrap w:val="0"/>
                  <w:vAlign w:val="center"/>
                </w:tcPr>
                <w:p w14:paraId="3E67794F">
                  <w:pPr>
                    <w:widowControl/>
                    <w:spacing w:line="240" w:lineRule="auto"/>
                    <w:jc w:val="center"/>
                    <w:textAlignment w:val="bottom"/>
                    <w:rPr>
                      <w:rStyle w:val="96"/>
                      <w:rFonts w:hint="default" w:ascii="Times New Roman" w:hAnsi="Times New Roman" w:eastAsia="宋体" w:cs="Times New Roman"/>
                      <w:color w:val="000000" w:themeColor="text1"/>
                      <w:u w:val="wave"/>
                      <w:lang w:val="en-US" w:eastAsia="zh-CN" w:bidi="ar"/>
                      <w14:textFill>
                        <w14:solidFill>
                          <w14:schemeClr w14:val="tx1"/>
                        </w14:solidFill>
                      </w14:textFill>
                    </w:rPr>
                  </w:pPr>
                  <w:r>
                    <w:rPr>
                      <w:rStyle w:val="96"/>
                      <w:rFonts w:hint="eastAsia" w:ascii="Times New Roman" w:hAnsi="Times New Roman" w:eastAsia="宋体" w:cs="Times New Roman"/>
                      <w:color w:val="000000" w:themeColor="text1"/>
                      <w:u w:val="wave"/>
                      <w:lang w:val="en-US" w:eastAsia="zh-CN" w:bidi="ar"/>
                      <w14:textFill>
                        <w14:solidFill>
                          <w14:schemeClr w14:val="tx1"/>
                        </w14:solidFill>
                      </w14:textFill>
                    </w:rPr>
                    <w:t>338.4</w:t>
                  </w:r>
                </w:p>
              </w:tc>
              <w:tc>
                <w:tcPr>
                  <w:tcW w:w="863" w:type="dxa"/>
                  <w:tcBorders>
                    <w:tl2br w:val="nil"/>
                    <w:tr2bl w:val="nil"/>
                  </w:tcBorders>
                  <w:noWrap w:val="0"/>
                  <w:vAlign w:val="center"/>
                </w:tcPr>
                <w:p w14:paraId="77630C1F">
                  <w:pPr>
                    <w:widowControl/>
                    <w:spacing w:line="240" w:lineRule="auto"/>
                    <w:jc w:val="center"/>
                    <w:textAlignment w:val="bottom"/>
                    <w:rPr>
                      <w:rStyle w:val="96"/>
                      <w:rFonts w:hint="default" w:ascii="Times New Roman" w:hAnsi="Times New Roman" w:eastAsia="宋体" w:cs="Times New Roman"/>
                      <w:color w:val="000000" w:themeColor="text1"/>
                      <w:u w:val="wave"/>
                      <w:lang w:val="en-US" w:eastAsia="zh-CN" w:bidi="ar"/>
                      <w14:textFill>
                        <w14:solidFill>
                          <w14:schemeClr w14:val="tx1"/>
                        </w14:solidFill>
                      </w14:textFill>
                    </w:rPr>
                  </w:pPr>
                  <w:r>
                    <w:rPr>
                      <w:rStyle w:val="96"/>
                      <w:rFonts w:hint="default" w:ascii="Times New Roman" w:hAnsi="Times New Roman" w:eastAsia="宋体" w:cs="Times New Roman"/>
                      <w:color w:val="000000" w:themeColor="text1"/>
                      <w:u w:val="wave"/>
                      <w:lang w:bidi="ar"/>
                      <w14:textFill>
                        <w14:solidFill>
                          <w14:schemeClr w14:val="tx1"/>
                        </w14:solidFill>
                      </w14:textFill>
                    </w:rPr>
                    <w:t>3</w:t>
                  </w:r>
                  <w:r>
                    <w:rPr>
                      <w:rStyle w:val="96"/>
                      <w:rFonts w:hint="eastAsia" w:ascii="Times New Roman" w:hAnsi="Times New Roman" w:eastAsia="宋体" w:cs="Times New Roman"/>
                      <w:color w:val="000000" w:themeColor="text1"/>
                      <w:u w:val="wave"/>
                      <w:lang w:val="en-US" w:eastAsia="zh-CN" w:bidi="ar"/>
                      <w14:textFill>
                        <w14:solidFill>
                          <w14:schemeClr w14:val="tx1"/>
                        </w14:solidFill>
                      </w14:textFill>
                    </w:rPr>
                    <w:t>57.4</w:t>
                  </w:r>
                </w:p>
              </w:tc>
              <w:tc>
                <w:tcPr>
                  <w:tcW w:w="831" w:type="dxa"/>
                  <w:tcBorders>
                    <w:tl2br w:val="nil"/>
                    <w:tr2bl w:val="nil"/>
                  </w:tcBorders>
                  <w:noWrap w:val="0"/>
                  <w:vAlign w:val="center"/>
                </w:tcPr>
                <w:p w14:paraId="4D0139A8">
                  <w:pPr>
                    <w:widowControl/>
                    <w:spacing w:line="240" w:lineRule="auto"/>
                    <w:jc w:val="center"/>
                    <w:textAlignment w:val="bottom"/>
                    <w:rPr>
                      <w:rStyle w:val="96"/>
                      <w:rFonts w:hint="default" w:ascii="Times New Roman" w:hAnsi="Times New Roman" w:eastAsia="宋体" w:cs="Times New Roman"/>
                      <w:color w:val="000000" w:themeColor="text1"/>
                      <w:u w:val="wave"/>
                      <w:lang w:val="en-US" w:eastAsia="zh-CN" w:bidi="ar"/>
                      <w14:textFill>
                        <w14:solidFill>
                          <w14:schemeClr w14:val="tx1"/>
                        </w14:solidFill>
                      </w14:textFill>
                    </w:rPr>
                  </w:pPr>
                  <w:r>
                    <w:rPr>
                      <w:rStyle w:val="96"/>
                      <w:rFonts w:hint="default" w:ascii="Times New Roman" w:hAnsi="Times New Roman" w:eastAsia="宋体" w:cs="Times New Roman"/>
                      <w:color w:val="000000" w:themeColor="text1"/>
                      <w:u w:val="wave"/>
                      <w:lang w:bidi="ar"/>
                      <w14:textFill>
                        <w14:solidFill>
                          <w14:schemeClr w14:val="tx1"/>
                        </w14:solidFill>
                      </w14:textFill>
                    </w:rPr>
                    <w:t>3</w:t>
                  </w:r>
                  <w:r>
                    <w:rPr>
                      <w:rStyle w:val="96"/>
                      <w:rFonts w:hint="eastAsia" w:ascii="Times New Roman" w:hAnsi="Times New Roman" w:eastAsia="宋体" w:cs="Times New Roman"/>
                      <w:color w:val="000000" w:themeColor="text1"/>
                      <w:u w:val="wave"/>
                      <w:lang w:val="en-US" w:eastAsia="zh-CN" w:bidi="ar"/>
                      <w14:textFill>
                        <w14:solidFill>
                          <w14:schemeClr w14:val="tx1"/>
                        </w14:solidFill>
                      </w14:textFill>
                    </w:rPr>
                    <w:t>76.4</w:t>
                  </w:r>
                </w:p>
              </w:tc>
              <w:tc>
                <w:tcPr>
                  <w:tcW w:w="776" w:type="dxa"/>
                  <w:tcBorders>
                    <w:tl2br w:val="nil"/>
                    <w:tr2bl w:val="nil"/>
                  </w:tcBorders>
                  <w:noWrap w:val="0"/>
                  <w:vAlign w:val="center"/>
                </w:tcPr>
                <w:p w14:paraId="465E7C5E">
                  <w:pPr>
                    <w:widowControl/>
                    <w:spacing w:line="240" w:lineRule="auto"/>
                    <w:jc w:val="center"/>
                    <w:textAlignment w:val="bottom"/>
                    <w:rPr>
                      <w:rStyle w:val="96"/>
                      <w:rFonts w:hint="default" w:ascii="Times New Roman" w:hAnsi="Times New Roman" w:eastAsia="宋体" w:cs="Times New Roman"/>
                      <w:color w:val="000000" w:themeColor="text1"/>
                      <w:u w:val="wave"/>
                      <w:lang w:val="en-US" w:eastAsia="zh-CN" w:bidi="ar"/>
                      <w14:textFill>
                        <w14:solidFill>
                          <w14:schemeClr w14:val="tx1"/>
                        </w14:solidFill>
                      </w14:textFill>
                    </w:rPr>
                  </w:pPr>
                  <w:r>
                    <w:rPr>
                      <w:rStyle w:val="96"/>
                      <w:rFonts w:hint="eastAsia" w:ascii="Times New Roman" w:hAnsi="Times New Roman" w:eastAsia="宋体" w:cs="Times New Roman"/>
                      <w:color w:val="000000" w:themeColor="text1"/>
                      <w:u w:val="wave"/>
                      <w:lang w:val="en-US" w:eastAsia="zh-CN" w:bidi="ar"/>
                      <w14:textFill>
                        <w14:solidFill>
                          <w14:schemeClr w14:val="tx1"/>
                        </w14:solidFill>
                      </w14:textFill>
                    </w:rPr>
                    <w:t>395.6</w:t>
                  </w:r>
                </w:p>
              </w:tc>
              <w:tc>
                <w:tcPr>
                  <w:tcW w:w="690" w:type="dxa"/>
                  <w:tcBorders>
                    <w:tl2br w:val="nil"/>
                    <w:tr2bl w:val="nil"/>
                  </w:tcBorders>
                  <w:noWrap w:val="0"/>
                  <w:vAlign w:val="center"/>
                </w:tcPr>
                <w:p w14:paraId="7E784F1E">
                  <w:pPr>
                    <w:widowControl/>
                    <w:spacing w:line="240" w:lineRule="auto"/>
                    <w:jc w:val="center"/>
                    <w:textAlignment w:val="bottom"/>
                    <w:rPr>
                      <w:rStyle w:val="96"/>
                      <w:rFonts w:hint="default" w:ascii="Times New Roman" w:hAnsi="Times New Roman" w:eastAsia="宋体" w:cs="Times New Roman"/>
                      <w:color w:val="000000" w:themeColor="text1"/>
                      <w:u w:val="wave"/>
                      <w:lang w:val="en-US" w:eastAsia="zh-CN" w:bidi="ar"/>
                      <w14:textFill>
                        <w14:solidFill>
                          <w14:schemeClr w14:val="tx1"/>
                        </w14:solidFill>
                      </w14:textFill>
                    </w:rPr>
                  </w:pPr>
                  <w:r>
                    <w:rPr>
                      <w:rStyle w:val="96"/>
                      <w:rFonts w:hint="eastAsia" w:ascii="Times New Roman" w:hAnsi="Times New Roman" w:eastAsia="宋体" w:cs="Times New Roman"/>
                      <w:color w:val="000000" w:themeColor="text1"/>
                      <w:u w:val="wave"/>
                      <w:lang w:val="en-US" w:eastAsia="zh-CN" w:bidi="ar"/>
                      <w14:textFill>
                        <w14:solidFill>
                          <w14:schemeClr w14:val="tx1"/>
                        </w14:solidFill>
                      </w14:textFill>
                    </w:rPr>
                    <w:t>414.8</w:t>
                  </w:r>
                </w:p>
              </w:tc>
              <w:tc>
                <w:tcPr>
                  <w:tcW w:w="832" w:type="dxa"/>
                  <w:tcBorders>
                    <w:tl2br w:val="nil"/>
                    <w:tr2bl w:val="nil"/>
                  </w:tcBorders>
                  <w:noWrap w:val="0"/>
                  <w:vAlign w:val="center"/>
                </w:tcPr>
                <w:p w14:paraId="093A0BF7">
                  <w:pPr>
                    <w:widowControl/>
                    <w:spacing w:line="240" w:lineRule="auto"/>
                    <w:jc w:val="center"/>
                    <w:textAlignment w:val="bottom"/>
                    <w:rPr>
                      <w:rStyle w:val="96"/>
                      <w:rFonts w:hint="default" w:ascii="Times New Roman" w:hAnsi="Times New Roman" w:eastAsia="宋体" w:cs="Times New Roman"/>
                      <w:color w:val="000000" w:themeColor="text1"/>
                      <w:u w:val="wave"/>
                      <w:lang w:val="en-US" w:eastAsia="zh-CN" w:bidi="ar"/>
                      <w14:textFill>
                        <w14:solidFill>
                          <w14:schemeClr w14:val="tx1"/>
                        </w14:solidFill>
                      </w14:textFill>
                    </w:rPr>
                  </w:pPr>
                  <w:r>
                    <w:rPr>
                      <w:rStyle w:val="96"/>
                      <w:rFonts w:hint="eastAsia" w:ascii="Times New Roman" w:hAnsi="Times New Roman" w:eastAsia="宋体" w:cs="Times New Roman"/>
                      <w:color w:val="000000" w:themeColor="text1"/>
                      <w:u w:val="wave"/>
                      <w:lang w:val="en-US" w:eastAsia="zh-CN" w:bidi="ar"/>
                      <w14:textFill>
                        <w14:solidFill>
                          <w14:schemeClr w14:val="tx1"/>
                        </w14:solidFill>
                      </w14:textFill>
                    </w:rPr>
                    <w:t>463.2</w:t>
                  </w:r>
                </w:p>
              </w:tc>
              <w:tc>
                <w:tcPr>
                  <w:tcW w:w="782" w:type="dxa"/>
                  <w:tcBorders>
                    <w:tl2br w:val="nil"/>
                    <w:tr2bl w:val="nil"/>
                  </w:tcBorders>
                  <w:noWrap w:val="0"/>
                  <w:vAlign w:val="center"/>
                </w:tcPr>
                <w:p w14:paraId="1BFF0B86">
                  <w:pPr>
                    <w:widowControl/>
                    <w:spacing w:line="240" w:lineRule="auto"/>
                    <w:jc w:val="center"/>
                    <w:textAlignment w:val="bottom"/>
                    <w:rPr>
                      <w:rStyle w:val="96"/>
                      <w:rFonts w:hint="default" w:ascii="Times New Roman" w:hAnsi="Times New Roman" w:eastAsia="宋体" w:cs="Times New Roman"/>
                      <w:color w:val="000000" w:themeColor="text1"/>
                      <w:u w:val="wave"/>
                      <w:lang w:val="en-US" w:eastAsia="zh-CN" w:bidi="ar"/>
                      <w14:textFill>
                        <w14:solidFill>
                          <w14:schemeClr w14:val="tx1"/>
                        </w14:solidFill>
                      </w14:textFill>
                    </w:rPr>
                  </w:pPr>
                  <w:r>
                    <w:rPr>
                      <w:rStyle w:val="96"/>
                      <w:rFonts w:hint="eastAsia" w:ascii="Times New Roman" w:hAnsi="Times New Roman" w:eastAsia="宋体" w:cs="Times New Roman"/>
                      <w:color w:val="000000" w:themeColor="text1"/>
                      <w:u w:val="wave"/>
                      <w:lang w:val="en-US" w:eastAsia="zh-CN" w:bidi="ar"/>
                      <w14:textFill>
                        <w14:solidFill>
                          <w14:schemeClr w14:val="tx1"/>
                        </w14:solidFill>
                      </w14:textFill>
                    </w:rPr>
                    <w:t>512.0</w:t>
                  </w:r>
                </w:p>
              </w:tc>
            </w:tr>
            <w:tr w14:paraId="7A374A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34" w:hRule="atLeast"/>
                <w:jc w:val="center"/>
              </w:trPr>
              <w:tc>
                <w:tcPr>
                  <w:tcW w:w="1332" w:type="dxa"/>
                  <w:tcBorders>
                    <w:tl2br w:val="nil"/>
                    <w:tr2bl w:val="nil"/>
                  </w:tcBorders>
                  <w:noWrap w:val="0"/>
                  <w:vAlign w:val="center"/>
                </w:tcPr>
                <w:p w14:paraId="7DBB70AC">
                  <w:pPr>
                    <w:widowControl/>
                    <w:spacing w:line="240" w:lineRule="auto"/>
                    <w:jc w:val="center"/>
                    <w:textAlignment w:val="bottom"/>
                    <w:rPr>
                      <w:rStyle w:val="96"/>
                      <w:rFonts w:hint="default" w:ascii="Times New Roman" w:hAnsi="Times New Roman" w:eastAsia="宋体" w:cs="Times New Roman"/>
                      <w:color w:val="000000" w:themeColor="text1"/>
                      <w:u w:val="wave"/>
                      <w:lang w:bidi="ar"/>
                      <w14:textFill>
                        <w14:solidFill>
                          <w14:schemeClr w14:val="tx1"/>
                        </w14:solidFill>
                      </w14:textFill>
                    </w:rPr>
                  </w:pPr>
                  <w:r>
                    <w:rPr>
                      <w:rStyle w:val="96"/>
                      <w:rFonts w:hint="default" w:ascii="Times New Roman" w:hAnsi="Times New Roman" w:eastAsia="宋体" w:cs="Times New Roman"/>
                      <w:color w:val="000000" w:themeColor="text1"/>
                      <w:u w:val="wave"/>
                      <w:lang w:bidi="ar"/>
                      <w14:textFill>
                        <w14:solidFill>
                          <w14:schemeClr w14:val="tx1"/>
                        </w14:solidFill>
                      </w14:textFill>
                    </w:rPr>
                    <w:t>风机贡献值L(r)dB(A)</w:t>
                  </w:r>
                </w:p>
              </w:tc>
              <w:tc>
                <w:tcPr>
                  <w:tcW w:w="804" w:type="dxa"/>
                  <w:tcBorders>
                    <w:tl2br w:val="nil"/>
                    <w:tr2bl w:val="nil"/>
                  </w:tcBorders>
                  <w:noWrap w:val="0"/>
                  <w:vAlign w:val="center"/>
                </w:tcPr>
                <w:p w14:paraId="3F4347D8">
                  <w:pPr>
                    <w:widowControl/>
                    <w:spacing w:line="240" w:lineRule="auto"/>
                    <w:jc w:val="center"/>
                    <w:textAlignment w:val="bottom"/>
                    <w:rPr>
                      <w:rStyle w:val="96"/>
                      <w:rFonts w:hint="default" w:ascii="Times New Roman" w:hAnsi="Times New Roman" w:eastAsia="宋体" w:cs="Times New Roman"/>
                      <w:color w:val="000000" w:themeColor="text1"/>
                      <w:u w:val="wave"/>
                      <w:lang w:val="en-US" w:eastAsia="zh-CN" w:bidi="ar"/>
                      <w14:textFill>
                        <w14:solidFill>
                          <w14:schemeClr w14:val="tx1"/>
                        </w14:solidFill>
                      </w14:textFill>
                    </w:rPr>
                  </w:pPr>
                  <w:r>
                    <w:rPr>
                      <w:rStyle w:val="96"/>
                      <w:rFonts w:hint="eastAsia" w:ascii="Times New Roman" w:hAnsi="Times New Roman" w:eastAsia="宋体" w:cs="Times New Roman"/>
                      <w:color w:val="000000" w:themeColor="text1"/>
                      <w:u w:val="wave"/>
                      <w:lang w:val="en-US" w:eastAsia="zh-CN" w:bidi="ar"/>
                      <w14:textFill>
                        <w14:solidFill>
                          <w14:schemeClr w14:val="tx1"/>
                        </w14:solidFill>
                      </w14:textFill>
                    </w:rPr>
                    <w:t>50.9</w:t>
                  </w:r>
                </w:p>
              </w:tc>
              <w:tc>
                <w:tcPr>
                  <w:tcW w:w="842" w:type="dxa"/>
                  <w:tcBorders>
                    <w:tl2br w:val="nil"/>
                    <w:tr2bl w:val="nil"/>
                  </w:tcBorders>
                  <w:noWrap w:val="0"/>
                  <w:vAlign w:val="center"/>
                </w:tcPr>
                <w:p w14:paraId="097E39D9">
                  <w:pPr>
                    <w:widowControl/>
                    <w:spacing w:line="240" w:lineRule="auto"/>
                    <w:jc w:val="center"/>
                    <w:textAlignment w:val="bottom"/>
                    <w:rPr>
                      <w:rStyle w:val="96"/>
                      <w:rFonts w:hint="default" w:ascii="Times New Roman" w:hAnsi="Times New Roman" w:eastAsia="宋体" w:cs="Times New Roman"/>
                      <w:color w:val="000000" w:themeColor="text1"/>
                      <w:u w:val="wave"/>
                      <w:lang w:val="en-US" w:eastAsia="zh-CN" w:bidi="ar"/>
                      <w14:textFill>
                        <w14:solidFill>
                          <w14:schemeClr w14:val="tx1"/>
                        </w14:solidFill>
                      </w14:textFill>
                    </w:rPr>
                  </w:pPr>
                  <w:r>
                    <w:rPr>
                      <w:rStyle w:val="96"/>
                      <w:rFonts w:hint="eastAsia" w:ascii="Times New Roman" w:hAnsi="Times New Roman" w:eastAsia="宋体" w:cs="Times New Roman"/>
                      <w:color w:val="000000" w:themeColor="text1"/>
                      <w:u w:val="wave"/>
                      <w:lang w:val="en-US" w:eastAsia="zh-CN" w:bidi="ar"/>
                      <w14:textFill>
                        <w14:solidFill>
                          <w14:schemeClr w14:val="tx1"/>
                        </w14:solidFill>
                      </w14:textFill>
                    </w:rPr>
                    <w:t>50.4</w:t>
                  </w:r>
                </w:p>
              </w:tc>
              <w:tc>
                <w:tcPr>
                  <w:tcW w:w="863" w:type="dxa"/>
                  <w:tcBorders>
                    <w:tl2br w:val="nil"/>
                    <w:tr2bl w:val="nil"/>
                  </w:tcBorders>
                  <w:noWrap w:val="0"/>
                  <w:vAlign w:val="center"/>
                </w:tcPr>
                <w:p w14:paraId="70D39669">
                  <w:pPr>
                    <w:widowControl/>
                    <w:spacing w:line="240" w:lineRule="auto"/>
                    <w:jc w:val="center"/>
                    <w:textAlignment w:val="bottom"/>
                    <w:rPr>
                      <w:rStyle w:val="96"/>
                      <w:rFonts w:hint="default" w:ascii="Times New Roman" w:hAnsi="Times New Roman" w:eastAsia="宋体" w:cs="Times New Roman"/>
                      <w:color w:val="000000" w:themeColor="text1"/>
                      <w:u w:val="wave"/>
                      <w:lang w:val="en-US" w:eastAsia="zh-CN" w:bidi="ar"/>
                      <w14:textFill>
                        <w14:solidFill>
                          <w14:schemeClr w14:val="tx1"/>
                        </w14:solidFill>
                      </w14:textFill>
                    </w:rPr>
                  </w:pPr>
                  <w:r>
                    <w:rPr>
                      <w:rStyle w:val="96"/>
                      <w:rFonts w:hint="eastAsia" w:ascii="Times New Roman" w:hAnsi="Times New Roman" w:eastAsia="宋体" w:cs="Times New Roman"/>
                      <w:color w:val="000000" w:themeColor="text1"/>
                      <w:u w:val="wave"/>
                      <w:lang w:val="en-US" w:eastAsia="zh-CN" w:bidi="ar"/>
                      <w14:textFill>
                        <w14:solidFill>
                          <w14:schemeClr w14:val="tx1"/>
                        </w14:solidFill>
                      </w14:textFill>
                    </w:rPr>
                    <w:t>49.9</w:t>
                  </w:r>
                </w:p>
              </w:tc>
              <w:tc>
                <w:tcPr>
                  <w:tcW w:w="831" w:type="dxa"/>
                  <w:tcBorders>
                    <w:tl2br w:val="nil"/>
                    <w:tr2bl w:val="nil"/>
                  </w:tcBorders>
                  <w:noWrap w:val="0"/>
                  <w:vAlign w:val="center"/>
                </w:tcPr>
                <w:p w14:paraId="316D0375">
                  <w:pPr>
                    <w:widowControl/>
                    <w:spacing w:line="240" w:lineRule="auto"/>
                    <w:jc w:val="center"/>
                    <w:textAlignment w:val="bottom"/>
                    <w:rPr>
                      <w:rStyle w:val="96"/>
                      <w:rFonts w:hint="eastAsia" w:ascii="Times New Roman" w:hAnsi="Times New Roman" w:eastAsia="宋体" w:cs="Times New Roman"/>
                      <w:color w:val="000000" w:themeColor="text1"/>
                      <w:u w:val="wave"/>
                      <w:lang w:eastAsia="zh-CN" w:bidi="ar"/>
                      <w14:textFill>
                        <w14:solidFill>
                          <w14:schemeClr w14:val="tx1"/>
                        </w14:solidFill>
                      </w14:textFill>
                    </w:rPr>
                  </w:pPr>
                  <w:r>
                    <w:rPr>
                      <w:rStyle w:val="96"/>
                      <w:rFonts w:hint="default" w:ascii="Times New Roman" w:hAnsi="Times New Roman" w:eastAsia="宋体" w:cs="Times New Roman"/>
                      <w:color w:val="000000" w:themeColor="text1"/>
                      <w:u w:val="wave"/>
                      <w:lang w:bidi="ar"/>
                      <w14:textFill>
                        <w14:solidFill>
                          <w14:schemeClr w14:val="tx1"/>
                        </w14:solidFill>
                      </w14:textFill>
                    </w:rPr>
                    <w:t>49.</w:t>
                  </w:r>
                  <w:r>
                    <w:rPr>
                      <w:rStyle w:val="96"/>
                      <w:rFonts w:hint="eastAsia" w:ascii="Times New Roman" w:hAnsi="Times New Roman" w:eastAsia="宋体" w:cs="Times New Roman"/>
                      <w:color w:val="000000" w:themeColor="text1"/>
                      <w:u w:val="wave"/>
                      <w:lang w:val="en-US" w:eastAsia="zh-CN" w:bidi="ar"/>
                      <w14:textFill>
                        <w14:solidFill>
                          <w14:schemeClr w14:val="tx1"/>
                        </w14:solidFill>
                      </w14:textFill>
                    </w:rPr>
                    <w:t>5</w:t>
                  </w:r>
                </w:p>
              </w:tc>
              <w:tc>
                <w:tcPr>
                  <w:tcW w:w="776" w:type="dxa"/>
                  <w:tcBorders>
                    <w:tl2br w:val="nil"/>
                    <w:tr2bl w:val="nil"/>
                  </w:tcBorders>
                  <w:noWrap w:val="0"/>
                  <w:vAlign w:val="center"/>
                </w:tcPr>
                <w:p w14:paraId="6F4CB693">
                  <w:pPr>
                    <w:widowControl/>
                    <w:spacing w:line="240" w:lineRule="auto"/>
                    <w:jc w:val="center"/>
                    <w:textAlignment w:val="bottom"/>
                    <w:rPr>
                      <w:rStyle w:val="96"/>
                      <w:rFonts w:hint="default" w:ascii="Times New Roman" w:hAnsi="Times New Roman" w:eastAsia="宋体" w:cs="Times New Roman"/>
                      <w:color w:val="000000" w:themeColor="text1"/>
                      <w:u w:val="wave"/>
                      <w:lang w:val="en-US" w:eastAsia="zh-CN" w:bidi="ar"/>
                      <w14:textFill>
                        <w14:solidFill>
                          <w14:schemeClr w14:val="tx1"/>
                        </w14:solidFill>
                      </w14:textFill>
                    </w:rPr>
                  </w:pPr>
                  <w:r>
                    <w:rPr>
                      <w:rStyle w:val="96"/>
                      <w:rFonts w:hint="default" w:ascii="Times New Roman" w:hAnsi="Times New Roman" w:eastAsia="宋体" w:cs="Times New Roman"/>
                      <w:color w:val="000000" w:themeColor="text1"/>
                      <w:u w:val="wave"/>
                      <w:lang w:bidi="ar"/>
                      <w14:textFill>
                        <w14:solidFill>
                          <w14:schemeClr w14:val="tx1"/>
                        </w14:solidFill>
                      </w14:textFill>
                    </w:rPr>
                    <w:t>4</w:t>
                  </w:r>
                  <w:r>
                    <w:rPr>
                      <w:rStyle w:val="96"/>
                      <w:rFonts w:hint="eastAsia" w:ascii="Times New Roman" w:hAnsi="Times New Roman" w:eastAsia="宋体" w:cs="Times New Roman"/>
                      <w:color w:val="000000" w:themeColor="text1"/>
                      <w:u w:val="wave"/>
                      <w:lang w:val="en-US" w:eastAsia="zh-CN" w:bidi="ar"/>
                      <w14:textFill>
                        <w14:solidFill>
                          <w14:schemeClr w14:val="tx1"/>
                        </w14:solidFill>
                      </w14:textFill>
                    </w:rPr>
                    <w:t>9.1</w:t>
                  </w:r>
                </w:p>
              </w:tc>
              <w:tc>
                <w:tcPr>
                  <w:tcW w:w="690" w:type="dxa"/>
                  <w:tcBorders>
                    <w:tl2br w:val="nil"/>
                    <w:tr2bl w:val="nil"/>
                  </w:tcBorders>
                  <w:noWrap w:val="0"/>
                  <w:vAlign w:val="center"/>
                </w:tcPr>
                <w:p w14:paraId="15836B8E">
                  <w:pPr>
                    <w:widowControl/>
                    <w:spacing w:line="240" w:lineRule="auto"/>
                    <w:jc w:val="center"/>
                    <w:textAlignment w:val="bottom"/>
                    <w:rPr>
                      <w:rStyle w:val="96"/>
                      <w:rFonts w:hint="default" w:ascii="Times New Roman" w:hAnsi="Times New Roman" w:eastAsia="宋体" w:cs="Times New Roman"/>
                      <w:color w:val="000000" w:themeColor="text1"/>
                      <w:u w:val="wave"/>
                      <w:lang w:val="en-US" w:eastAsia="zh-CN" w:bidi="ar"/>
                      <w14:textFill>
                        <w14:solidFill>
                          <w14:schemeClr w14:val="tx1"/>
                        </w14:solidFill>
                      </w14:textFill>
                    </w:rPr>
                  </w:pPr>
                  <w:r>
                    <w:rPr>
                      <w:rStyle w:val="96"/>
                      <w:rFonts w:hint="eastAsia" w:ascii="Times New Roman" w:hAnsi="Times New Roman" w:eastAsia="宋体" w:cs="Times New Roman"/>
                      <w:color w:val="000000" w:themeColor="text1"/>
                      <w:u w:val="wave"/>
                      <w:lang w:val="en-US" w:eastAsia="zh-CN" w:bidi="ar"/>
                      <w14:textFill>
                        <w14:solidFill>
                          <w14:schemeClr w14:val="tx1"/>
                        </w14:solidFill>
                      </w14:textFill>
                    </w:rPr>
                    <w:t>48.6</w:t>
                  </w:r>
                </w:p>
              </w:tc>
              <w:tc>
                <w:tcPr>
                  <w:tcW w:w="832" w:type="dxa"/>
                  <w:tcBorders>
                    <w:tl2br w:val="nil"/>
                    <w:tr2bl w:val="nil"/>
                  </w:tcBorders>
                  <w:noWrap w:val="0"/>
                  <w:vAlign w:val="center"/>
                </w:tcPr>
                <w:p w14:paraId="15C2C0FE">
                  <w:pPr>
                    <w:widowControl/>
                    <w:spacing w:line="240" w:lineRule="auto"/>
                    <w:jc w:val="center"/>
                    <w:textAlignment w:val="bottom"/>
                    <w:rPr>
                      <w:rStyle w:val="96"/>
                      <w:rFonts w:hint="default" w:ascii="Times New Roman" w:hAnsi="Times New Roman" w:eastAsia="宋体" w:cs="Times New Roman"/>
                      <w:color w:val="000000" w:themeColor="text1"/>
                      <w:u w:val="wave"/>
                      <w:lang w:val="en-US" w:eastAsia="zh-CN" w:bidi="ar"/>
                      <w14:textFill>
                        <w14:solidFill>
                          <w14:schemeClr w14:val="tx1"/>
                        </w14:solidFill>
                      </w14:textFill>
                    </w:rPr>
                  </w:pPr>
                  <w:r>
                    <w:rPr>
                      <w:rStyle w:val="96"/>
                      <w:rFonts w:hint="eastAsia" w:ascii="Times New Roman" w:hAnsi="Times New Roman" w:eastAsia="宋体" w:cs="Times New Roman"/>
                      <w:color w:val="000000" w:themeColor="text1"/>
                      <w:u w:val="wave"/>
                      <w:lang w:val="en-US" w:eastAsia="zh-CN" w:bidi="ar"/>
                      <w14:textFill>
                        <w14:solidFill>
                          <w14:schemeClr w14:val="tx1"/>
                        </w14:solidFill>
                      </w14:textFill>
                    </w:rPr>
                    <w:t>47.7</w:t>
                  </w:r>
                </w:p>
              </w:tc>
              <w:tc>
                <w:tcPr>
                  <w:tcW w:w="782" w:type="dxa"/>
                  <w:tcBorders>
                    <w:tl2br w:val="nil"/>
                    <w:tr2bl w:val="nil"/>
                  </w:tcBorders>
                  <w:noWrap w:val="0"/>
                  <w:vAlign w:val="center"/>
                </w:tcPr>
                <w:p w14:paraId="0E4F8C74">
                  <w:pPr>
                    <w:widowControl/>
                    <w:spacing w:line="240" w:lineRule="auto"/>
                    <w:jc w:val="center"/>
                    <w:textAlignment w:val="bottom"/>
                    <w:rPr>
                      <w:rStyle w:val="96"/>
                      <w:rFonts w:hint="default" w:ascii="Times New Roman" w:hAnsi="Times New Roman" w:eastAsia="宋体" w:cs="Times New Roman"/>
                      <w:color w:val="000000" w:themeColor="text1"/>
                      <w:u w:val="wave"/>
                      <w:lang w:val="en-US" w:eastAsia="zh-CN" w:bidi="ar"/>
                      <w14:textFill>
                        <w14:solidFill>
                          <w14:schemeClr w14:val="tx1"/>
                        </w14:solidFill>
                      </w14:textFill>
                    </w:rPr>
                  </w:pPr>
                  <w:r>
                    <w:rPr>
                      <w:rStyle w:val="96"/>
                      <w:rFonts w:hint="eastAsia" w:ascii="Times New Roman" w:hAnsi="Times New Roman" w:eastAsia="宋体" w:cs="Times New Roman"/>
                      <w:color w:val="000000" w:themeColor="text1"/>
                      <w:u w:val="wave"/>
                      <w:lang w:val="en-US" w:eastAsia="zh-CN" w:bidi="ar"/>
                      <w14:textFill>
                        <w14:solidFill>
                          <w14:schemeClr w14:val="tx1"/>
                        </w14:solidFill>
                      </w14:textFill>
                    </w:rPr>
                    <w:t>46.8</w:t>
                  </w:r>
                </w:p>
              </w:tc>
            </w:tr>
          </w:tbl>
          <w:p w14:paraId="58C9BF50">
            <w:pPr>
              <w:adjustRightInd w:val="0"/>
              <w:snapToGrid w:val="0"/>
              <w:spacing w:before="120" w:beforeLines="50"/>
              <w:ind w:firstLine="360" w:firstLineChars="200"/>
              <w:rPr>
                <w:snapToGrid w:val="0"/>
                <w:color w:val="000000" w:themeColor="text1"/>
                <w:kern w:val="0"/>
                <w:u w:val="wave"/>
                <w14:textFill>
                  <w14:solidFill>
                    <w14:schemeClr w14:val="tx1"/>
                  </w14:solidFill>
                </w14:textFill>
              </w:rPr>
            </w:pPr>
            <w:r>
              <w:rPr>
                <w:color w:val="000000" w:themeColor="text1"/>
                <w:sz w:val="18"/>
                <w:szCs w:val="18"/>
                <w:u w:val="wave"/>
                <w14:textFill>
                  <w14:solidFill>
                    <w14:schemeClr w14:val="tx1"/>
                  </w14:solidFill>
                </w14:textFill>
              </w:rPr>
              <w:t>注：r2=（r1</w:t>
            </w:r>
            <w:r>
              <w:rPr>
                <w:color w:val="000000" w:themeColor="text1"/>
                <w:sz w:val="18"/>
                <w:szCs w:val="18"/>
                <w:u w:val="wave"/>
                <w:vertAlign w:val="superscript"/>
                <w14:textFill>
                  <w14:solidFill>
                    <w14:schemeClr w14:val="tx1"/>
                  </w14:solidFill>
                </w14:textFill>
              </w:rPr>
              <w:t>2</w:t>
            </w:r>
            <w:r>
              <w:rPr>
                <w:color w:val="000000" w:themeColor="text1"/>
                <w:sz w:val="18"/>
                <w:szCs w:val="18"/>
                <w:u w:val="wave"/>
                <w14:textFill>
                  <w14:solidFill>
                    <w14:schemeClr w14:val="tx1"/>
                  </w14:solidFill>
                </w14:textFill>
              </w:rPr>
              <w:t>+</w:t>
            </w:r>
            <w:r>
              <w:rPr>
                <w:rFonts w:hint="eastAsia"/>
                <w:color w:val="000000" w:themeColor="text1"/>
                <w:sz w:val="18"/>
                <w:szCs w:val="18"/>
                <w:u w:val="wave"/>
                <w:lang w:val="en-US" w:eastAsia="zh-CN"/>
                <w14:textFill>
                  <w14:solidFill>
                    <w14:schemeClr w14:val="tx1"/>
                  </w14:solidFill>
                </w14:textFill>
              </w:rPr>
              <w:t>115</w:t>
            </w:r>
            <w:r>
              <w:rPr>
                <w:color w:val="000000" w:themeColor="text1"/>
                <w:sz w:val="18"/>
                <w:szCs w:val="18"/>
                <w:u w:val="wave"/>
                <w:vertAlign w:val="superscript"/>
                <w14:textFill>
                  <w14:solidFill>
                    <w14:schemeClr w14:val="tx1"/>
                  </w14:solidFill>
                </w14:textFill>
              </w:rPr>
              <w:t>2</w:t>
            </w:r>
            <w:r>
              <w:rPr>
                <w:color w:val="000000" w:themeColor="text1"/>
                <w:sz w:val="18"/>
                <w:szCs w:val="18"/>
                <w:u w:val="wave"/>
                <w14:textFill>
                  <w14:solidFill>
                    <w14:schemeClr w14:val="tx1"/>
                  </w14:solidFill>
                </w14:textFill>
              </w:rPr>
              <w:t>）</w:t>
            </w:r>
            <w:r>
              <w:rPr>
                <w:color w:val="000000" w:themeColor="text1"/>
                <w:sz w:val="18"/>
                <w:szCs w:val="18"/>
                <w:u w:val="wave"/>
                <w:vertAlign w:val="superscript"/>
                <w14:textFill>
                  <w14:solidFill>
                    <w14:schemeClr w14:val="tx1"/>
                  </w14:solidFill>
                </w14:textFill>
              </w:rPr>
              <w:t>1/2</w:t>
            </w:r>
            <w:r>
              <w:rPr>
                <w:color w:val="000000" w:themeColor="text1"/>
                <w:sz w:val="18"/>
                <w:szCs w:val="18"/>
                <w:u w:val="wave"/>
                <w14:textFill>
                  <w14:solidFill>
                    <w14:schemeClr w14:val="tx1"/>
                  </w14:solidFill>
                </w14:textFill>
              </w:rPr>
              <w:t>，</w:t>
            </w:r>
            <w:r>
              <w:rPr>
                <w:rFonts w:hint="eastAsia"/>
                <w:color w:val="000000" w:themeColor="text1"/>
                <w:sz w:val="18"/>
                <w:szCs w:val="18"/>
                <w:u w:val="wave"/>
                <w14:textFill>
                  <w14:solidFill>
                    <w14:schemeClr w14:val="tx1"/>
                  </w14:solidFill>
                </w14:textFill>
              </w:rPr>
              <w:t>115m</w:t>
            </w:r>
            <w:r>
              <w:rPr>
                <w:color w:val="000000" w:themeColor="text1"/>
                <w:sz w:val="18"/>
                <w:szCs w:val="18"/>
                <w:u w:val="wave"/>
                <w14:textFill>
                  <w14:solidFill>
                    <w14:schemeClr w14:val="tx1"/>
                  </w14:solidFill>
                </w14:textFill>
              </w:rPr>
              <w:t>为垂直高度，没有考虑高程差，即为轮毂与地面的高程。</w:t>
            </w:r>
          </w:p>
          <w:p w14:paraId="10B4311F">
            <w:pPr>
              <w:adjustRightInd w:val="0"/>
              <w:snapToGrid w:val="0"/>
              <w:ind w:firstLine="480" w:firstLineChars="200"/>
              <w:rPr>
                <w:rFonts w:hint="eastAsia"/>
                <w:snapToGrid w:val="0"/>
                <w:color w:val="000000" w:themeColor="text1"/>
                <w:kern w:val="0"/>
                <w:u w:val="wave"/>
                <w14:textFill>
                  <w14:solidFill>
                    <w14:schemeClr w14:val="tx1"/>
                  </w14:solidFill>
                </w14:textFill>
              </w:rPr>
            </w:pPr>
            <w:r>
              <w:rPr>
                <w:rFonts w:hint="eastAsia"/>
                <w:snapToGrid w:val="0"/>
                <w:color w:val="000000" w:themeColor="text1"/>
                <w:kern w:val="0"/>
                <w:u w:val="wave"/>
                <w14:textFill>
                  <w14:solidFill>
                    <w14:schemeClr w14:val="tx1"/>
                  </w14:solidFill>
                </w14:textFill>
              </w:rPr>
              <w:t>从上表可以看出，对于本项目采用的风机，不考虑敏感点与风机基础高程差的情况下，5MW风机附近昼间距离300m处已低于《声环境质量标</w:t>
            </w:r>
          </w:p>
          <w:p w14:paraId="7A2B2D13">
            <w:pPr>
              <w:adjustRightInd w:val="0"/>
              <w:snapToGrid w:val="0"/>
              <w:rPr>
                <w:color w:val="000000" w:themeColor="text1"/>
                <w:kern w:val="0"/>
                <w:u w:val="wave"/>
                <w14:textFill>
                  <w14:solidFill>
                    <w14:schemeClr w14:val="tx1"/>
                  </w14:solidFill>
                </w14:textFill>
              </w:rPr>
            </w:pPr>
            <w:r>
              <w:rPr>
                <w:rFonts w:hint="eastAsia"/>
                <w:snapToGrid w:val="0"/>
                <w:color w:val="000000" w:themeColor="text1"/>
                <w:kern w:val="0"/>
                <w:u w:val="wave"/>
                <w14:textFill>
                  <w14:solidFill>
                    <w14:schemeClr w14:val="tx1"/>
                  </w14:solidFill>
                </w14:textFill>
              </w:rPr>
              <w:t>准》（GB3096-2008）2类标准昼间噪声限制（60dB(A)），夜间在距离340m以外方可低于《声环境质量标准》（GB3096-2008）2类标准夜间噪声限制（50dB(A)）；</w:t>
            </w:r>
            <w:r>
              <w:rPr>
                <w:color w:val="000000" w:themeColor="text1"/>
                <w:kern w:val="0"/>
                <w:u w:val="wave"/>
                <w14:textFill>
                  <w14:solidFill>
                    <w14:schemeClr w14:val="tx1"/>
                  </w14:solidFill>
                </w14:textFill>
              </w:rPr>
              <w:t>根据现场踏勘，项目风机布置点较为空旷，通过预测结果，可知项目</w:t>
            </w:r>
            <w:r>
              <w:rPr>
                <w:snapToGrid w:val="0"/>
                <w:color w:val="000000" w:themeColor="text1"/>
                <w:kern w:val="0"/>
                <w:u w:val="wave"/>
                <w14:textFill>
                  <w14:solidFill>
                    <w14:schemeClr w14:val="tx1"/>
                  </w14:solidFill>
                </w14:textFill>
              </w:rPr>
              <w:t>风电机组的噪声影响控制区</w:t>
            </w:r>
            <w:r>
              <w:rPr>
                <w:rFonts w:hint="eastAsia"/>
                <w:snapToGrid w:val="0"/>
                <w:color w:val="000000" w:themeColor="text1"/>
                <w:kern w:val="0"/>
                <w:u w:val="wave"/>
                <w14:textFill>
                  <w14:solidFill>
                    <w14:schemeClr w14:val="tx1"/>
                  </w14:solidFill>
                </w14:textFill>
              </w:rPr>
              <w:t>外</w:t>
            </w:r>
            <w:r>
              <w:rPr>
                <w:color w:val="000000" w:themeColor="text1"/>
                <w:kern w:val="0"/>
                <w:u w:val="wave"/>
                <w14:textFill>
                  <w14:solidFill>
                    <w14:schemeClr w14:val="tx1"/>
                  </w14:solidFill>
                </w14:textFill>
              </w:rPr>
              <w:t>风机噪声对周边声环境影响小。</w:t>
            </w:r>
          </w:p>
          <w:p w14:paraId="164FE6F7">
            <w:pPr>
              <w:pStyle w:val="10"/>
              <w:rPr>
                <w:u w:val="wave"/>
              </w:rPr>
            </w:pPr>
            <w:r>
              <w:rPr>
                <w:sz w:val="18"/>
                <w:u w:val="wave"/>
              </w:rPr>
              <mc:AlternateContent>
                <mc:Choice Requires="wps">
                  <w:drawing>
                    <wp:anchor distT="0" distB="0" distL="114300" distR="114300" simplePos="0" relativeHeight="251683840" behindDoc="0" locked="0" layoutInCell="1" allowOverlap="1">
                      <wp:simplePos x="0" y="0"/>
                      <wp:positionH relativeFrom="column">
                        <wp:posOffset>1424305</wp:posOffset>
                      </wp:positionH>
                      <wp:positionV relativeFrom="paragraph">
                        <wp:posOffset>1519555</wp:posOffset>
                      </wp:positionV>
                      <wp:extent cx="502285" cy="231140"/>
                      <wp:effectExtent l="19050" t="140970" r="27305" b="146050"/>
                      <wp:wrapNone/>
                      <wp:docPr id="38" name="文本框 38"/>
                      <wp:cNvGraphicFramePr/>
                      <a:graphic xmlns:a="http://schemas.openxmlformats.org/drawingml/2006/main">
                        <a:graphicData uri="http://schemas.microsoft.com/office/word/2010/wordprocessingShape">
                          <wps:wsp>
                            <wps:cNvSpPr txBox="1"/>
                            <wps:spPr>
                              <a:xfrm rot="19140000">
                                <a:off x="3776980" y="2398395"/>
                                <a:ext cx="502285" cy="2311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B704DAC">
                                  <w:pPr>
                                    <w:rPr>
                                      <w:rFonts w:hint="default" w:eastAsia="宋体"/>
                                      <w:sz w:val="18"/>
                                      <w:szCs w:val="18"/>
                                      <w:lang w:val="en-US" w:eastAsia="zh-CN"/>
                                    </w:rPr>
                                  </w:pPr>
                                  <w:r>
                                    <w:rPr>
                                      <w:rFonts w:hint="eastAsia"/>
                                      <w:sz w:val="18"/>
                                      <w:szCs w:val="18"/>
                                      <w:lang w:val="en-US" w:eastAsia="zh-CN"/>
                                    </w:rPr>
                                    <w:t>350米米</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2.15pt;margin-top:119.65pt;height:18.2pt;width:39.55pt;rotation:-2686976f;z-index:251683840;mso-width-relative:page;mso-height-relative:page;" fillcolor="#FFFFFF [3201]" filled="t" stroked="t" coordsize="21600,21600" o:gfxdata="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ova5N2QAAAAsBAAAPAAAAAAAAAAEAIAAAACIAAABkcnMvZG93bnJldi54&#10;bWxQSwECFAAUAAAACACHTuJAW65Q5GsCAADTBAAADgAAAAAAAAABACAAAAAoAQAAZHJzL2Uyb0Rv&#10;Yy54bWxQSwUGAAAAAAYABgBZAQAABQYAAAAA&#10;">
                      <v:fill on="t" focussize="0,0"/>
                      <v:stroke weight="0.5pt" color="#000000 [3204]" joinstyle="round"/>
                      <v:imagedata o:title=""/>
                      <o:lock v:ext="edit" aspectratio="f"/>
                      <v:textbox>
                        <w:txbxContent>
                          <w:p w14:paraId="3B704DAC">
                            <w:pPr>
                              <w:rPr>
                                <w:rFonts w:hint="default" w:eastAsia="宋体"/>
                                <w:sz w:val="18"/>
                                <w:szCs w:val="18"/>
                                <w:lang w:val="en-US" w:eastAsia="zh-CN"/>
                              </w:rPr>
                            </w:pPr>
                            <w:r>
                              <w:rPr>
                                <w:rFonts w:hint="eastAsia"/>
                                <w:sz w:val="18"/>
                                <w:szCs w:val="18"/>
                                <w:lang w:val="en-US" w:eastAsia="zh-CN"/>
                              </w:rPr>
                              <w:t>350米米</w:t>
                            </w:r>
                          </w:p>
                        </w:txbxContent>
                      </v:textbox>
                    </v:shape>
                  </w:pict>
                </mc:Fallback>
              </mc:AlternateContent>
            </w:r>
            <w:r>
              <w:rPr>
                <w:rFonts w:hint="eastAsia"/>
                <w:snapToGrid w:val="0"/>
                <w:color w:val="000000" w:themeColor="text1"/>
                <w:kern w:val="0"/>
                <w:u w:val="wave"/>
                <w14:textFill>
                  <w14:solidFill>
                    <w14:schemeClr w14:val="tx1"/>
                  </w14:solidFill>
                </w14:textFill>
              </w:rPr>
              <w:drawing>
                <wp:inline distT="0" distB="0" distL="114300" distR="114300">
                  <wp:extent cx="4076700" cy="3173730"/>
                  <wp:effectExtent l="0" t="0" r="7620" b="11430"/>
                  <wp:docPr id="37" name="图片 37" descr="1736955143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736955143109"/>
                          <pic:cNvPicPr>
                            <a:picLocks noChangeAspect="1"/>
                          </pic:cNvPicPr>
                        </pic:nvPicPr>
                        <pic:blipFill>
                          <a:blip r:embed="rId57"/>
                          <a:stretch>
                            <a:fillRect/>
                          </a:stretch>
                        </pic:blipFill>
                        <pic:spPr>
                          <a:xfrm>
                            <a:off x="0" y="0"/>
                            <a:ext cx="4076700" cy="3173730"/>
                          </a:xfrm>
                          <a:prstGeom prst="rect">
                            <a:avLst/>
                          </a:prstGeom>
                        </pic:spPr>
                      </pic:pic>
                    </a:graphicData>
                  </a:graphic>
                </wp:inline>
              </w:drawing>
            </w:r>
          </w:p>
          <w:p w14:paraId="068600C8">
            <w:pPr>
              <w:snapToGrid w:val="0"/>
              <w:ind w:firstLine="482" w:firstLineChars="200"/>
              <w:rPr>
                <w:b/>
                <w:color w:val="000000" w:themeColor="text1"/>
                <w:szCs w:val="21"/>
                <w:u w:val="wave"/>
                <w14:textFill>
                  <w14:solidFill>
                    <w14:schemeClr w14:val="tx1"/>
                  </w14:solidFill>
                </w14:textFill>
              </w:rPr>
            </w:pPr>
            <w:r>
              <w:rPr>
                <w:b/>
                <w:color w:val="000000" w:themeColor="text1"/>
                <w:szCs w:val="21"/>
                <w:u w:val="wave"/>
                <w14:textFill>
                  <w14:solidFill>
                    <w14:schemeClr w14:val="tx1"/>
                  </w14:solidFill>
                </w14:textFill>
              </w:rPr>
              <w:t>b）偏航系统偶发噪声预测结果</w:t>
            </w:r>
          </w:p>
          <w:p w14:paraId="342EE632">
            <w:pPr>
              <w:ind w:firstLine="420"/>
              <w:rPr>
                <w:color w:val="000000" w:themeColor="text1"/>
                <w:u w:val="wave"/>
                <w14:textFill>
                  <w14:solidFill>
                    <w14:schemeClr w14:val="tx1"/>
                  </w14:solidFill>
                </w14:textFill>
              </w:rPr>
            </w:pPr>
            <w:r>
              <w:rPr>
                <w:color w:val="000000" w:themeColor="text1"/>
                <w:u w:val="wave"/>
                <w14:textFill>
                  <w14:solidFill>
                    <w14:schemeClr w14:val="tx1"/>
                  </w14:solidFill>
                </w14:textFill>
              </w:rPr>
              <w:t>偏航系统运行时噪声来源于刹车系统产生的刹车噪声、液压及润滑油冷却系统噪声。单个风电机组偏航系统运行突发噪声最大预测值见下表。</w:t>
            </w:r>
          </w:p>
          <w:p w14:paraId="1862D8E4">
            <w:pPr>
              <w:pStyle w:val="8"/>
              <w:rPr>
                <w:color w:val="000000" w:themeColor="text1"/>
                <w:u w:val="wave"/>
                <w14:textFill>
                  <w14:solidFill>
                    <w14:schemeClr w14:val="tx1"/>
                  </w14:solidFill>
                </w14:textFill>
              </w:rPr>
            </w:pPr>
            <w:r>
              <w:rPr>
                <w:color w:val="000000" w:themeColor="text1"/>
                <w:u w:val="wave"/>
                <w14:textFill>
                  <w14:solidFill>
                    <w14:schemeClr w14:val="tx1"/>
                  </w14:solidFill>
                </w14:textFill>
              </w:rPr>
              <w:t>表</w:t>
            </w:r>
            <w:r>
              <w:rPr>
                <w:rFonts w:hint="eastAsia"/>
                <w:color w:val="000000" w:themeColor="text1"/>
                <w:u w:val="wave"/>
                <w14:textFill>
                  <w14:solidFill>
                    <w14:schemeClr w14:val="tx1"/>
                  </w14:solidFill>
                </w14:textFill>
              </w:rPr>
              <w:t>4.9-</w:t>
            </w:r>
            <w:r>
              <w:rPr>
                <w:rFonts w:hint="eastAsia"/>
                <w:color w:val="000000" w:themeColor="text1"/>
                <w:u w:val="wave"/>
                <w:lang w:val="en-US" w:eastAsia="zh-CN"/>
                <w14:textFill>
                  <w14:solidFill>
                    <w14:schemeClr w14:val="tx1"/>
                  </w14:solidFill>
                </w14:textFill>
              </w:rPr>
              <w:t>2</w:t>
            </w:r>
            <w:r>
              <w:rPr>
                <w:color w:val="000000" w:themeColor="text1"/>
                <w:u w:val="wave"/>
                <w14:textFill>
                  <w14:solidFill>
                    <w14:schemeClr w14:val="tx1"/>
                  </w14:solidFill>
                </w14:textFill>
              </w:rPr>
              <w:t xml:space="preserve">  偏航系统刹车偶发噪声衰减计算结果</w:t>
            </w:r>
          </w:p>
          <w:tbl>
            <w:tblPr>
              <w:tblStyle w:val="26"/>
              <w:tblW w:w="7770" w:type="dxa"/>
              <w:jc w:val="center"/>
              <w:tblLayout w:type="fixed"/>
              <w:tblCellMar>
                <w:top w:w="0" w:type="dxa"/>
                <w:left w:w="108" w:type="dxa"/>
                <w:bottom w:w="0" w:type="dxa"/>
                <w:right w:w="108" w:type="dxa"/>
              </w:tblCellMar>
            </w:tblPr>
            <w:tblGrid>
              <w:gridCol w:w="1952"/>
              <w:gridCol w:w="909"/>
              <w:gridCol w:w="952"/>
              <w:gridCol w:w="1015"/>
              <w:gridCol w:w="985"/>
              <w:gridCol w:w="1015"/>
              <w:gridCol w:w="942"/>
            </w:tblGrid>
            <w:tr w14:paraId="4EAF3B49">
              <w:tblPrEx>
                <w:tblCellMar>
                  <w:top w:w="0" w:type="dxa"/>
                  <w:left w:w="108" w:type="dxa"/>
                  <w:bottom w:w="0" w:type="dxa"/>
                  <w:right w:w="108" w:type="dxa"/>
                </w:tblCellMar>
              </w:tblPrEx>
              <w:trPr>
                <w:trHeight w:val="397" w:hRule="atLeast"/>
                <w:jc w:val="center"/>
              </w:trPr>
              <w:tc>
                <w:tcPr>
                  <w:tcW w:w="1952" w:type="dxa"/>
                  <w:tcBorders>
                    <w:top w:val="single" w:color="000000" w:sz="4" w:space="0"/>
                    <w:left w:val="single" w:color="000000" w:sz="4" w:space="0"/>
                    <w:bottom w:val="single" w:color="000000" w:sz="4" w:space="0"/>
                    <w:right w:val="single" w:color="000000" w:sz="4" w:space="0"/>
                  </w:tcBorders>
                  <w:vAlign w:val="center"/>
                </w:tcPr>
                <w:p w14:paraId="5474355D">
                  <w:pPr>
                    <w:widowControl/>
                    <w:spacing w:line="240" w:lineRule="auto"/>
                    <w:jc w:val="center"/>
                    <w:textAlignment w:val="bottom"/>
                    <w:rPr>
                      <w:b/>
                      <w:bCs/>
                      <w:color w:val="000000" w:themeColor="text1"/>
                      <w:sz w:val="21"/>
                      <w:szCs w:val="21"/>
                      <w:u w:val="wave"/>
                      <w14:textFill>
                        <w14:solidFill>
                          <w14:schemeClr w14:val="tx1"/>
                        </w14:solidFill>
                      </w14:textFill>
                    </w:rPr>
                  </w:pPr>
                  <w:r>
                    <w:rPr>
                      <w:rStyle w:val="96"/>
                      <w:rFonts w:hint="default" w:ascii="Times New Roman" w:hAnsi="Times New Roman" w:cs="Times New Roman"/>
                      <w:b/>
                      <w:bCs/>
                      <w:color w:val="000000" w:themeColor="text1"/>
                      <w:u w:val="wave"/>
                      <w:lang w:bidi="ar"/>
                      <w14:textFill>
                        <w14:solidFill>
                          <w14:schemeClr w14:val="tx1"/>
                        </w14:solidFill>
                      </w14:textFill>
                    </w:rPr>
                    <w:t>距声源水平距离</w:t>
                  </w:r>
                  <w:r>
                    <w:rPr>
                      <w:rStyle w:val="97"/>
                      <w:b/>
                      <w:bCs/>
                      <w:color w:val="000000" w:themeColor="text1"/>
                      <w:u w:val="wave"/>
                      <w:lang w:bidi="ar"/>
                      <w14:textFill>
                        <w14:solidFill>
                          <w14:schemeClr w14:val="tx1"/>
                        </w14:solidFill>
                      </w14:textFill>
                    </w:rPr>
                    <w:t>r1</w:t>
                  </w:r>
                  <w:r>
                    <w:rPr>
                      <w:rStyle w:val="96"/>
                      <w:rFonts w:hint="default" w:ascii="Times New Roman" w:hAnsi="Times New Roman" w:cs="Times New Roman"/>
                      <w:b/>
                      <w:bCs/>
                      <w:color w:val="000000" w:themeColor="text1"/>
                      <w:u w:val="wave"/>
                      <w:lang w:bidi="ar"/>
                      <w14:textFill>
                        <w14:solidFill>
                          <w14:schemeClr w14:val="tx1"/>
                        </w14:solidFill>
                      </w14:textFill>
                    </w:rPr>
                    <w:t>（</w:t>
                  </w:r>
                  <w:r>
                    <w:rPr>
                      <w:rStyle w:val="97"/>
                      <w:b/>
                      <w:bCs/>
                      <w:color w:val="000000" w:themeColor="text1"/>
                      <w:u w:val="wave"/>
                      <w:lang w:bidi="ar"/>
                      <w14:textFill>
                        <w14:solidFill>
                          <w14:schemeClr w14:val="tx1"/>
                        </w14:solidFill>
                      </w14:textFill>
                    </w:rPr>
                    <w:t>m</w:t>
                  </w:r>
                  <w:r>
                    <w:rPr>
                      <w:rStyle w:val="96"/>
                      <w:rFonts w:hint="default" w:ascii="Times New Roman" w:hAnsi="Times New Roman" w:cs="Times New Roman"/>
                      <w:b/>
                      <w:bCs/>
                      <w:color w:val="000000" w:themeColor="text1"/>
                      <w:u w:val="wave"/>
                      <w:lang w:bidi="ar"/>
                      <w14:textFill>
                        <w14:solidFill>
                          <w14:schemeClr w14:val="tx1"/>
                        </w14:solidFill>
                      </w14:textFill>
                    </w:rPr>
                    <w:t>）</w:t>
                  </w:r>
                </w:p>
              </w:tc>
              <w:tc>
                <w:tcPr>
                  <w:tcW w:w="909" w:type="dxa"/>
                  <w:tcBorders>
                    <w:top w:val="single" w:color="000000" w:sz="4" w:space="0"/>
                    <w:left w:val="nil"/>
                    <w:bottom w:val="single" w:color="000000" w:sz="4" w:space="0"/>
                    <w:right w:val="single" w:color="000000" w:sz="4" w:space="0"/>
                  </w:tcBorders>
                  <w:vAlign w:val="center"/>
                </w:tcPr>
                <w:p w14:paraId="7E9BE965">
                  <w:pPr>
                    <w:widowControl/>
                    <w:spacing w:line="240" w:lineRule="auto"/>
                    <w:jc w:val="center"/>
                    <w:textAlignment w:val="center"/>
                    <w:rPr>
                      <w:color w:val="000000" w:themeColor="text1"/>
                      <w:sz w:val="21"/>
                      <w:szCs w:val="21"/>
                      <w:highlight w:val="yellow"/>
                      <w:u w:val="wave"/>
                      <w14:textFill>
                        <w14:solidFill>
                          <w14:schemeClr w14:val="tx1"/>
                        </w14:solidFill>
                      </w14:textFill>
                    </w:rPr>
                  </w:pPr>
                  <w:r>
                    <w:rPr>
                      <w:color w:val="000000" w:themeColor="text1"/>
                      <w:kern w:val="0"/>
                      <w:sz w:val="21"/>
                      <w:szCs w:val="21"/>
                      <w:u w:val="wave"/>
                      <w:lang w:bidi="ar"/>
                      <w14:textFill>
                        <w14:solidFill>
                          <w14:schemeClr w14:val="tx1"/>
                        </w14:solidFill>
                      </w14:textFill>
                    </w:rPr>
                    <w:t>100</w:t>
                  </w:r>
                </w:p>
              </w:tc>
              <w:tc>
                <w:tcPr>
                  <w:tcW w:w="952" w:type="dxa"/>
                  <w:tcBorders>
                    <w:top w:val="single" w:color="000000" w:sz="4" w:space="0"/>
                    <w:left w:val="nil"/>
                    <w:bottom w:val="single" w:color="000000" w:sz="4" w:space="0"/>
                    <w:right w:val="single" w:color="000000" w:sz="4" w:space="0"/>
                  </w:tcBorders>
                  <w:vAlign w:val="center"/>
                </w:tcPr>
                <w:p w14:paraId="7EB983DB">
                  <w:pPr>
                    <w:widowControl/>
                    <w:spacing w:line="240" w:lineRule="auto"/>
                    <w:jc w:val="center"/>
                    <w:textAlignment w:val="center"/>
                    <w:rPr>
                      <w:color w:val="000000" w:themeColor="text1"/>
                      <w:sz w:val="21"/>
                      <w:szCs w:val="21"/>
                      <w:highlight w:val="yellow"/>
                      <w:u w:val="wave"/>
                      <w14:textFill>
                        <w14:solidFill>
                          <w14:schemeClr w14:val="tx1"/>
                        </w14:solidFill>
                      </w14:textFill>
                    </w:rPr>
                  </w:pPr>
                  <w:r>
                    <w:rPr>
                      <w:color w:val="000000" w:themeColor="text1"/>
                      <w:kern w:val="0"/>
                      <w:sz w:val="21"/>
                      <w:szCs w:val="21"/>
                      <w:u w:val="wave"/>
                      <w:lang w:bidi="ar"/>
                      <w14:textFill>
                        <w14:solidFill>
                          <w14:schemeClr w14:val="tx1"/>
                        </w14:solidFill>
                      </w14:textFill>
                    </w:rPr>
                    <w:t>195</w:t>
                  </w:r>
                </w:p>
              </w:tc>
              <w:tc>
                <w:tcPr>
                  <w:tcW w:w="1015" w:type="dxa"/>
                  <w:tcBorders>
                    <w:top w:val="single" w:color="000000" w:sz="4" w:space="0"/>
                    <w:left w:val="nil"/>
                    <w:bottom w:val="single" w:color="000000" w:sz="4" w:space="0"/>
                    <w:right w:val="single" w:color="000000" w:sz="4" w:space="0"/>
                  </w:tcBorders>
                  <w:vAlign w:val="center"/>
                </w:tcPr>
                <w:p w14:paraId="22105761">
                  <w:pPr>
                    <w:widowControl/>
                    <w:spacing w:line="240" w:lineRule="auto"/>
                    <w:jc w:val="center"/>
                    <w:textAlignment w:val="center"/>
                    <w:rPr>
                      <w:color w:val="000000" w:themeColor="text1"/>
                      <w:sz w:val="21"/>
                      <w:szCs w:val="21"/>
                      <w:highlight w:val="yellow"/>
                      <w:u w:val="wave"/>
                      <w14:textFill>
                        <w14:solidFill>
                          <w14:schemeClr w14:val="tx1"/>
                        </w14:solidFill>
                      </w14:textFill>
                    </w:rPr>
                  </w:pPr>
                  <w:r>
                    <w:rPr>
                      <w:color w:val="000000" w:themeColor="text1"/>
                      <w:kern w:val="0"/>
                      <w:sz w:val="21"/>
                      <w:szCs w:val="21"/>
                      <w:u w:val="wave"/>
                      <w:lang w:bidi="ar"/>
                      <w14:textFill>
                        <w14:solidFill>
                          <w14:schemeClr w14:val="tx1"/>
                        </w14:solidFill>
                      </w14:textFill>
                    </w:rPr>
                    <w:t>300</w:t>
                  </w:r>
                </w:p>
              </w:tc>
              <w:tc>
                <w:tcPr>
                  <w:tcW w:w="985" w:type="dxa"/>
                  <w:tcBorders>
                    <w:top w:val="single" w:color="000000" w:sz="4" w:space="0"/>
                    <w:left w:val="nil"/>
                    <w:bottom w:val="single" w:color="000000" w:sz="4" w:space="0"/>
                    <w:right w:val="single" w:color="000000" w:sz="4" w:space="0"/>
                  </w:tcBorders>
                  <w:vAlign w:val="center"/>
                </w:tcPr>
                <w:p w14:paraId="4A1F82F6">
                  <w:pPr>
                    <w:widowControl/>
                    <w:spacing w:line="240" w:lineRule="auto"/>
                    <w:jc w:val="center"/>
                    <w:textAlignment w:val="center"/>
                    <w:rPr>
                      <w:color w:val="000000" w:themeColor="text1"/>
                      <w:sz w:val="21"/>
                      <w:szCs w:val="21"/>
                      <w:highlight w:val="yellow"/>
                      <w:u w:val="wave"/>
                      <w14:textFill>
                        <w14:solidFill>
                          <w14:schemeClr w14:val="tx1"/>
                        </w14:solidFill>
                      </w14:textFill>
                    </w:rPr>
                  </w:pPr>
                  <w:r>
                    <w:rPr>
                      <w:color w:val="000000" w:themeColor="text1"/>
                      <w:kern w:val="0"/>
                      <w:sz w:val="21"/>
                      <w:szCs w:val="21"/>
                      <w:u w:val="wave"/>
                      <w:lang w:bidi="ar"/>
                      <w14:textFill>
                        <w14:solidFill>
                          <w14:schemeClr w14:val="tx1"/>
                        </w14:solidFill>
                      </w14:textFill>
                    </w:rPr>
                    <w:t>390</w:t>
                  </w:r>
                </w:p>
              </w:tc>
              <w:tc>
                <w:tcPr>
                  <w:tcW w:w="1015" w:type="dxa"/>
                  <w:tcBorders>
                    <w:top w:val="single" w:color="000000" w:sz="4" w:space="0"/>
                    <w:left w:val="nil"/>
                    <w:bottom w:val="single" w:color="000000" w:sz="4" w:space="0"/>
                    <w:right w:val="single" w:color="000000" w:sz="4" w:space="0"/>
                  </w:tcBorders>
                  <w:vAlign w:val="center"/>
                </w:tcPr>
                <w:p w14:paraId="03893BC0">
                  <w:pPr>
                    <w:widowControl/>
                    <w:spacing w:line="240" w:lineRule="auto"/>
                    <w:jc w:val="center"/>
                    <w:textAlignment w:val="center"/>
                    <w:rPr>
                      <w:color w:val="000000" w:themeColor="text1"/>
                      <w:sz w:val="21"/>
                      <w:szCs w:val="21"/>
                      <w:highlight w:val="yellow"/>
                      <w:u w:val="wave"/>
                      <w14:textFill>
                        <w14:solidFill>
                          <w14:schemeClr w14:val="tx1"/>
                        </w14:solidFill>
                      </w14:textFill>
                    </w:rPr>
                  </w:pPr>
                  <w:r>
                    <w:rPr>
                      <w:color w:val="000000" w:themeColor="text1"/>
                      <w:kern w:val="0"/>
                      <w:sz w:val="21"/>
                      <w:szCs w:val="21"/>
                      <w:u w:val="wave"/>
                      <w:lang w:bidi="ar"/>
                      <w14:textFill>
                        <w14:solidFill>
                          <w14:schemeClr w14:val="tx1"/>
                        </w14:solidFill>
                      </w14:textFill>
                    </w:rPr>
                    <w:t>500</w:t>
                  </w:r>
                </w:p>
              </w:tc>
              <w:tc>
                <w:tcPr>
                  <w:tcW w:w="942" w:type="dxa"/>
                  <w:tcBorders>
                    <w:top w:val="single" w:color="000000" w:sz="4" w:space="0"/>
                    <w:left w:val="nil"/>
                    <w:bottom w:val="single" w:color="000000" w:sz="4" w:space="0"/>
                    <w:right w:val="single" w:color="000000" w:sz="4" w:space="0"/>
                  </w:tcBorders>
                  <w:vAlign w:val="center"/>
                </w:tcPr>
                <w:p w14:paraId="4216ADE5">
                  <w:pPr>
                    <w:widowControl/>
                    <w:spacing w:line="240" w:lineRule="auto"/>
                    <w:jc w:val="center"/>
                    <w:textAlignment w:val="center"/>
                    <w:rPr>
                      <w:color w:val="000000" w:themeColor="text1"/>
                      <w:sz w:val="21"/>
                      <w:szCs w:val="21"/>
                      <w:highlight w:val="yellow"/>
                      <w:u w:val="wave"/>
                      <w14:textFill>
                        <w14:solidFill>
                          <w14:schemeClr w14:val="tx1"/>
                        </w14:solidFill>
                      </w14:textFill>
                    </w:rPr>
                  </w:pPr>
                  <w:r>
                    <w:rPr>
                      <w:color w:val="000000" w:themeColor="text1"/>
                      <w:kern w:val="0"/>
                      <w:sz w:val="21"/>
                      <w:szCs w:val="21"/>
                      <w:u w:val="wave"/>
                      <w:lang w:bidi="ar"/>
                      <w14:textFill>
                        <w14:solidFill>
                          <w14:schemeClr w14:val="tx1"/>
                        </w14:solidFill>
                      </w14:textFill>
                    </w:rPr>
                    <w:t>600</w:t>
                  </w:r>
                </w:p>
              </w:tc>
            </w:tr>
            <w:tr w14:paraId="1C2B7A4D">
              <w:tblPrEx>
                <w:tblCellMar>
                  <w:top w:w="0" w:type="dxa"/>
                  <w:left w:w="108" w:type="dxa"/>
                  <w:bottom w:w="0" w:type="dxa"/>
                  <w:right w:w="108" w:type="dxa"/>
                </w:tblCellMar>
              </w:tblPrEx>
              <w:trPr>
                <w:trHeight w:val="397" w:hRule="atLeast"/>
                <w:jc w:val="center"/>
              </w:trPr>
              <w:tc>
                <w:tcPr>
                  <w:tcW w:w="1952" w:type="dxa"/>
                  <w:tcBorders>
                    <w:top w:val="single" w:color="000000" w:sz="4" w:space="0"/>
                    <w:left w:val="single" w:color="000000" w:sz="4" w:space="0"/>
                    <w:bottom w:val="single" w:color="000000" w:sz="4" w:space="0"/>
                    <w:right w:val="single" w:color="000000" w:sz="4" w:space="0"/>
                  </w:tcBorders>
                  <w:vAlign w:val="center"/>
                </w:tcPr>
                <w:p w14:paraId="0F7D41CD">
                  <w:pPr>
                    <w:widowControl/>
                    <w:spacing w:line="240" w:lineRule="auto"/>
                    <w:jc w:val="center"/>
                    <w:textAlignment w:val="bottom"/>
                    <w:rPr>
                      <w:b/>
                      <w:bCs/>
                      <w:color w:val="000000" w:themeColor="text1"/>
                      <w:sz w:val="21"/>
                      <w:szCs w:val="21"/>
                      <w:u w:val="wave"/>
                      <w14:textFill>
                        <w14:solidFill>
                          <w14:schemeClr w14:val="tx1"/>
                        </w14:solidFill>
                      </w14:textFill>
                    </w:rPr>
                  </w:pPr>
                  <w:r>
                    <w:rPr>
                      <w:rStyle w:val="96"/>
                      <w:rFonts w:hint="default" w:ascii="Times New Roman" w:hAnsi="Times New Roman" w:cs="Times New Roman"/>
                      <w:b/>
                      <w:bCs/>
                      <w:color w:val="000000" w:themeColor="text1"/>
                      <w:u w:val="wave"/>
                      <w:lang w:bidi="ar"/>
                      <w14:textFill>
                        <w14:solidFill>
                          <w14:schemeClr w14:val="tx1"/>
                        </w14:solidFill>
                      </w14:textFill>
                    </w:rPr>
                    <w:t>对应距声源几何距离</w:t>
                  </w:r>
                  <w:r>
                    <w:rPr>
                      <w:rStyle w:val="97"/>
                      <w:b/>
                      <w:bCs/>
                      <w:color w:val="000000" w:themeColor="text1"/>
                      <w:u w:val="wave"/>
                      <w:lang w:bidi="ar"/>
                      <w14:textFill>
                        <w14:solidFill>
                          <w14:schemeClr w14:val="tx1"/>
                        </w14:solidFill>
                      </w14:textFill>
                    </w:rPr>
                    <w:t>r2</w:t>
                  </w:r>
                  <w:r>
                    <w:rPr>
                      <w:rStyle w:val="96"/>
                      <w:rFonts w:hint="default" w:ascii="Times New Roman" w:hAnsi="Times New Roman" w:cs="Times New Roman"/>
                      <w:b/>
                      <w:bCs/>
                      <w:color w:val="000000" w:themeColor="text1"/>
                      <w:u w:val="wave"/>
                      <w:lang w:bidi="ar"/>
                      <w14:textFill>
                        <w14:solidFill>
                          <w14:schemeClr w14:val="tx1"/>
                        </w14:solidFill>
                      </w14:textFill>
                    </w:rPr>
                    <w:t>（</w:t>
                  </w:r>
                  <w:r>
                    <w:rPr>
                      <w:rStyle w:val="97"/>
                      <w:b/>
                      <w:bCs/>
                      <w:color w:val="000000" w:themeColor="text1"/>
                      <w:u w:val="wave"/>
                      <w:lang w:bidi="ar"/>
                      <w14:textFill>
                        <w14:solidFill>
                          <w14:schemeClr w14:val="tx1"/>
                        </w14:solidFill>
                      </w14:textFill>
                    </w:rPr>
                    <w:t>m</w:t>
                  </w:r>
                  <w:r>
                    <w:rPr>
                      <w:rStyle w:val="96"/>
                      <w:rFonts w:hint="default" w:ascii="Times New Roman" w:hAnsi="Times New Roman" w:cs="Times New Roman"/>
                      <w:b/>
                      <w:bCs/>
                      <w:color w:val="000000" w:themeColor="text1"/>
                      <w:u w:val="wave"/>
                      <w:lang w:bidi="ar"/>
                      <w14:textFill>
                        <w14:solidFill>
                          <w14:schemeClr w14:val="tx1"/>
                        </w14:solidFill>
                      </w14:textFill>
                    </w:rPr>
                    <w:t>）</w:t>
                  </w:r>
                </w:p>
              </w:tc>
              <w:tc>
                <w:tcPr>
                  <w:tcW w:w="909" w:type="dxa"/>
                  <w:tcBorders>
                    <w:top w:val="single" w:color="000000" w:sz="4" w:space="0"/>
                    <w:left w:val="nil"/>
                    <w:bottom w:val="single" w:color="000000" w:sz="4" w:space="0"/>
                    <w:right w:val="single" w:color="000000" w:sz="4" w:space="0"/>
                  </w:tcBorders>
                  <w:vAlign w:val="center"/>
                </w:tcPr>
                <w:p w14:paraId="3855BE81">
                  <w:pPr>
                    <w:widowControl/>
                    <w:spacing w:line="240" w:lineRule="auto"/>
                    <w:jc w:val="center"/>
                    <w:textAlignment w:val="bottom"/>
                    <w:rPr>
                      <w:color w:val="000000" w:themeColor="text1"/>
                      <w:spacing w:val="-7"/>
                      <w:sz w:val="21"/>
                      <w:szCs w:val="21"/>
                      <w:highlight w:val="yellow"/>
                      <w:u w:val="wave"/>
                      <w14:textFill>
                        <w14:solidFill>
                          <w14:schemeClr w14:val="tx1"/>
                        </w14:solidFill>
                      </w14:textFill>
                    </w:rPr>
                  </w:pPr>
                  <w:r>
                    <w:rPr>
                      <w:rStyle w:val="96"/>
                      <w:rFonts w:hint="default" w:ascii="Times New Roman" w:hAnsi="Times New Roman" w:cs="Times New Roman"/>
                      <w:color w:val="000000" w:themeColor="text1"/>
                      <w:u w:val="wave"/>
                      <w:lang w:bidi="ar"/>
                      <w14:textFill>
                        <w14:solidFill>
                          <w14:schemeClr w14:val="tx1"/>
                        </w14:solidFill>
                      </w14:textFill>
                    </w:rPr>
                    <w:t>152</w:t>
                  </w:r>
                </w:p>
              </w:tc>
              <w:tc>
                <w:tcPr>
                  <w:tcW w:w="952" w:type="dxa"/>
                  <w:tcBorders>
                    <w:top w:val="single" w:color="000000" w:sz="4" w:space="0"/>
                    <w:left w:val="nil"/>
                    <w:bottom w:val="single" w:color="000000" w:sz="4" w:space="0"/>
                    <w:right w:val="single" w:color="000000" w:sz="4" w:space="0"/>
                  </w:tcBorders>
                  <w:vAlign w:val="center"/>
                </w:tcPr>
                <w:p w14:paraId="384BF287">
                  <w:pPr>
                    <w:widowControl/>
                    <w:spacing w:line="240" w:lineRule="auto"/>
                    <w:jc w:val="center"/>
                    <w:textAlignment w:val="bottom"/>
                    <w:rPr>
                      <w:color w:val="000000" w:themeColor="text1"/>
                      <w:spacing w:val="-7"/>
                      <w:sz w:val="21"/>
                      <w:szCs w:val="21"/>
                      <w:highlight w:val="yellow"/>
                      <w:u w:val="wave"/>
                      <w14:textFill>
                        <w14:solidFill>
                          <w14:schemeClr w14:val="tx1"/>
                        </w14:solidFill>
                      </w14:textFill>
                    </w:rPr>
                  </w:pPr>
                  <w:r>
                    <w:rPr>
                      <w:rStyle w:val="96"/>
                      <w:rFonts w:hint="default" w:ascii="Times New Roman" w:hAnsi="Times New Roman" w:cs="Times New Roman"/>
                      <w:color w:val="000000" w:themeColor="text1"/>
                      <w:u w:val="wave"/>
                      <w:lang w:bidi="ar"/>
                      <w14:textFill>
                        <w14:solidFill>
                          <w14:schemeClr w14:val="tx1"/>
                        </w14:solidFill>
                      </w14:textFill>
                    </w:rPr>
                    <w:t>226</w:t>
                  </w:r>
                </w:p>
              </w:tc>
              <w:tc>
                <w:tcPr>
                  <w:tcW w:w="1015" w:type="dxa"/>
                  <w:tcBorders>
                    <w:top w:val="single" w:color="000000" w:sz="4" w:space="0"/>
                    <w:left w:val="nil"/>
                    <w:bottom w:val="single" w:color="000000" w:sz="4" w:space="0"/>
                    <w:right w:val="single" w:color="000000" w:sz="4" w:space="0"/>
                  </w:tcBorders>
                  <w:vAlign w:val="center"/>
                </w:tcPr>
                <w:p w14:paraId="407642D5">
                  <w:pPr>
                    <w:widowControl/>
                    <w:spacing w:line="240" w:lineRule="auto"/>
                    <w:jc w:val="center"/>
                    <w:textAlignment w:val="bottom"/>
                    <w:rPr>
                      <w:color w:val="000000" w:themeColor="text1"/>
                      <w:spacing w:val="-7"/>
                      <w:sz w:val="21"/>
                      <w:szCs w:val="21"/>
                      <w:highlight w:val="yellow"/>
                      <w:u w:val="wave"/>
                      <w14:textFill>
                        <w14:solidFill>
                          <w14:schemeClr w14:val="tx1"/>
                        </w14:solidFill>
                      </w14:textFill>
                    </w:rPr>
                  </w:pPr>
                  <w:r>
                    <w:rPr>
                      <w:rStyle w:val="96"/>
                      <w:rFonts w:hint="default" w:ascii="Times New Roman" w:hAnsi="Times New Roman" w:cs="Times New Roman"/>
                      <w:color w:val="000000" w:themeColor="text1"/>
                      <w:u w:val="wave"/>
                      <w:lang w:bidi="ar"/>
                      <w14:textFill>
                        <w14:solidFill>
                          <w14:schemeClr w14:val="tx1"/>
                        </w14:solidFill>
                      </w14:textFill>
                    </w:rPr>
                    <w:t>321</w:t>
                  </w:r>
                </w:p>
              </w:tc>
              <w:tc>
                <w:tcPr>
                  <w:tcW w:w="985" w:type="dxa"/>
                  <w:tcBorders>
                    <w:top w:val="single" w:color="000000" w:sz="4" w:space="0"/>
                    <w:left w:val="nil"/>
                    <w:bottom w:val="single" w:color="000000" w:sz="4" w:space="0"/>
                    <w:right w:val="single" w:color="000000" w:sz="4" w:space="0"/>
                  </w:tcBorders>
                  <w:vAlign w:val="center"/>
                </w:tcPr>
                <w:p w14:paraId="303C1EED">
                  <w:pPr>
                    <w:widowControl/>
                    <w:spacing w:line="240" w:lineRule="auto"/>
                    <w:jc w:val="center"/>
                    <w:textAlignment w:val="bottom"/>
                    <w:rPr>
                      <w:color w:val="000000" w:themeColor="text1"/>
                      <w:spacing w:val="-7"/>
                      <w:sz w:val="21"/>
                      <w:szCs w:val="21"/>
                      <w:highlight w:val="yellow"/>
                      <w:u w:val="wave"/>
                      <w14:textFill>
                        <w14:solidFill>
                          <w14:schemeClr w14:val="tx1"/>
                        </w14:solidFill>
                      </w14:textFill>
                    </w:rPr>
                  </w:pPr>
                  <w:r>
                    <w:rPr>
                      <w:rStyle w:val="96"/>
                      <w:rFonts w:hint="default" w:ascii="Times New Roman" w:hAnsi="Times New Roman" w:cs="Times New Roman"/>
                      <w:color w:val="000000" w:themeColor="text1"/>
                      <w:u w:val="wave"/>
                      <w:lang w:bidi="ar"/>
                      <w14:textFill>
                        <w14:solidFill>
                          <w14:schemeClr w14:val="tx1"/>
                        </w14:solidFill>
                      </w14:textFill>
                    </w:rPr>
                    <w:t>407</w:t>
                  </w:r>
                </w:p>
              </w:tc>
              <w:tc>
                <w:tcPr>
                  <w:tcW w:w="1015" w:type="dxa"/>
                  <w:tcBorders>
                    <w:top w:val="single" w:color="000000" w:sz="4" w:space="0"/>
                    <w:left w:val="nil"/>
                    <w:bottom w:val="single" w:color="000000" w:sz="4" w:space="0"/>
                    <w:right w:val="single" w:color="000000" w:sz="4" w:space="0"/>
                  </w:tcBorders>
                  <w:vAlign w:val="center"/>
                </w:tcPr>
                <w:p w14:paraId="33A57E83">
                  <w:pPr>
                    <w:widowControl/>
                    <w:spacing w:line="240" w:lineRule="auto"/>
                    <w:jc w:val="center"/>
                    <w:textAlignment w:val="bottom"/>
                    <w:rPr>
                      <w:color w:val="000000" w:themeColor="text1"/>
                      <w:spacing w:val="-7"/>
                      <w:sz w:val="21"/>
                      <w:szCs w:val="21"/>
                      <w:highlight w:val="yellow"/>
                      <w:u w:val="wave"/>
                      <w14:textFill>
                        <w14:solidFill>
                          <w14:schemeClr w14:val="tx1"/>
                        </w14:solidFill>
                      </w14:textFill>
                    </w:rPr>
                  </w:pPr>
                  <w:r>
                    <w:rPr>
                      <w:rStyle w:val="96"/>
                      <w:rFonts w:hint="default" w:ascii="Times New Roman" w:hAnsi="Times New Roman" w:cs="Times New Roman"/>
                      <w:color w:val="000000" w:themeColor="text1"/>
                      <w:u w:val="wave"/>
                      <w:lang w:bidi="ar"/>
                      <w14:textFill>
                        <w14:solidFill>
                          <w14:schemeClr w14:val="tx1"/>
                        </w14:solidFill>
                      </w14:textFill>
                    </w:rPr>
                    <w:t>513</w:t>
                  </w:r>
                </w:p>
              </w:tc>
              <w:tc>
                <w:tcPr>
                  <w:tcW w:w="942" w:type="dxa"/>
                  <w:tcBorders>
                    <w:top w:val="single" w:color="000000" w:sz="4" w:space="0"/>
                    <w:left w:val="nil"/>
                    <w:bottom w:val="single" w:color="000000" w:sz="4" w:space="0"/>
                    <w:right w:val="single" w:color="000000" w:sz="4" w:space="0"/>
                  </w:tcBorders>
                  <w:vAlign w:val="center"/>
                </w:tcPr>
                <w:p w14:paraId="3C220A5C">
                  <w:pPr>
                    <w:widowControl/>
                    <w:spacing w:line="240" w:lineRule="auto"/>
                    <w:jc w:val="center"/>
                    <w:textAlignment w:val="bottom"/>
                    <w:rPr>
                      <w:color w:val="000000" w:themeColor="text1"/>
                      <w:spacing w:val="-7"/>
                      <w:sz w:val="21"/>
                      <w:szCs w:val="21"/>
                      <w:highlight w:val="yellow"/>
                      <w:u w:val="wave"/>
                      <w14:textFill>
                        <w14:solidFill>
                          <w14:schemeClr w14:val="tx1"/>
                        </w14:solidFill>
                      </w14:textFill>
                    </w:rPr>
                  </w:pPr>
                  <w:r>
                    <w:rPr>
                      <w:rStyle w:val="96"/>
                      <w:rFonts w:hint="default" w:ascii="Times New Roman" w:hAnsi="Times New Roman" w:cs="Times New Roman"/>
                      <w:color w:val="000000" w:themeColor="text1"/>
                      <w:u w:val="wave"/>
                      <w:lang w:bidi="ar"/>
                      <w14:textFill>
                        <w14:solidFill>
                          <w14:schemeClr w14:val="tx1"/>
                        </w14:solidFill>
                      </w14:textFill>
                    </w:rPr>
                    <w:t>611</w:t>
                  </w:r>
                </w:p>
              </w:tc>
            </w:tr>
            <w:tr w14:paraId="40C59CEB">
              <w:tblPrEx>
                <w:tblCellMar>
                  <w:top w:w="0" w:type="dxa"/>
                  <w:left w:w="108" w:type="dxa"/>
                  <w:bottom w:w="0" w:type="dxa"/>
                  <w:right w:w="108" w:type="dxa"/>
                </w:tblCellMar>
              </w:tblPrEx>
              <w:trPr>
                <w:trHeight w:val="397" w:hRule="atLeast"/>
                <w:jc w:val="center"/>
              </w:trPr>
              <w:tc>
                <w:tcPr>
                  <w:tcW w:w="1952" w:type="dxa"/>
                  <w:tcBorders>
                    <w:top w:val="single" w:color="000000" w:sz="4" w:space="0"/>
                    <w:left w:val="single" w:color="000000" w:sz="4" w:space="0"/>
                    <w:bottom w:val="single" w:color="000000" w:sz="4" w:space="0"/>
                    <w:right w:val="single" w:color="000000" w:sz="4" w:space="0"/>
                  </w:tcBorders>
                  <w:vAlign w:val="center"/>
                </w:tcPr>
                <w:p w14:paraId="3D8A98D6">
                  <w:pPr>
                    <w:spacing w:line="240" w:lineRule="auto"/>
                    <w:jc w:val="center"/>
                    <w:rPr>
                      <w:b/>
                      <w:bCs/>
                      <w:color w:val="000000" w:themeColor="text1"/>
                      <w:sz w:val="21"/>
                      <w:szCs w:val="21"/>
                      <w:u w:val="wave"/>
                      <w14:textFill>
                        <w14:solidFill>
                          <w14:schemeClr w14:val="tx1"/>
                        </w14:solidFill>
                      </w14:textFill>
                    </w:rPr>
                  </w:pPr>
                  <w:r>
                    <w:rPr>
                      <w:b/>
                      <w:bCs/>
                      <w:color w:val="000000" w:themeColor="text1"/>
                      <w:sz w:val="21"/>
                      <w:szCs w:val="21"/>
                      <w:u w:val="wave"/>
                      <w14:textFill>
                        <w14:solidFill>
                          <w14:schemeClr w14:val="tx1"/>
                        </w14:solidFill>
                      </w14:textFill>
                    </w:rPr>
                    <w:t>L(r) dB(A)</w:t>
                  </w:r>
                </w:p>
              </w:tc>
              <w:tc>
                <w:tcPr>
                  <w:tcW w:w="909" w:type="dxa"/>
                  <w:tcBorders>
                    <w:top w:val="single" w:color="000000" w:sz="4" w:space="0"/>
                    <w:left w:val="nil"/>
                    <w:bottom w:val="single" w:color="000000" w:sz="4" w:space="0"/>
                    <w:right w:val="single" w:color="000000" w:sz="4" w:space="0"/>
                  </w:tcBorders>
                  <w:vAlign w:val="center"/>
                </w:tcPr>
                <w:p w14:paraId="1286FEF4">
                  <w:pPr>
                    <w:widowControl/>
                    <w:spacing w:line="240" w:lineRule="auto"/>
                    <w:jc w:val="center"/>
                    <w:textAlignment w:val="bottom"/>
                    <w:rPr>
                      <w:color w:val="000000" w:themeColor="text1"/>
                      <w:sz w:val="21"/>
                      <w:szCs w:val="21"/>
                      <w:highlight w:val="yellow"/>
                      <w:u w:val="wave"/>
                      <w14:textFill>
                        <w14:solidFill>
                          <w14:schemeClr w14:val="tx1"/>
                        </w14:solidFill>
                      </w14:textFill>
                    </w:rPr>
                  </w:pPr>
                  <w:r>
                    <w:rPr>
                      <w:rStyle w:val="96"/>
                      <w:rFonts w:hint="default" w:ascii="Times New Roman" w:hAnsi="Times New Roman" w:cs="Times New Roman"/>
                      <w:color w:val="000000" w:themeColor="text1"/>
                      <w:u w:val="wave"/>
                      <w:lang w:bidi="ar"/>
                      <w14:textFill>
                        <w14:solidFill>
                          <w14:schemeClr w14:val="tx1"/>
                        </w14:solidFill>
                      </w14:textFill>
                    </w:rPr>
                    <w:t>68.3</w:t>
                  </w:r>
                </w:p>
              </w:tc>
              <w:tc>
                <w:tcPr>
                  <w:tcW w:w="952" w:type="dxa"/>
                  <w:tcBorders>
                    <w:top w:val="single" w:color="000000" w:sz="4" w:space="0"/>
                    <w:left w:val="nil"/>
                    <w:bottom w:val="single" w:color="000000" w:sz="4" w:space="0"/>
                    <w:right w:val="single" w:color="000000" w:sz="4" w:space="0"/>
                  </w:tcBorders>
                  <w:vAlign w:val="center"/>
                </w:tcPr>
                <w:p w14:paraId="40153309">
                  <w:pPr>
                    <w:widowControl/>
                    <w:spacing w:line="240" w:lineRule="auto"/>
                    <w:jc w:val="center"/>
                    <w:textAlignment w:val="bottom"/>
                    <w:rPr>
                      <w:color w:val="000000" w:themeColor="text1"/>
                      <w:sz w:val="21"/>
                      <w:szCs w:val="21"/>
                      <w:highlight w:val="yellow"/>
                      <w:u w:val="wave"/>
                      <w14:textFill>
                        <w14:solidFill>
                          <w14:schemeClr w14:val="tx1"/>
                        </w14:solidFill>
                      </w14:textFill>
                    </w:rPr>
                  </w:pPr>
                  <w:r>
                    <w:rPr>
                      <w:rStyle w:val="96"/>
                      <w:rFonts w:hint="default" w:ascii="Times New Roman" w:hAnsi="Times New Roman" w:cs="Times New Roman"/>
                      <w:color w:val="000000" w:themeColor="text1"/>
                      <w:u w:val="wave"/>
                      <w:lang w:bidi="ar"/>
                      <w14:textFill>
                        <w14:solidFill>
                          <w14:schemeClr w14:val="tx1"/>
                        </w14:solidFill>
                      </w14:textFill>
                    </w:rPr>
                    <w:t>64.9</w:t>
                  </w:r>
                </w:p>
              </w:tc>
              <w:tc>
                <w:tcPr>
                  <w:tcW w:w="1015" w:type="dxa"/>
                  <w:tcBorders>
                    <w:top w:val="single" w:color="000000" w:sz="4" w:space="0"/>
                    <w:left w:val="nil"/>
                    <w:bottom w:val="single" w:color="000000" w:sz="4" w:space="0"/>
                    <w:right w:val="single" w:color="000000" w:sz="4" w:space="0"/>
                  </w:tcBorders>
                  <w:vAlign w:val="center"/>
                </w:tcPr>
                <w:p w14:paraId="309259B6">
                  <w:pPr>
                    <w:widowControl/>
                    <w:spacing w:line="240" w:lineRule="auto"/>
                    <w:jc w:val="center"/>
                    <w:textAlignment w:val="bottom"/>
                    <w:rPr>
                      <w:color w:val="000000" w:themeColor="text1"/>
                      <w:sz w:val="21"/>
                      <w:szCs w:val="21"/>
                      <w:highlight w:val="yellow"/>
                      <w:u w:val="wave"/>
                      <w14:textFill>
                        <w14:solidFill>
                          <w14:schemeClr w14:val="tx1"/>
                        </w14:solidFill>
                      </w14:textFill>
                    </w:rPr>
                  </w:pPr>
                  <w:r>
                    <w:rPr>
                      <w:rStyle w:val="96"/>
                      <w:rFonts w:hint="default" w:ascii="Times New Roman" w:hAnsi="Times New Roman" w:cs="Times New Roman"/>
                      <w:color w:val="000000" w:themeColor="text1"/>
                      <w:u w:val="wave"/>
                      <w:lang w:bidi="ar"/>
                      <w14:textFill>
                        <w14:solidFill>
                          <w14:schemeClr w14:val="tx1"/>
                        </w14:solidFill>
                      </w14:textFill>
                    </w:rPr>
                    <w:t>61.9</w:t>
                  </w:r>
                </w:p>
              </w:tc>
              <w:tc>
                <w:tcPr>
                  <w:tcW w:w="985" w:type="dxa"/>
                  <w:tcBorders>
                    <w:top w:val="single" w:color="000000" w:sz="4" w:space="0"/>
                    <w:left w:val="nil"/>
                    <w:bottom w:val="single" w:color="000000" w:sz="4" w:space="0"/>
                    <w:right w:val="single" w:color="000000" w:sz="4" w:space="0"/>
                  </w:tcBorders>
                  <w:vAlign w:val="center"/>
                </w:tcPr>
                <w:p w14:paraId="2DE96E1F">
                  <w:pPr>
                    <w:widowControl/>
                    <w:spacing w:line="240" w:lineRule="auto"/>
                    <w:jc w:val="center"/>
                    <w:textAlignment w:val="bottom"/>
                    <w:rPr>
                      <w:color w:val="000000" w:themeColor="text1"/>
                      <w:sz w:val="21"/>
                      <w:szCs w:val="21"/>
                      <w:highlight w:val="yellow"/>
                      <w:u w:val="wave"/>
                      <w14:textFill>
                        <w14:solidFill>
                          <w14:schemeClr w14:val="tx1"/>
                        </w14:solidFill>
                      </w14:textFill>
                    </w:rPr>
                  </w:pPr>
                  <w:r>
                    <w:rPr>
                      <w:rStyle w:val="96"/>
                      <w:rFonts w:hint="default" w:ascii="Times New Roman" w:hAnsi="Times New Roman" w:cs="Times New Roman"/>
                      <w:color w:val="000000" w:themeColor="text1"/>
                      <w:u w:val="wave"/>
                      <w:lang w:bidi="ar"/>
                      <w14:textFill>
                        <w14:solidFill>
                          <w14:schemeClr w14:val="tx1"/>
                        </w14:solidFill>
                      </w14:textFill>
                    </w:rPr>
                    <w:t>59.8</w:t>
                  </w:r>
                </w:p>
              </w:tc>
              <w:tc>
                <w:tcPr>
                  <w:tcW w:w="1015" w:type="dxa"/>
                  <w:tcBorders>
                    <w:top w:val="single" w:color="000000" w:sz="4" w:space="0"/>
                    <w:left w:val="nil"/>
                    <w:bottom w:val="single" w:color="000000" w:sz="4" w:space="0"/>
                    <w:right w:val="single" w:color="000000" w:sz="4" w:space="0"/>
                  </w:tcBorders>
                  <w:vAlign w:val="center"/>
                </w:tcPr>
                <w:p w14:paraId="3E3DEEA4">
                  <w:pPr>
                    <w:widowControl/>
                    <w:spacing w:line="240" w:lineRule="auto"/>
                    <w:jc w:val="center"/>
                    <w:textAlignment w:val="bottom"/>
                    <w:rPr>
                      <w:color w:val="000000" w:themeColor="text1"/>
                      <w:sz w:val="21"/>
                      <w:szCs w:val="21"/>
                      <w:highlight w:val="yellow"/>
                      <w:u w:val="wave"/>
                      <w14:textFill>
                        <w14:solidFill>
                          <w14:schemeClr w14:val="tx1"/>
                        </w14:solidFill>
                      </w14:textFill>
                    </w:rPr>
                  </w:pPr>
                  <w:r>
                    <w:rPr>
                      <w:rStyle w:val="96"/>
                      <w:rFonts w:hint="default" w:ascii="Times New Roman" w:hAnsi="Times New Roman" w:cs="Times New Roman"/>
                      <w:color w:val="000000" w:themeColor="text1"/>
                      <w:u w:val="wave"/>
                      <w:lang w:bidi="ar"/>
                      <w14:textFill>
                        <w14:solidFill>
                          <w14:schemeClr w14:val="tx1"/>
                        </w14:solidFill>
                      </w14:textFill>
                    </w:rPr>
                    <w:t>57.8</w:t>
                  </w:r>
                </w:p>
              </w:tc>
              <w:tc>
                <w:tcPr>
                  <w:tcW w:w="942" w:type="dxa"/>
                  <w:tcBorders>
                    <w:top w:val="single" w:color="000000" w:sz="4" w:space="0"/>
                    <w:left w:val="nil"/>
                    <w:bottom w:val="single" w:color="000000" w:sz="4" w:space="0"/>
                    <w:right w:val="single" w:color="000000" w:sz="4" w:space="0"/>
                  </w:tcBorders>
                  <w:vAlign w:val="center"/>
                </w:tcPr>
                <w:p w14:paraId="586FDF90">
                  <w:pPr>
                    <w:widowControl/>
                    <w:spacing w:line="240" w:lineRule="auto"/>
                    <w:jc w:val="center"/>
                    <w:textAlignment w:val="bottom"/>
                    <w:rPr>
                      <w:color w:val="000000" w:themeColor="text1"/>
                      <w:sz w:val="21"/>
                      <w:szCs w:val="21"/>
                      <w:highlight w:val="yellow"/>
                      <w:u w:val="wave"/>
                      <w14:textFill>
                        <w14:solidFill>
                          <w14:schemeClr w14:val="tx1"/>
                        </w14:solidFill>
                      </w14:textFill>
                    </w:rPr>
                  </w:pPr>
                  <w:r>
                    <w:rPr>
                      <w:rStyle w:val="96"/>
                      <w:rFonts w:hint="default" w:ascii="Times New Roman" w:hAnsi="Times New Roman" w:cs="Times New Roman"/>
                      <w:color w:val="000000" w:themeColor="text1"/>
                      <w:u w:val="wave"/>
                      <w:lang w:bidi="ar"/>
                      <w14:textFill>
                        <w14:solidFill>
                          <w14:schemeClr w14:val="tx1"/>
                        </w14:solidFill>
                      </w14:textFill>
                    </w:rPr>
                    <w:t>56.3</w:t>
                  </w:r>
                </w:p>
              </w:tc>
            </w:tr>
          </w:tbl>
          <w:p w14:paraId="7913D9E7">
            <w:pPr>
              <w:pStyle w:val="9"/>
              <w:spacing w:before="120" w:beforeLines="50" w:after="0"/>
              <w:ind w:right="0" w:firstLine="180"/>
              <w:rPr>
                <w:rFonts w:ascii="Times New Roman" w:hAnsi="Times New Roman"/>
                <w:color w:val="000000" w:themeColor="text1"/>
                <w:u w:val="wave"/>
                <w14:textFill>
                  <w14:solidFill>
                    <w14:schemeClr w14:val="tx1"/>
                  </w14:solidFill>
                </w14:textFill>
              </w:rPr>
            </w:pPr>
            <w:r>
              <w:rPr>
                <w:rFonts w:ascii="Times New Roman" w:hAnsi="Times New Roman"/>
                <w:color w:val="000000" w:themeColor="text1"/>
                <w:szCs w:val="18"/>
                <w:u w:val="wave"/>
                <w14:textFill>
                  <w14:solidFill>
                    <w14:schemeClr w14:val="tx1"/>
                  </w14:solidFill>
                </w14:textFill>
              </w:rPr>
              <w:t>注：r2=（r1</w:t>
            </w:r>
            <w:r>
              <w:rPr>
                <w:rFonts w:ascii="Times New Roman" w:hAnsi="Times New Roman"/>
                <w:color w:val="000000" w:themeColor="text1"/>
                <w:szCs w:val="18"/>
                <w:u w:val="wave"/>
                <w:vertAlign w:val="superscript"/>
                <w14:textFill>
                  <w14:solidFill>
                    <w14:schemeClr w14:val="tx1"/>
                  </w14:solidFill>
                </w14:textFill>
              </w:rPr>
              <w:t>2</w:t>
            </w:r>
            <w:r>
              <w:rPr>
                <w:rFonts w:ascii="Times New Roman" w:hAnsi="Times New Roman"/>
                <w:color w:val="000000" w:themeColor="text1"/>
                <w:szCs w:val="18"/>
                <w:u w:val="wave"/>
                <w14:textFill>
                  <w14:solidFill>
                    <w14:schemeClr w14:val="tx1"/>
                  </w14:solidFill>
                </w14:textFill>
              </w:rPr>
              <w:t>+110</w:t>
            </w:r>
            <w:r>
              <w:rPr>
                <w:rFonts w:ascii="Times New Roman" w:hAnsi="Times New Roman"/>
                <w:color w:val="000000" w:themeColor="text1"/>
                <w:szCs w:val="18"/>
                <w:u w:val="wave"/>
                <w:vertAlign w:val="superscript"/>
                <w14:textFill>
                  <w14:solidFill>
                    <w14:schemeClr w14:val="tx1"/>
                  </w14:solidFill>
                </w14:textFill>
              </w:rPr>
              <w:t>2</w:t>
            </w:r>
            <w:r>
              <w:rPr>
                <w:rFonts w:ascii="Times New Roman" w:hAnsi="Times New Roman"/>
                <w:color w:val="000000" w:themeColor="text1"/>
                <w:szCs w:val="18"/>
                <w:u w:val="wave"/>
                <w14:textFill>
                  <w14:solidFill>
                    <w14:schemeClr w14:val="tx1"/>
                  </w14:solidFill>
                </w14:textFill>
              </w:rPr>
              <w:t>）</w:t>
            </w:r>
            <w:r>
              <w:rPr>
                <w:rFonts w:ascii="Times New Roman" w:hAnsi="Times New Roman"/>
                <w:color w:val="000000" w:themeColor="text1"/>
                <w:szCs w:val="18"/>
                <w:u w:val="wave"/>
                <w:vertAlign w:val="superscript"/>
                <w14:textFill>
                  <w14:solidFill>
                    <w14:schemeClr w14:val="tx1"/>
                  </w14:solidFill>
                </w14:textFill>
              </w:rPr>
              <w:t>1/2</w:t>
            </w:r>
            <w:r>
              <w:rPr>
                <w:rFonts w:ascii="Times New Roman" w:hAnsi="Times New Roman"/>
                <w:color w:val="000000" w:themeColor="text1"/>
                <w:szCs w:val="18"/>
                <w:u w:val="wave"/>
                <w14:textFill>
                  <w14:solidFill>
                    <w14:schemeClr w14:val="tx1"/>
                  </w14:solidFill>
                </w14:textFill>
              </w:rPr>
              <w:t>，11</w:t>
            </w:r>
            <w:r>
              <w:rPr>
                <w:rFonts w:hint="eastAsia" w:ascii="Times New Roman" w:hAnsi="Times New Roman"/>
                <w:color w:val="000000" w:themeColor="text1"/>
                <w:szCs w:val="18"/>
                <w:u w:val="wave"/>
                <w14:textFill>
                  <w14:solidFill>
                    <w14:schemeClr w14:val="tx1"/>
                  </w14:solidFill>
                </w14:textFill>
              </w:rPr>
              <w:t>5</w:t>
            </w:r>
            <w:r>
              <w:rPr>
                <w:rFonts w:ascii="Times New Roman" w:hAnsi="Times New Roman"/>
                <w:color w:val="000000" w:themeColor="text1"/>
                <w:szCs w:val="18"/>
                <w:u w:val="wave"/>
                <w14:textFill>
                  <w14:solidFill>
                    <w14:schemeClr w14:val="tx1"/>
                  </w14:solidFill>
                </w14:textFill>
              </w:rPr>
              <w:t>为垂直高度，没有考虑高程差，即为轮毂与地面的高程。</w:t>
            </w:r>
          </w:p>
          <w:p w14:paraId="1963DEAC">
            <w:pPr>
              <w:ind w:firstLine="480" w:firstLineChars="200"/>
              <w:rPr>
                <w:color w:val="000000" w:themeColor="text1"/>
                <w:u w:val="wave"/>
                <w14:textFill>
                  <w14:solidFill>
                    <w14:schemeClr w14:val="tx1"/>
                  </w14:solidFill>
                </w14:textFill>
              </w:rPr>
            </w:pPr>
            <w:r>
              <w:rPr>
                <w:color w:val="000000" w:themeColor="text1"/>
                <w:u w:val="wave"/>
                <w14:textFill>
                  <w14:solidFill>
                    <w14:schemeClr w14:val="tx1"/>
                  </w14:solidFill>
                </w14:textFill>
              </w:rPr>
              <w:t>从上表可知，对于偏航系统偶发噪声，不考虑敏感点与风机基础处高程差的情况下，夜间水平距离195m外噪声可以满足《声环境质量标准》（GB3096-2008）对于偶发噪声在2类声功能区最大限制（夜间65 dB(A)）要求。</w:t>
            </w:r>
          </w:p>
          <w:p w14:paraId="035B816F">
            <w:pPr>
              <w:spacing w:before="120" w:beforeLines="50"/>
              <w:ind w:firstLine="420"/>
              <w:rPr>
                <w:color w:val="000000" w:themeColor="text1"/>
                <w:u w:val="wave"/>
                <w14:textFill>
                  <w14:solidFill>
                    <w14:schemeClr w14:val="tx1"/>
                  </w14:solidFill>
                </w14:textFill>
              </w:rPr>
            </w:pPr>
            <w:r>
              <w:rPr>
                <w:color w:val="000000" w:themeColor="text1"/>
                <w:u w:val="wave"/>
                <w14:textFill>
                  <w14:solidFill>
                    <w14:schemeClr w14:val="tx1"/>
                  </w14:solidFill>
                </w14:textFill>
              </w:rPr>
              <w:t>考虑到运行期风机运行噪声经过距离衰减、山体植被阻隔消减，项目建设对周边居民点产生噪声影响</w:t>
            </w:r>
            <w:r>
              <w:rPr>
                <w:rFonts w:hint="eastAsia"/>
                <w:color w:val="000000" w:themeColor="text1"/>
                <w:u w:val="wave"/>
                <w14:textFill>
                  <w14:solidFill>
                    <w14:schemeClr w14:val="tx1"/>
                  </w14:solidFill>
                </w14:textFill>
              </w:rPr>
              <w:t>较理论计算值偏小</w:t>
            </w:r>
            <w:r>
              <w:rPr>
                <w:color w:val="000000" w:themeColor="text1"/>
                <w:u w:val="wave"/>
                <w14:textFill>
                  <w14:solidFill>
                    <w14:schemeClr w14:val="tx1"/>
                  </w14:solidFill>
                </w14:textFill>
              </w:rPr>
              <w:t>。</w:t>
            </w:r>
            <w:r>
              <w:rPr>
                <w:rFonts w:hint="eastAsia"/>
                <w:color w:val="000000" w:themeColor="text1"/>
                <w:u w:val="wave"/>
                <w14:textFill>
                  <w14:solidFill>
                    <w14:schemeClr w14:val="tx1"/>
                  </w14:solidFill>
                </w14:textFill>
              </w:rPr>
              <w:t>同时</w:t>
            </w:r>
            <w:r>
              <w:rPr>
                <w:color w:val="000000" w:themeColor="text1"/>
                <w:u w:val="wave"/>
                <w14:textFill>
                  <w14:solidFill>
                    <w14:schemeClr w14:val="tx1"/>
                  </w14:solidFill>
                </w14:textFill>
              </w:rPr>
              <w:t>建设单位</w:t>
            </w:r>
            <w:r>
              <w:rPr>
                <w:rFonts w:hint="eastAsia"/>
                <w:color w:val="000000" w:themeColor="text1"/>
                <w:u w:val="wave"/>
                <w14:textFill>
                  <w14:solidFill>
                    <w14:schemeClr w14:val="tx1"/>
                  </w14:solidFill>
                </w14:textFill>
              </w:rPr>
              <w:t>应</w:t>
            </w:r>
            <w:r>
              <w:rPr>
                <w:color w:val="000000" w:themeColor="text1"/>
                <w:u w:val="wave"/>
                <w14:textFill>
                  <w14:solidFill>
                    <w14:schemeClr w14:val="tx1"/>
                  </w14:solidFill>
                </w14:textFill>
              </w:rPr>
              <w:t>预留运行期厂区的噪声监测和环保措施的费用，一旦发现</w:t>
            </w:r>
            <w:r>
              <w:rPr>
                <w:rFonts w:hint="eastAsia"/>
                <w:color w:val="000000" w:themeColor="text1"/>
                <w:u w:val="wave"/>
                <w14:textFill>
                  <w14:solidFill>
                    <w14:schemeClr w14:val="tx1"/>
                  </w14:solidFill>
                </w14:textFill>
              </w:rPr>
              <w:t>周边居民点</w:t>
            </w:r>
            <w:r>
              <w:rPr>
                <w:color w:val="000000" w:themeColor="text1"/>
                <w:u w:val="wave"/>
                <w14:textFill>
                  <w14:solidFill>
                    <w14:schemeClr w14:val="tx1"/>
                  </w14:solidFill>
                </w14:textFill>
              </w:rPr>
              <w:t>环境质量超标现象可立即采取有效降噪措施如对风机采取降噪</w:t>
            </w:r>
            <w:r>
              <w:rPr>
                <w:rFonts w:hint="eastAsia"/>
                <w:color w:val="000000" w:themeColor="text1"/>
                <w:u w:val="wave"/>
                <w14:textFill>
                  <w14:solidFill>
                    <w14:schemeClr w14:val="tx1"/>
                  </w14:solidFill>
                </w14:textFill>
              </w:rPr>
              <w:t>、</w:t>
            </w:r>
            <w:r>
              <w:rPr>
                <w:color w:val="000000" w:themeColor="text1"/>
                <w:u w:val="wave"/>
                <w14:textFill>
                  <w14:solidFill>
                    <w14:schemeClr w14:val="tx1"/>
                  </w14:solidFill>
                </w14:textFill>
              </w:rPr>
              <w:t>对附近居民点加装隔声窗或改变建筑物使用功能等措施减少运行期风机运行对附近居民点的影响，防止风机运行噪声超标影响附近居民正常的生活。</w:t>
            </w:r>
          </w:p>
          <w:p w14:paraId="0C2F3A05">
            <w:pPr>
              <w:ind w:firstLine="420"/>
              <w:rPr>
                <w:b/>
                <w:bCs/>
                <w:color w:val="000000" w:themeColor="text1"/>
                <w:u w:val="wave"/>
                <w14:textFill>
                  <w14:solidFill>
                    <w14:schemeClr w14:val="tx1"/>
                  </w14:solidFill>
                </w14:textFill>
              </w:rPr>
            </w:pPr>
            <w:r>
              <w:rPr>
                <w:b/>
                <w:bCs/>
                <w:color w:val="000000" w:themeColor="text1"/>
                <w:u w:val="wave"/>
                <w14:textFill>
                  <w14:solidFill>
                    <w14:schemeClr w14:val="tx1"/>
                  </w14:solidFill>
                </w14:textFill>
              </w:rPr>
              <w:t>d）噪声影响控制区</w:t>
            </w:r>
          </w:p>
          <w:p w14:paraId="3C5A098C">
            <w:pPr>
              <w:ind w:firstLine="420"/>
              <w:rPr>
                <w:color w:val="000000" w:themeColor="text1"/>
                <w:u w:val="wave"/>
                <w14:textFill>
                  <w14:solidFill>
                    <w14:schemeClr w14:val="tx1"/>
                  </w14:solidFill>
                </w14:textFill>
              </w:rPr>
            </w:pPr>
            <w:r>
              <w:rPr>
                <w:color w:val="000000" w:themeColor="text1"/>
                <w:u w:val="wave"/>
                <w14:textFill>
                  <w14:solidFill>
                    <w14:schemeClr w14:val="tx1"/>
                  </w14:solidFill>
                </w14:textFill>
              </w:rPr>
              <w:t>根据预测结果，对于本项目</w:t>
            </w:r>
            <w:r>
              <w:rPr>
                <w:rFonts w:hint="eastAsia"/>
                <w:color w:val="000000" w:themeColor="text1"/>
                <w:u w:val="wave"/>
                <w:lang w:val="en-US" w:eastAsia="zh-CN"/>
                <w14:textFill>
                  <w14:solidFill>
                    <w14:schemeClr w14:val="tx1"/>
                  </w14:solidFill>
                </w14:textFill>
              </w:rPr>
              <w:t>最大风机为5.0</w:t>
            </w:r>
            <w:r>
              <w:rPr>
                <w:rFonts w:hint="eastAsia"/>
                <w:color w:val="000000" w:themeColor="text1"/>
                <w:u w:val="wave"/>
                <w14:textFill>
                  <w14:solidFill>
                    <w14:schemeClr w14:val="tx1"/>
                  </w14:solidFill>
                </w14:textFill>
              </w:rPr>
              <w:t>MW</w:t>
            </w:r>
            <w:r>
              <w:rPr>
                <w:color w:val="000000" w:themeColor="text1"/>
                <w:u w:val="wave"/>
                <w14:textFill>
                  <w14:solidFill>
                    <w14:schemeClr w14:val="tx1"/>
                  </w14:solidFill>
                </w14:textFill>
              </w:rPr>
              <w:t>风机，不考虑敏感点与风机基础处高程差的情况下，水平距离3</w:t>
            </w:r>
            <w:r>
              <w:rPr>
                <w:rFonts w:hint="eastAsia"/>
                <w:color w:val="000000" w:themeColor="text1"/>
                <w:u w:val="wave"/>
                <w:lang w:val="en-US" w:eastAsia="zh-CN"/>
                <w14:textFill>
                  <w14:solidFill>
                    <w14:schemeClr w14:val="tx1"/>
                  </w14:solidFill>
                </w14:textFill>
              </w:rPr>
              <w:t>40</w:t>
            </w:r>
            <w:r>
              <w:rPr>
                <w:color w:val="000000" w:themeColor="text1"/>
                <w:u w:val="wave"/>
                <w14:textFill>
                  <w14:solidFill>
                    <w14:schemeClr w14:val="tx1"/>
                  </w14:solidFill>
                </w14:textFill>
              </w:rPr>
              <w:t>m外的噪声满足《声环境质量标准》（GB3096-2008）2类标准，即昼间60dB(A)、夜间50dB(A)的要求；对于偏航系统偶发噪声，不考虑敏感点与风机基础处高程差的情况下，夜间直线距离</w:t>
            </w:r>
            <w:r>
              <w:rPr>
                <w:rFonts w:hint="eastAsia"/>
                <w:color w:val="000000" w:themeColor="text1"/>
                <w:u w:val="wave"/>
                <w:lang w:val="en-US" w:eastAsia="zh-CN"/>
                <w14:textFill>
                  <w14:solidFill>
                    <w14:schemeClr w14:val="tx1"/>
                  </w14:solidFill>
                </w14:textFill>
              </w:rPr>
              <w:t>200</w:t>
            </w:r>
            <w:r>
              <w:rPr>
                <w:color w:val="000000" w:themeColor="text1"/>
                <w:u w:val="wave"/>
                <w14:textFill>
                  <w14:solidFill>
                    <w14:schemeClr w14:val="tx1"/>
                  </w14:solidFill>
                </w14:textFill>
              </w:rPr>
              <w:t>m外噪声可以满足《声环境质量标准》（GB3096-2008）对于偶发噪声在2类声功能区最大限制（夜间65 dB(A)）要求。</w:t>
            </w:r>
          </w:p>
          <w:p w14:paraId="5E1FDFE6">
            <w:pPr>
              <w:ind w:firstLine="420"/>
              <w:rPr>
                <w:color w:val="000000" w:themeColor="text1"/>
                <w:u w:val="wave"/>
                <w14:textFill>
                  <w14:solidFill>
                    <w14:schemeClr w14:val="tx1"/>
                  </w14:solidFill>
                </w14:textFill>
              </w:rPr>
            </w:pPr>
            <w:r>
              <w:rPr>
                <w:color w:val="000000" w:themeColor="text1"/>
                <w:u w:val="wave"/>
                <w14:textFill>
                  <w14:solidFill>
                    <w14:schemeClr w14:val="tx1"/>
                  </w14:solidFill>
                </w14:textFill>
              </w:rPr>
              <w:t>根据现场调查，</w:t>
            </w:r>
            <w:r>
              <w:rPr>
                <w:snapToGrid w:val="0"/>
                <w:color w:val="000000" w:themeColor="text1"/>
                <w:kern w:val="0"/>
                <w:u w:val="wave"/>
                <w14:textFill>
                  <w14:solidFill>
                    <w14:schemeClr w14:val="tx1"/>
                  </w14:solidFill>
                </w14:textFill>
              </w:rPr>
              <w:t>距本项目风机基础</w:t>
            </w:r>
            <w:r>
              <w:rPr>
                <w:rFonts w:hint="eastAsia"/>
                <w:snapToGrid w:val="0"/>
                <w:color w:val="000000" w:themeColor="text1"/>
                <w:kern w:val="0"/>
                <w:u w:val="wave"/>
                <w14:textFill>
                  <w14:solidFill>
                    <w14:schemeClr w14:val="tx1"/>
                  </w14:solidFill>
                </w14:textFill>
              </w:rPr>
              <w:t>水平距离</w:t>
            </w:r>
            <w:r>
              <w:rPr>
                <w:rFonts w:hint="eastAsia"/>
                <w:snapToGrid w:val="0"/>
                <w:color w:val="000000" w:themeColor="text1"/>
                <w:kern w:val="0"/>
                <w:u w:val="wave"/>
                <w:lang w:val="en-US" w:eastAsia="zh-CN"/>
                <w14:textFill>
                  <w14:solidFill>
                    <w14:schemeClr w14:val="tx1"/>
                  </w14:solidFill>
                </w14:textFill>
              </w:rPr>
              <w:t>35</w:t>
            </w:r>
            <w:r>
              <w:rPr>
                <w:rFonts w:hint="eastAsia"/>
                <w:snapToGrid w:val="0"/>
                <w:color w:val="000000" w:themeColor="text1"/>
                <w:kern w:val="0"/>
                <w:u w:val="wave"/>
                <w14:textFill>
                  <w14:solidFill>
                    <w14:schemeClr w14:val="tx1"/>
                  </w14:solidFill>
                </w14:textFill>
              </w:rPr>
              <w:t>0m范围内</w:t>
            </w:r>
            <w:r>
              <w:rPr>
                <w:rFonts w:hint="eastAsia"/>
                <w:snapToGrid w:val="0"/>
                <w:color w:val="000000" w:themeColor="text1"/>
                <w:kern w:val="0"/>
                <w:u w:val="wave"/>
                <w:lang w:val="en-US" w:eastAsia="zh-CN"/>
                <w14:textFill>
                  <w14:solidFill>
                    <w14:schemeClr w14:val="tx1"/>
                  </w14:solidFill>
                </w14:textFill>
              </w:rPr>
              <w:t>无敏感点</w:t>
            </w:r>
            <w:r>
              <w:rPr>
                <w:color w:val="000000" w:themeColor="text1"/>
                <w:u w:val="wave"/>
                <w14:textFill>
                  <w14:solidFill>
                    <w14:schemeClr w14:val="tx1"/>
                  </w14:solidFill>
                </w14:textFill>
              </w:rPr>
              <w:t>。</w:t>
            </w:r>
            <w:r>
              <w:rPr>
                <w:snapToGrid w:val="0"/>
                <w:color w:val="000000" w:themeColor="text1"/>
                <w:kern w:val="0"/>
                <w:u w:val="wave"/>
                <w14:textFill>
                  <w14:solidFill>
                    <w14:schemeClr w14:val="tx1"/>
                  </w14:solidFill>
                </w14:textFill>
              </w:rPr>
              <w:t>综上所述，建议以风机基础平台边界外</w:t>
            </w:r>
            <w:r>
              <w:rPr>
                <w:rFonts w:hint="eastAsia"/>
                <w:snapToGrid w:val="0"/>
                <w:color w:val="000000" w:themeColor="text1"/>
                <w:kern w:val="0"/>
                <w:u w:val="wave"/>
                <w:lang w:val="en-US" w:eastAsia="zh-CN"/>
                <w14:textFill>
                  <w14:solidFill>
                    <w14:schemeClr w14:val="tx1"/>
                  </w14:solidFill>
                </w14:textFill>
              </w:rPr>
              <w:t>350</w:t>
            </w:r>
            <w:r>
              <w:rPr>
                <w:snapToGrid w:val="0"/>
                <w:color w:val="000000" w:themeColor="text1"/>
                <w:kern w:val="0"/>
                <w:u w:val="wave"/>
                <w14:textFill>
                  <w14:solidFill>
                    <w14:schemeClr w14:val="tx1"/>
                  </w14:solidFill>
                </w14:textFill>
              </w:rPr>
              <w:t>m范围内的区域划定为风电机组的噪声影响控制区。在该噪声影响区域范围内，不规划修建居民住宅、学校、医院及其他噪声敏感建筑物，建设单位应报当地规划建设局并征得其同意。同时，在运营期建设单位应对风电机组运行噪声开展跟踪监测。</w:t>
            </w:r>
          </w:p>
          <w:p w14:paraId="64CF584A">
            <w:pPr>
              <w:pStyle w:val="4"/>
              <w:rPr>
                <w:color w:val="000000" w:themeColor="text1"/>
                <w:u w:val="wave"/>
                <w14:textFill>
                  <w14:solidFill>
                    <w14:schemeClr w14:val="tx1"/>
                  </w14:solidFill>
                </w14:textFill>
              </w:rPr>
            </w:pPr>
            <w:bookmarkStart w:id="165" w:name="_Hlk29987221"/>
            <w:r>
              <w:rPr>
                <w:color w:val="000000" w:themeColor="text1"/>
                <w:u w:val="wave"/>
                <w14:textFill>
                  <w14:solidFill>
                    <w14:schemeClr w14:val="tx1"/>
                  </w14:solidFill>
                </w14:textFill>
              </w:rPr>
              <w:t>4.9.2升压站主变压器噪声影响预测</w:t>
            </w:r>
          </w:p>
          <w:p w14:paraId="4337D086">
            <w:pPr>
              <w:adjustRightInd w:val="0"/>
              <w:snapToGrid w:val="0"/>
              <w:ind w:firstLine="480" w:firstLineChars="200"/>
              <w:rPr>
                <w:color w:val="000000" w:themeColor="text1"/>
                <w:kern w:val="0"/>
                <w:u w:val="wave"/>
                <w14:textFill>
                  <w14:solidFill>
                    <w14:schemeClr w14:val="tx1"/>
                  </w14:solidFill>
                </w14:textFill>
              </w:rPr>
            </w:pPr>
            <w:r>
              <w:rPr>
                <w:color w:val="000000" w:themeColor="text1"/>
                <w:kern w:val="0"/>
                <w:u w:val="wave"/>
                <w14:textFill>
                  <w14:solidFill>
                    <w14:schemeClr w14:val="tx1"/>
                  </w14:solidFill>
                </w14:textFill>
              </w:rPr>
              <w:t>本项目升压站安装一台</w:t>
            </w:r>
            <w:r>
              <w:rPr>
                <w:rFonts w:hint="eastAsia"/>
                <w:color w:val="000000" w:themeColor="text1"/>
                <w:kern w:val="0"/>
                <w:u w:val="wave"/>
                <w:lang w:val="en-US" w:eastAsia="zh-CN"/>
                <w14:textFill>
                  <w14:solidFill>
                    <w14:schemeClr w14:val="tx1"/>
                  </w14:solidFill>
                </w14:textFill>
              </w:rPr>
              <w:t>150</w:t>
            </w:r>
            <w:r>
              <w:rPr>
                <w:rFonts w:hint="eastAsia"/>
                <w:color w:val="000000" w:themeColor="text1"/>
                <w:kern w:val="0"/>
                <w:u w:val="wave"/>
                <w14:textFill>
                  <w14:solidFill>
                    <w14:schemeClr w14:val="tx1"/>
                  </w14:solidFill>
                </w14:textFill>
              </w:rPr>
              <w:t>MVA</w:t>
            </w:r>
            <w:r>
              <w:rPr>
                <w:color w:val="000000" w:themeColor="text1"/>
                <w:kern w:val="0"/>
                <w:u w:val="wave"/>
                <w14:textFill>
                  <w14:solidFill>
                    <w14:schemeClr w14:val="tx1"/>
                  </w14:solidFill>
                </w14:textFill>
              </w:rPr>
              <w:t>的</w:t>
            </w:r>
            <w:r>
              <w:rPr>
                <w:rFonts w:hint="eastAsia"/>
                <w:color w:val="000000" w:themeColor="text1"/>
                <w:kern w:val="0"/>
                <w:u w:val="wave"/>
                <w:lang w:val="en-US" w:eastAsia="zh-CN"/>
                <w14:textFill>
                  <w14:solidFill>
                    <w14:schemeClr w14:val="tx1"/>
                  </w14:solidFill>
                </w14:textFill>
              </w:rPr>
              <w:t>22</w:t>
            </w:r>
            <w:r>
              <w:rPr>
                <w:color w:val="000000" w:themeColor="text1"/>
                <w:kern w:val="0"/>
                <w:u w:val="wave"/>
                <w14:textFill>
                  <w14:solidFill>
                    <w14:schemeClr w14:val="tx1"/>
                  </w14:solidFill>
                </w14:textFill>
              </w:rPr>
              <w:t>0kV变压器，变压器单台声</w:t>
            </w:r>
            <w:r>
              <w:rPr>
                <w:rFonts w:hint="eastAsia"/>
                <w:color w:val="000000" w:themeColor="text1"/>
                <w:kern w:val="0"/>
                <w:u w:val="wave"/>
                <w:lang w:eastAsia="zh-CN"/>
                <w14:textFill>
                  <w14:solidFill>
                    <w14:schemeClr w14:val="tx1"/>
                  </w14:solidFill>
                </w14:textFill>
              </w:rPr>
              <w:t>压</w:t>
            </w:r>
            <w:r>
              <w:rPr>
                <w:color w:val="000000" w:themeColor="text1"/>
                <w:kern w:val="0"/>
                <w:u w:val="wave"/>
                <w14:textFill>
                  <w14:solidFill>
                    <w14:schemeClr w14:val="tx1"/>
                  </w14:solidFill>
                </w14:textFill>
              </w:rPr>
              <w:t>级为65dB（A）。由于升压站四周设有围墙，对于升压站内主变压器噪声影响分析需考虑场界处的达标分析。</w:t>
            </w:r>
          </w:p>
          <w:p w14:paraId="7A6110D2">
            <w:pPr>
              <w:ind w:firstLine="480" w:firstLineChars="200"/>
              <w:rPr>
                <w:rFonts w:hint="eastAsia"/>
                <w:color w:val="000000" w:themeColor="text1"/>
                <w:kern w:val="0"/>
                <w:u w:val="wave"/>
                <w14:textFill>
                  <w14:solidFill>
                    <w14:schemeClr w14:val="tx1"/>
                  </w14:solidFill>
                </w14:textFill>
              </w:rPr>
            </w:pPr>
            <w:r>
              <w:rPr>
                <w:rFonts w:hint="eastAsia"/>
                <w:color w:val="000000" w:themeColor="text1"/>
                <w:kern w:val="0"/>
                <w:u w:val="wave"/>
                <w14:textFill>
                  <w14:solidFill>
                    <w14:schemeClr w14:val="tx1"/>
                  </w14:solidFill>
                </w14:textFill>
              </w:rPr>
              <w:t xml:space="preserve">①预测模式 </w:t>
            </w:r>
          </w:p>
          <w:p w14:paraId="68086F0F">
            <w:pPr>
              <w:ind w:firstLine="480" w:firstLineChars="200"/>
              <w:rPr>
                <w:rFonts w:hint="eastAsia"/>
                <w:color w:val="000000" w:themeColor="text1"/>
                <w:kern w:val="0"/>
                <w:u w:val="wave"/>
                <w14:textFill>
                  <w14:solidFill>
                    <w14:schemeClr w14:val="tx1"/>
                  </w14:solidFill>
                </w14:textFill>
              </w:rPr>
            </w:pPr>
            <w:r>
              <w:rPr>
                <w:rFonts w:hint="eastAsia"/>
                <w:color w:val="000000" w:themeColor="text1"/>
                <w:kern w:val="0"/>
                <w:u w:val="wave"/>
                <w14:textFill>
                  <w14:solidFill>
                    <w14:schemeClr w14:val="tx1"/>
                  </w14:solidFill>
                </w14:textFill>
              </w:rPr>
              <w:t xml:space="preserve">采用《环境影响评价技术导则－声环境》（HJ 2.4-2021）中附录A（规范性附录）户外声传播的衰减和附录B（规范性附录）中“B.1工业噪声预测计算模型”。 </w:t>
            </w:r>
          </w:p>
          <w:p w14:paraId="6B28B24D">
            <w:pPr>
              <w:numPr>
                <w:ilvl w:val="0"/>
                <w:numId w:val="8"/>
              </w:numPr>
              <w:ind w:firstLine="480" w:firstLineChars="200"/>
              <w:rPr>
                <w:rFonts w:hint="eastAsia"/>
                <w:color w:val="000000" w:themeColor="text1"/>
                <w:kern w:val="0"/>
                <w:u w:val="wave"/>
                <w14:textFill>
                  <w14:solidFill>
                    <w14:schemeClr w14:val="tx1"/>
                  </w14:solidFill>
                </w14:textFill>
              </w:rPr>
            </w:pPr>
            <w:r>
              <w:rPr>
                <w:rFonts w:hint="eastAsia"/>
                <w:color w:val="000000" w:themeColor="text1"/>
                <w:kern w:val="0"/>
                <w:u w:val="wave"/>
                <w14:textFill>
                  <w14:solidFill>
                    <w14:schemeClr w14:val="tx1"/>
                  </w14:solidFill>
                </w14:textFill>
              </w:rPr>
              <w:t xml:space="preserve">室内声源等效室外声源声功率级 </w:t>
            </w:r>
          </w:p>
          <w:p w14:paraId="551D71D0">
            <w:pPr>
              <w:numPr>
                <w:ilvl w:val="0"/>
                <w:numId w:val="0"/>
              </w:numPr>
              <w:rPr>
                <w:rFonts w:hint="eastAsia" w:eastAsia="宋体"/>
                <w:color w:val="000000" w:themeColor="text1"/>
                <w:kern w:val="0"/>
                <w:u w:val="wave"/>
                <w:lang w:eastAsia="zh-CN"/>
                <w14:textFill>
                  <w14:solidFill>
                    <w14:schemeClr w14:val="tx1"/>
                  </w14:solidFill>
                </w14:textFill>
              </w:rPr>
            </w:pPr>
          </w:p>
          <w:p w14:paraId="3E93E6FA">
            <w:pPr>
              <w:numPr>
                <w:ilvl w:val="0"/>
                <w:numId w:val="0"/>
              </w:numPr>
              <w:ind w:firstLine="480" w:firstLineChars="200"/>
              <w:rPr>
                <w:rFonts w:hint="eastAsia"/>
                <w:color w:val="000000" w:themeColor="text1"/>
                <w:kern w:val="0"/>
                <w:u w:val="wave"/>
                <w14:textFill>
                  <w14:solidFill>
                    <w14:schemeClr w14:val="tx1"/>
                  </w14:solidFill>
                </w14:textFill>
              </w:rPr>
            </w:pPr>
            <w:r>
              <w:rPr>
                <w:rFonts w:hint="eastAsia" w:eastAsia="宋体"/>
                <w:color w:val="000000" w:themeColor="text1"/>
                <w:kern w:val="0"/>
                <w:u w:val="wave"/>
                <w:lang w:eastAsia="zh-CN"/>
                <w14:textFill>
                  <w14:solidFill>
                    <w14:schemeClr w14:val="tx1"/>
                  </w14:solidFill>
                </w14:textFill>
              </w:rPr>
              <w:drawing>
                <wp:anchor distT="0" distB="0" distL="114300" distR="114300" simplePos="0" relativeHeight="251675648" behindDoc="1" locked="0" layoutInCell="1" allowOverlap="1">
                  <wp:simplePos x="0" y="0"/>
                  <wp:positionH relativeFrom="column">
                    <wp:posOffset>1247775</wp:posOffset>
                  </wp:positionH>
                  <wp:positionV relativeFrom="paragraph">
                    <wp:posOffset>45085</wp:posOffset>
                  </wp:positionV>
                  <wp:extent cx="2143125" cy="447675"/>
                  <wp:effectExtent l="0" t="0" r="9525" b="9525"/>
                  <wp:wrapNone/>
                  <wp:docPr id="12" name="图片 12" descr="1706456846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706456846631"/>
                          <pic:cNvPicPr>
                            <a:picLocks noChangeAspect="1"/>
                          </pic:cNvPicPr>
                        </pic:nvPicPr>
                        <pic:blipFill>
                          <a:blip r:embed="rId58"/>
                          <a:stretch>
                            <a:fillRect/>
                          </a:stretch>
                        </pic:blipFill>
                        <pic:spPr>
                          <a:xfrm>
                            <a:off x="0" y="0"/>
                            <a:ext cx="2143125" cy="447675"/>
                          </a:xfrm>
                          <a:prstGeom prst="rect">
                            <a:avLst/>
                          </a:prstGeom>
                        </pic:spPr>
                      </pic:pic>
                    </a:graphicData>
                  </a:graphic>
                </wp:anchor>
              </w:drawing>
            </w:r>
          </w:p>
          <w:p w14:paraId="69332F9E">
            <w:pPr>
              <w:numPr>
                <w:ilvl w:val="0"/>
                <w:numId w:val="0"/>
              </w:numPr>
              <w:ind w:firstLine="480" w:firstLineChars="200"/>
              <w:rPr>
                <w:rFonts w:hint="eastAsia"/>
                <w:color w:val="000000" w:themeColor="text1"/>
                <w:kern w:val="0"/>
                <w:u w:val="wave"/>
                <w14:textFill>
                  <w14:solidFill>
                    <w14:schemeClr w14:val="tx1"/>
                  </w14:solidFill>
                </w14:textFill>
              </w:rPr>
            </w:pPr>
          </w:p>
          <w:p w14:paraId="4E6D60EF">
            <w:pPr>
              <w:numPr>
                <w:ilvl w:val="0"/>
                <w:numId w:val="0"/>
              </w:numPr>
              <w:ind w:firstLine="480" w:firstLineChars="200"/>
              <w:rPr>
                <w:rFonts w:hint="eastAsia"/>
                <w:color w:val="000000" w:themeColor="text1"/>
                <w:kern w:val="0"/>
                <w:u w:val="wave"/>
                <w14:textFill>
                  <w14:solidFill>
                    <w14:schemeClr w14:val="tx1"/>
                  </w14:solidFill>
                </w14:textFill>
              </w:rPr>
            </w:pPr>
            <w:r>
              <w:rPr>
                <w:rFonts w:hint="eastAsia"/>
                <w:color w:val="000000" w:themeColor="text1"/>
                <w:kern w:val="0"/>
                <w:u w:val="wave"/>
                <w14:textFill>
                  <w14:solidFill>
                    <w14:schemeClr w14:val="tx1"/>
                  </w14:solidFill>
                </w14:textFill>
              </w:rPr>
              <w:t xml:space="preserve">式中：Lp1——靠近开口处（或窗户）室内某倍频带的声压级或A声级，dB； </w:t>
            </w:r>
          </w:p>
          <w:p w14:paraId="1802977D">
            <w:pPr>
              <w:numPr>
                <w:ilvl w:val="0"/>
                <w:numId w:val="0"/>
              </w:numPr>
              <w:ind w:left="480" w:leftChars="200" w:firstLine="0" w:firstLineChars="0"/>
              <w:rPr>
                <w:rFonts w:hint="eastAsia"/>
                <w:color w:val="000000" w:themeColor="text1"/>
                <w:kern w:val="0"/>
                <w:u w:val="wave"/>
                <w14:textFill>
                  <w14:solidFill>
                    <w14:schemeClr w14:val="tx1"/>
                  </w14:solidFill>
                </w14:textFill>
              </w:rPr>
            </w:pPr>
            <w:r>
              <w:rPr>
                <w:rFonts w:hint="eastAsia"/>
                <w:color w:val="000000" w:themeColor="text1"/>
                <w:kern w:val="0"/>
                <w:u w:val="wave"/>
                <w14:textFill>
                  <w14:solidFill>
                    <w14:schemeClr w14:val="tx1"/>
                  </w14:solidFill>
                </w14:textFill>
              </w:rPr>
              <w:t xml:space="preserve">Lp2——靠近开口处（或窗户）室外某倍频带的声压级或A声级，dB；TL——隔墙（或窗户）倍频带或A声级的隔声量，dB。 </w:t>
            </w:r>
          </w:p>
          <w:p w14:paraId="03B08FCC">
            <w:pPr>
              <w:numPr>
                <w:ilvl w:val="0"/>
                <w:numId w:val="0"/>
              </w:numPr>
              <w:ind w:firstLine="480" w:firstLineChars="200"/>
              <w:rPr>
                <w:rFonts w:hint="eastAsia"/>
                <w:color w:val="000000" w:themeColor="text1"/>
                <w:kern w:val="0"/>
                <w:u w:val="wave"/>
                <w14:textFill>
                  <w14:solidFill>
                    <w14:schemeClr w14:val="tx1"/>
                  </w14:solidFill>
                </w14:textFill>
              </w:rPr>
            </w:pPr>
            <w:r>
              <w:rPr>
                <w:rFonts w:hint="eastAsia"/>
                <w:color w:val="000000" w:themeColor="text1"/>
                <w:kern w:val="0"/>
                <w:u w:val="wave"/>
                <w14:textFill>
                  <w14:solidFill>
                    <w14:schemeClr w14:val="tx1"/>
                  </w14:solidFill>
                </w14:textFill>
              </w:rPr>
              <w:t xml:space="preserve">计算出所有室内声源在围护结构处产生的i倍频带叠加声压级： </w:t>
            </w:r>
          </w:p>
          <w:p w14:paraId="0D5F9FAD">
            <w:pPr>
              <w:numPr>
                <w:ilvl w:val="0"/>
                <w:numId w:val="0"/>
              </w:numPr>
              <w:ind w:firstLine="480" w:firstLineChars="200"/>
              <w:rPr>
                <w:rFonts w:hint="eastAsia" w:eastAsia="宋体"/>
                <w:color w:val="000000" w:themeColor="text1"/>
                <w:kern w:val="0"/>
                <w:u w:val="wave"/>
                <w:lang w:eastAsia="zh-CN"/>
                <w14:textFill>
                  <w14:solidFill>
                    <w14:schemeClr w14:val="tx1"/>
                  </w14:solidFill>
                </w14:textFill>
              </w:rPr>
            </w:pPr>
            <w:r>
              <w:rPr>
                <w:rFonts w:hint="eastAsia" w:eastAsia="宋体"/>
                <w:color w:val="000000" w:themeColor="text1"/>
                <w:kern w:val="0"/>
                <w:u w:val="wave"/>
                <w:lang w:eastAsia="zh-CN"/>
                <w14:textFill>
                  <w14:solidFill>
                    <w14:schemeClr w14:val="tx1"/>
                  </w14:solidFill>
                </w14:textFill>
              </w:rPr>
              <w:drawing>
                <wp:anchor distT="0" distB="0" distL="114300" distR="114300" simplePos="0" relativeHeight="251675648" behindDoc="1" locked="0" layoutInCell="1" allowOverlap="1">
                  <wp:simplePos x="0" y="0"/>
                  <wp:positionH relativeFrom="column">
                    <wp:posOffset>1109345</wp:posOffset>
                  </wp:positionH>
                  <wp:positionV relativeFrom="paragraph">
                    <wp:posOffset>38100</wp:posOffset>
                  </wp:positionV>
                  <wp:extent cx="2457450" cy="609600"/>
                  <wp:effectExtent l="0" t="0" r="0" b="0"/>
                  <wp:wrapNone/>
                  <wp:docPr id="18" name="图片 18" descr="170645688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706456882043"/>
                          <pic:cNvPicPr>
                            <a:picLocks noChangeAspect="1"/>
                          </pic:cNvPicPr>
                        </pic:nvPicPr>
                        <pic:blipFill>
                          <a:blip r:embed="rId59"/>
                          <a:stretch>
                            <a:fillRect/>
                          </a:stretch>
                        </pic:blipFill>
                        <pic:spPr>
                          <a:xfrm>
                            <a:off x="0" y="0"/>
                            <a:ext cx="2457450" cy="609600"/>
                          </a:xfrm>
                          <a:prstGeom prst="rect">
                            <a:avLst/>
                          </a:prstGeom>
                        </pic:spPr>
                      </pic:pic>
                    </a:graphicData>
                  </a:graphic>
                </wp:anchor>
              </w:drawing>
            </w:r>
          </w:p>
          <w:p w14:paraId="1D4A4D1B">
            <w:pPr>
              <w:numPr>
                <w:ilvl w:val="0"/>
                <w:numId w:val="0"/>
              </w:numPr>
              <w:ind w:firstLine="480" w:firstLineChars="200"/>
              <w:rPr>
                <w:rFonts w:hint="eastAsia"/>
                <w:color w:val="000000" w:themeColor="text1"/>
                <w:kern w:val="0"/>
                <w:u w:val="wave"/>
                <w14:textFill>
                  <w14:solidFill>
                    <w14:schemeClr w14:val="tx1"/>
                  </w14:solidFill>
                </w14:textFill>
              </w:rPr>
            </w:pPr>
          </w:p>
          <w:p w14:paraId="4C3F910D">
            <w:pPr>
              <w:numPr>
                <w:ilvl w:val="0"/>
                <w:numId w:val="0"/>
              </w:numPr>
              <w:ind w:firstLine="480" w:firstLineChars="200"/>
              <w:rPr>
                <w:rFonts w:hint="eastAsia"/>
                <w:color w:val="000000" w:themeColor="text1"/>
                <w:kern w:val="0"/>
                <w:u w:val="wave"/>
                <w14:textFill>
                  <w14:solidFill>
                    <w14:schemeClr w14:val="tx1"/>
                  </w14:solidFill>
                </w14:textFill>
              </w:rPr>
            </w:pPr>
            <w:r>
              <w:rPr>
                <w:rFonts w:hint="eastAsia"/>
                <w:color w:val="000000" w:themeColor="text1"/>
                <w:kern w:val="0"/>
                <w:u w:val="wave"/>
                <w14:textFill>
                  <w14:solidFill>
                    <w14:schemeClr w14:val="tx1"/>
                  </w14:solidFill>
                </w14:textFill>
              </w:rPr>
              <w:t xml:space="preserve">式中：Lpli（T）——靠近围护结构处室内N个声源i倍频带的叠加声压级，dB； </w:t>
            </w:r>
          </w:p>
          <w:p w14:paraId="27D83C2B">
            <w:pPr>
              <w:numPr>
                <w:ilvl w:val="0"/>
                <w:numId w:val="0"/>
              </w:numPr>
              <w:ind w:firstLine="480" w:firstLineChars="200"/>
              <w:rPr>
                <w:rFonts w:hint="eastAsia"/>
                <w:color w:val="000000" w:themeColor="text1"/>
                <w:kern w:val="0"/>
                <w:u w:val="wave"/>
                <w14:textFill>
                  <w14:solidFill>
                    <w14:schemeClr w14:val="tx1"/>
                  </w14:solidFill>
                </w14:textFill>
              </w:rPr>
            </w:pPr>
            <w:r>
              <w:rPr>
                <w:rFonts w:hint="eastAsia"/>
                <w:color w:val="000000" w:themeColor="text1"/>
                <w:kern w:val="0"/>
                <w:u w:val="wave"/>
                <w14:textFill>
                  <w14:solidFill>
                    <w14:schemeClr w14:val="tx1"/>
                  </w14:solidFill>
                </w14:textFill>
              </w:rPr>
              <w:t>Lpij1——室内j声源i倍频带的声压级，dB；</w:t>
            </w:r>
          </w:p>
          <w:p w14:paraId="77688639">
            <w:pPr>
              <w:numPr>
                <w:ilvl w:val="0"/>
                <w:numId w:val="0"/>
              </w:numPr>
              <w:ind w:firstLine="480" w:firstLineChars="200"/>
              <w:rPr>
                <w:rFonts w:hint="eastAsia"/>
                <w:color w:val="000000" w:themeColor="text1"/>
                <w:kern w:val="0"/>
                <w:u w:val="wave"/>
                <w14:textFill>
                  <w14:solidFill>
                    <w14:schemeClr w14:val="tx1"/>
                  </w14:solidFill>
                </w14:textFill>
              </w:rPr>
            </w:pPr>
            <w:r>
              <w:rPr>
                <w:rFonts w:hint="eastAsia"/>
                <w:color w:val="000000" w:themeColor="text1"/>
                <w:kern w:val="0"/>
                <w:u w:val="wave"/>
                <w14:textFill>
                  <w14:solidFill>
                    <w14:schemeClr w14:val="tx1"/>
                  </w14:solidFill>
                </w14:textFill>
              </w:rPr>
              <w:t xml:space="preserve"> N——室内声源总数。 </w:t>
            </w:r>
          </w:p>
          <w:p w14:paraId="3F3A91EF">
            <w:pPr>
              <w:numPr>
                <w:ilvl w:val="0"/>
                <w:numId w:val="8"/>
              </w:numPr>
              <w:ind w:left="0" w:leftChars="0" w:firstLine="480" w:firstLineChars="200"/>
              <w:rPr>
                <w:color w:val="000000" w:themeColor="text1"/>
                <w:u w:val="wave"/>
                <w14:textFill>
                  <w14:solidFill>
                    <w14:schemeClr w14:val="tx1"/>
                  </w14:solidFill>
                </w14:textFill>
              </w:rPr>
            </w:pPr>
            <w:r>
              <w:rPr>
                <w:rFonts w:hint="eastAsia" w:eastAsia="宋体"/>
                <w:color w:val="000000" w:themeColor="text1"/>
                <w:kern w:val="0"/>
                <w:u w:val="wave"/>
                <w:lang w:eastAsia="zh-CN"/>
                <w14:textFill>
                  <w14:solidFill>
                    <w14:schemeClr w14:val="tx1"/>
                  </w14:solidFill>
                </w14:textFill>
              </w:rPr>
              <w:drawing>
                <wp:anchor distT="0" distB="0" distL="114300" distR="114300" simplePos="0" relativeHeight="251675648" behindDoc="1" locked="0" layoutInCell="1" allowOverlap="1">
                  <wp:simplePos x="0" y="0"/>
                  <wp:positionH relativeFrom="column">
                    <wp:posOffset>1079500</wp:posOffset>
                  </wp:positionH>
                  <wp:positionV relativeFrom="paragraph">
                    <wp:posOffset>257175</wp:posOffset>
                  </wp:positionV>
                  <wp:extent cx="2638425" cy="752475"/>
                  <wp:effectExtent l="0" t="0" r="9525" b="9525"/>
                  <wp:wrapNone/>
                  <wp:docPr id="24" name="图片 24" descr="1706456935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706456935083"/>
                          <pic:cNvPicPr>
                            <a:picLocks noChangeAspect="1"/>
                          </pic:cNvPicPr>
                        </pic:nvPicPr>
                        <pic:blipFill>
                          <a:blip r:embed="rId60"/>
                          <a:stretch>
                            <a:fillRect/>
                          </a:stretch>
                        </pic:blipFill>
                        <pic:spPr>
                          <a:xfrm>
                            <a:off x="0" y="0"/>
                            <a:ext cx="2638425" cy="752475"/>
                          </a:xfrm>
                          <a:prstGeom prst="rect">
                            <a:avLst/>
                          </a:prstGeom>
                        </pic:spPr>
                      </pic:pic>
                    </a:graphicData>
                  </a:graphic>
                </wp:anchor>
              </w:drawing>
            </w:r>
            <w:r>
              <w:rPr>
                <w:rFonts w:hint="eastAsia"/>
                <w:color w:val="000000" w:themeColor="text1"/>
                <w:kern w:val="0"/>
                <w:u w:val="wave"/>
                <w14:textFill>
                  <w14:solidFill>
                    <w14:schemeClr w14:val="tx1"/>
                  </w14:solidFill>
                </w14:textFill>
              </w:rPr>
              <w:t xml:space="preserve">室外声源A计算某个声源在预测点的倍频带声压级 </w:t>
            </w:r>
          </w:p>
          <w:p w14:paraId="1CD064D9">
            <w:pPr>
              <w:numPr>
                <w:ilvl w:val="0"/>
                <w:numId w:val="0"/>
              </w:numPr>
              <w:rPr>
                <w:rFonts w:hint="eastAsia" w:eastAsia="宋体"/>
                <w:color w:val="000000" w:themeColor="text1"/>
                <w:kern w:val="0"/>
                <w:u w:val="wave"/>
                <w:lang w:eastAsia="zh-CN"/>
                <w14:textFill>
                  <w14:solidFill>
                    <w14:schemeClr w14:val="tx1"/>
                  </w14:solidFill>
                </w14:textFill>
              </w:rPr>
            </w:pPr>
          </w:p>
          <w:p w14:paraId="736AC5F4">
            <w:pPr>
              <w:numPr>
                <w:ilvl w:val="0"/>
                <w:numId w:val="0"/>
              </w:numPr>
              <w:ind w:firstLine="480" w:firstLineChars="200"/>
              <w:rPr>
                <w:rFonts w:hint="eastAsia"/>
                <w:color w:val="000000" w:themeColor="text1"/>
                <w:kern w:val="0"/>
                <w:u w:val="wave"/>
                <w14:textFill>
                  <w14:solidFill>
                    <w14:schemeClr w14:val="tx1"/>
                  </w14:solidFill>
                </w14:textFill>
              </w:rPr>
            </w:pPr>
          </w:p>
          <w:p w14:paraId="1633B272">
            <w:pPr>
              <w:numPr>
                <w:ilvl w:val="0"/>
                <w:numId w:val="0"/>
              </w:numPr>
              <w:ind w:firstLine="480" w:firstLineChars="200"/>
              <w:rPr>
                <w:rFonts w:hint="eastAsia"/>
                <w:color w:val="000000" w:themeColor="text1"/>
                <w:kern w:val="0"/>
                <w:u w:val="wave"/>
                <w14:textFill>
                  <w14:solidFill>
                    <w14:schemeClr w14:val="tx1"/>
                  </w14:solidFill>
                </w14:textFill>
              </w:rPr>
            </w:pPr>
          </w:p>
          <w:p w14:paraId="30DA8443">
            <w:pPr>
              <w:numPr>
                <w:ilvl w:val="0"/>
                <w:numId w:val="0"/>
              </w:numPr>
              <w:ind w:firstLine="480" w:firstLineChars="200"/>
              <w:rPr>
                <w:rFonts w:hint="eastAsia"/>
                <w:color w:val="000000" w:themeColor="text1"/>
                <w:kern w:val="0"/>
                <w:u w:val="wave"/>
                <w14:textFill>
                  <w14:solidFill>
                    <w14:schemeClr w14:val="tx1"/>
                  </w14:solidFill>
                </w14:textFill>
              </w:rPr>
            </w:pPr>
            <w:r>
              <w:rPr>
                <w:rFonts w:hint="eastAsia"/>
                <w:color w:val="000000" w:themeColor="text1"/>
                <w:kern w:val="0"/>
                <w:u w:val="wave"/>
                <w14:textFill>
                  <w14:solidFill>
                    <w14:schemeClr w14:val="tx1"/>
                  </w14:solidFill>
                </w14:textFill>
              </w:rPr>
              <w:t>式中：</w:t>
            </w:r>
            <w:r>
              <w:rPr>
                <w:rFonts w:hint="eastAsia"/>
                <w:color w:val="000000" w:themeColor="text1"/>
                <w:kern w:val="0"/>
                <w:u w:val="wave"/>
                <w:lang w:val="en-US" w:eastAsia="zh-CN"/>
                <w14:textFill>
                  <w14:solidFill>
                    <w14:schemeClr w14:val="tx1"/>
                  </w14:solidFill>
                </w14:textFill>
              </w:rPr>
              <w:t>L</w:t>
            </w:r>
            <w:r>
              <w:rPr>
                <w:rFonts w:hint="eastAsia"/>
                <w:color w:val="000000" w:themeColor="text1"/>
                <w:kern w:val="0"/>
                <w:u w:val="wave"/>
                <w:vertAlign w:val="subscript"/>
                <w:lang w:val="en-US" w:eastAsia="zh-CN"/>
                <w14:textFill>
                  <w14:solidFill>
                    <w14:schemeClr w14:val="tx1"/>
                  </w14:solidFill>
                </w14:textFill>
              </w:rPr>
              <w:t>W</w:t>
            </w:r>
            <w:r>
              <w:rPr>
                <w:rFonts w:hint="eastAsia"/>
                <w:color w:val="000000" w:themeColor="text1"/>
                <w:kern w:val="0"/>
                <w:u w:val="wave"/>
                <w14:textFill>
                  <w14:solidFill>
                    <w14:schemeClr w14:val="tx1"/>
                  </w14:solidFill>
                </w14:textFill>
              </w:rPr>
              <w:t>——倍频带声功率级，dB；</w:t>
            </w:r>
          </w:p>
          <w:p w14:paraId="4FF2989A">
            <w:pPr>
              <w:numPr>
                <w:ilvl w:val="0"/>
                <w:numId w:val="0"/>
              </w:numPr>
              <w:ind w:firstLine="480" w:firstLineChars="200"/>
              <w:rPr>
                <w:rFonts w:hint="eastAsia"/>
                <w:color w:val="000000" w:themeColor="text1"/>
                <w:kern w:val="0"/>
                <w:u w:val="wave"/>
                <w14:textFill>
                  <w14:solidFill>
                    <w14:schemeClr w14:val="tx1"/>
                  </w14:solidFill>
                </w14:textFill>
              </w:rPr>
            </w:pPr>
            <w:r>
              <w:rPr>
                <w:rFonts w:hint="eastAsia"/>
                <w:color w:val="000000" w:themeColor="text1"/>
                <w:kern w:val="0"/>
                <w:u w:val="wave"/>
                <w:lang w:val="en-US" w:eastAsia="zh-CN"/>
                <w14:textFill>
                  <w14:solidFill>
                    <w14:schemeClr w14:val="tx1"/>
                  </w14:solidFill>
                </w14:textFill>
              </w:rPr>
              <w:t>D</w:t>
            </w:r>
            <w:r>
              <w:rPr>
                <w:rFonts w:hint="eastAsia"/>
                <w:color w:val="000000" w:themeColor="text1"/>
                <w:kern w:val="0"/>
                <w:u w:val="wave"/>
                <w:vertAlign w:val="subscript"/>
                <w:lang w:val="en-US" w:eastAsia="zh-CN"/>
                <w14:textFill>
                  <w14:solidFill>
                    <w14:schemeClr w14:val="tx1"/>
                  </w14:solidFill>
                </w14:textFill>
              </w:rPr>
              <w:t>C</w:t>
            </w:r>
            <w:r>
              <w:rPr>
                <w:rFonts w:hint="eastAsia"/>
                <w:color w:val="000000" w:themeColor="text1"/>
                <w:kern w:val="0"/>
                <w:u w:val="wave"/>
                <w14:textFill>
                  <w14:solidFill>
                    <w14:schemeClr w14:val="tx1"/>
                  </w14:solidFill>
                </w14:textFill>
              </w:rPr>
              <w:t>——指向性校正，dB，它描述点声源的等效连续声压级与产生声功率级的全向点声源在规定方向的级的偏差程度。指向性校正等于点声源的指向性指数加上计到小于4π球面度（sr）立体角内的声传播指数。对辐射到自由空间的全向点声源，</w:t>
            </w:r>
            <w:r>
              <w:rPr>
                <w:rFonts w:hint="eastAsia"/>
                <w:color w:val="000000" w:themeColor="text1"/>
                <w:kern w:val="0"/>
                <w:u w:val="wave"/>
                <w:lang w:val="en-US" w:eastAsia="zh-CN"/>
                <w14:textFill>
                  <w14:solidFill>
                    <w14:schemeClr w14:val="tx1"/>
                  </w14:solidFill>
                </w14:textFill>
              </w:rPr>
              <w:t>D</w:t>
            </w:r>
            <w:r>
              <w:rPr>
                <w:rFonts w:hint="eastAsia"/>
                <w:color w:val="000000" w:themeColor="text1"/>
                <w:kern w:val="0"/>
                <w:u w:val="wave"/>
                <w:vertAlign w:val="subscript"/>
                <w:lang w:val="en-US" w:eastAsia="zh-CN"/>
                <w14:textFill>
                  <w14:solidFill>
                    <w14:schemeClr w14:val="tx1"/>
                  </w14:solidFill>
                </w14:textFill>
              </w:rPr>
              <w:t>C</w:t>
            </w:r>
            <w:r>
              <w:rPr>
                <w:rFonts w:hint="eastAsia"/>
                <w:color w:val="000000" w:themeColor="text1"/>
                <w:kern w:val="0"/>
                <w:u w:val="wave"/>
                <w14:textFill>
                  <w14:solidFill>
                    <w14:schemeClr w14:val="tx1"/>
                  </w14:solidFill>
                </w14:textFill>
              </w:rPr>
              <w:t>=0dB。</w:t>
            </w:r>
          </w:p>
          <w:p w14:paraId="1A82A5B6">
            <w:pPr>
              <w:numPr>
                <w:ilvl w:val="0"/>
                <w:numId w:val="0"/>
              </w:numPr>
              <w:ind w:firstLine="720" w:firstLineChars="300"/>
              <w:rPr>
                <w:rFonts w:hint="eastAsia"/>
                <w:color w:val="000000" w:themeColor="text1"/>
                <w:u w:val="wave"/>
                <w14:textFill>
                  <w14:solidFill>
                    <w14:schemeClr w14:val="tx1"/>
                  </w14:solidFill>
                </w14:textFill>
              </w:rPr>
            </w:pPr>
            <w:r>
              <w:rPr>
                <w:rFonts w:hint="eastAsia"/>
                <w:color w:val="000000" w:themeColor="text1"/>
                <w:u w:val="wave"/>
                <w:lang w:val="en-US" w:eastAsia="zh-CN"/>
                <w14:textFill>
                  <w14:solidFill>
                    <w14:schemeClr w14:val="tx1"/>
                  </w14:solidFill>
                </w14:textFill>
              </w:rPr>
              <w:t>A</w:t>
            </w:r>
            <w:r>
              <w:rPr>
                <w:rFonts w:hint="eastAsia"/>
                <w:color w:val="000000" w:themeColor="text1"/>
                <w:u w:val="wave"/>
                <w14:textFill>
                  <w14:solidFill>
                    <w14:schemeClr w14:val="tx1"/>
                  </w14:solidFill>
                </w14:textFill>
              </w:rPr>
              <w:t>——倍频带衰减，dB；</w:t>
            </w:r>
          </w:p>
          <w:p w14:paraId="5104784A">
            <w:pPr>
              <w:numPr>
                <w:ilvl w:val="0"/>
                <w:numId w:val="0"/>
              </w:numPr>
              <w:ind w:firstLine="480" w:firstLineChars="200"/>
              <w:rPr>
                <w:rFonts w:hint="eastAsia"/>
                <w:color w:val="000000" w:themeColor="text1"/>
                <w:u w:val="wave"/>
                <w14:textFill>
                  <w14:solidFill>
                    <w14:schemeClr w14:val="tx1"/>
                  </w14:solidFill>
                </w14:textFill>
              </w:rPr>
            </w:pPr>
            <w:r>
              <w:rPr>
                <w:rFonts w:hint="eastAsia"/>
                <w:color w:val="000000" w:themeColor="text1"/>
                <w:u w:val="wave"/>
                <w14:textFill>
                  <w14:solidFill>
                    <w14:schemeClr w14:val="tx1"/>
                  </w14:solidFill>
                </w14:textFill>
              </w:rPr>
              <w:t xml:space="preserve"> </w:t>
            </w:r>
            <w:r>
              <w:rPr>
                <w:rFonts w:hint="eastAsia"/>
                <w:color w:val="000000" w:themeColor="text1"/>
                <w:u w:val="wave"/>
                <w:lang w:val="en-US" w:eastAsia="zh-CN"/>
                <w14:textFill>
                  <w14:solidFill>
                    <w14:schemeClr w14:val="tx1"/>
                  </w14:solidFill>
                </w14:textFill>
              </w:rPr>
              <w:t xml:space="preserve"> A</w:t>
            </w:r>
            <w:r>
              <w:rPr>
                <w:rFonts w:hint="eastAsia"/>
                <w:color w:val="000000" w:themeColor="text1"/>
                <w:u w:val="wave"/>
                <w:vertAlign w:val="subscript"/>
                <w:lang w:val="en-US" w:eastAsia="zh-CN"/>
                <w14:textFill>
                  <w14:solidFill>
                    <w14:schemeClr w14:val="tx1"/>
                  </w14:solidFill>
                </w14:textFill>
              </w:rPr>
              <w:t>div</w:t>
            </w:r>
            <w:r>
              <w:rPr>
                <w:rFonts w:hint="eastAsia"/>
                <w:color w:val="000000" w:themeColor="text1"/>
                <w:u w:val="wave"/>
                <w14:textFill>
                  <w14:solidFill>
                    <w14:schemeClr w14:val="tx1"/>
                  </w14:solidFill>
                </w14:textFill>
              </w:rPr>
              <w:t>——几何发散引起的倍频带衰减，dB；</w:t>
            </w:r>
          </w:p>
          <w:p w14:paraId="20D12ABD">
            <w:pPr>
              <w:numPr>
                <w:ilvl w:val="0"/>
                <w:numId w:val="0"/>
              </w:numPr>
              <w:ind w:firstLine="480" w:firstLineChars="200"/>
              <w:rPr>
                <w:rFonts w:hint="eastAsia"/>
                <w:color w:val="000000" w:themeColor="text1"/>
                <w:u w:val="wave"/>
                <w14:textFill>
                  <w14:solidFill>
                    <w14:schemeClr w14:val="tx1"/>
                  </w14:solidFill>
                </w14:textFill>
              </w:rPr>
            </w:pPr>
            <w:r>
              <w:rPr>
                <w:rFonts w:hint="eastAsia"/>
                <w:color w:val="000000" w:themeColor="text1"/>
                <w:u w:val="wave"/>
                <w14:textFill>
                  <w14:solidFill>
                    <w14:schemeClr w14:val="tx1"/>
                  </w14:solidFill>
                </w14:textFill>
              </w:rPr>
              <w:t xml:space="preserve"> </w:t>
            </w:r>
            <w:r>
              <w:rPr>
                <w:rFonts w:hint="eastAsia"/>
                <w:color w:val="000000" w:themeColor="text1"/>
                <w:u w:val="wave"/>
                <w:lang w:val="en-US" w:eastAsia="zh-CN"/>
                <w14:textFill>
                  <w14:solidFill>
                    <w14:schemeClr w14:val="tx1"/>
                  </w14:solidFill>
                </w14:textFill>
              </w:rPr>
              <w:t xml:space="preserve"> A</w:t>
            </w:r>
            <w:r>
              <w:rPr>
                <w:rFonts w:hint="eastAsia"/>
                <w:color w:val="000000" w:themeColor="text1"/>
                <w:u w:val="wave"/>
                <w:vertAlign w:val="subscript"/>
                <w:lang w:val="en-US" w:eastAsia="zh-CN"/>
                <w14:textFill>
                  <w14:solidFill>
                    <w14:schemeClr w14:val="tx1"/>
                  </w14:solidFill>
                </w14:textFill>
              </w:rPr>
              <w:t>atm</w:t>
            </w:r>
            <w:r>
              <w:rPr>
                <w:rFonts w:hint="eastAsia"/>
                <w:color w:val="000000" w:themeColor="text1"/>
                <w:u w:val="wave"/>
                <w14:textFill>
                  <w14:solidFill>
                    <w14:schemeClr w14:val="tx1"/>
                  </w14:solidFill>
                </w14:textFill>
              </w:rPr>
              <w:t xml:space="preserve">——大气吸收引起的倍频带衰减，dB； </w:t>
            </w:r>
          </w:p>
          <w:p w14:paraId="37F98356">
            <w:pPr>
              <w:numPr>
                <w:ilvl w:val="0"/>
                <w:numId w:val="0"/>
              </w:numPr>
              <w:ind w:firstLine="720" w:firstLineChars="300"/>
              <w:rPr>
                <w:rFonts w:hint="eastAsia"/>
                <w:color w:val="000000" w:themeColor="text1"/>
                <w:u w:val="wave"/>
                <w14:textFill>
                  <w14:solidFill>
                    <w14:schemeClr w14:val="tx1"/>
                  </w14:solidFill>
                </w14:textFill>
              </w:rPr>
            </w:pPr>
            <w:r>
              <w:rPr>
                <w:rFonts w:hint="eastAsia"/>
                <w:color w:val="000000" w:themeColor="text1"/>
                <w:u w:val="wave"/>
                <w:lang w:val="en-US" w:eastAsia="zh-CN"/>
                <w14:textFill>
                  <w14:solidFill>
                    <w14:schemeClr w14:val="tx1"/>
                  </w14:solidFill>
                </w14:textFill>
              </w:rPr>
              <w:t>A</w:t>
            </w:r>
            <w:r>
              <w:rPr>
                <w:rFonts w:hint="eastAsia"/>
                <w:color w:val="000000" w:themeColor="text1"/>
                <w:u w:val="wave"/>
                <w:vertAlign w:val="subscript"/>
                <w:lang w:val="en-US" w:eastAsia="zh-CN"/>
                <w14:textFill>
                  <w14:solidFill>
                    <w14:schemeClr w14:val="tx1"/>
                  </w14:solidFill>
                </w14:textFill>
              </w:rPr>
              <w:t>gy</w:t>
            </w:r>
            <w:r>
              <w:rPr>
                <w:rFonts w:hint="eastAsia"/>
                <w:color w:val="000000" w:themeColor="text1"/>
                <w:u w:val="wave"/>
                <w14:textFill>
                  <w14:solidFill>
                    <w14:schemeClr w14:val="tx1"/>
                  </w14:solidFill>
                </w14:textFill>
              </w:rPr>
              <w:t xml:space="preserve">——地面效应引起的倍频带衰减，dB； </w:t>
            </w:r>
          </w:p>
          <w:p w14:paraId="50904BBE">
            <w:pPr>
              <w:numPr>
                <w:ilvl w:val="0"/>
                <w:numId w:val="0"/>
              </w:numPr>
              <w:ind w:firstLine="720" w:firstLineChars="300"/>
              <w:rPr>
                <w:rFonts w:hint="eastAsia"/>
                <w:color w:val="000000" w:themeColor="text1"/>
                <w:u w:val="wave"/>
                <w14:textFill>
                  <w14:solidFill>
                    <w14:schemeClr w14:val="tx1"/>
                  </w14:solidFill>
                </w14:textFill>
              </w:rPr>
            </w:pPr>
            <w:r>
              <w:rPr>
                <w:rFonts w:hint="eastAsia"/>
                <w:color w:val="000000" w:themeColor="text1"/>
                <w:u w:val="wave"/>
                <w:lang w:val="en-US" w:eastAsia="zh-CN"/>
                <w14:textFill>
                  <w14:solidFill>
                    <w14:schemeClr w14:val="tx1"/>
                  </w14:solidFill>
                </w14:textFill>
              </w:rPr>
              <w:t>A</w:t>
            </w:r>
            <w:r>
              <w:rPr>
                <w:rFonts w:hint="eastAsia"/>
                <w:color w:val="000000" w:themeColor="text1"/>
                <w:u w:val="wave"/>
                <w:vertAlign w:val="subscript"/>
                <w:lang w:val="en-US" w:eastAsia="zh-CN"/>
                <w14:textFill>
                  <w14:solidFill>
                    <w14:schemeClr w14:val="tx1"/>
                  </w14:solidFill>
                </w14:textFill>
              </w:rPr>
              <w:t>bar</w:t>
            </w:r>
            <w:r>
              <w:rPr>
                <w:rFonts w:hint="eastAsia"/>
                <w:color w:val="000000" w:themeColor="text1"/>
                <w:u w:val="wave"/>
                <w14:textFill>
                  <w14:solidFill>
                    <w14:schemeClr w14:val="tx1"/>
                  </w14:solidFill>
                </w14:textFill>
              </w:rPr>
              <w:t xml:space="preserve">——声屏障引起的倍频带衰减，dB； </w:t>
            </w:r>
          </w:p>
          <w:p w14:paraId="021CAE83">
            <w:pPr>
              <w:numPr>
                <w:ilvl w:val="0"/>
                <w:numId w:val="0"/>
              </w:numPr>
              <w:ind w:firstLine="720" w:firstLineChars="300"/>
              <w:rPr>
                <w:rFonts w:hint="eastAsia"/>
                <w:color w:val="000000" w:themeColor="text1"/>
                <w:u w:val="wave"/>
                <w14:textFill>
                  <w14:solidFill>
                    <w14:schemeClr w14:val="tx1"/>
                  </w14:solidFill>
                </w14:textFill>
              </w:rPr>
            </w:pPr>
            <w:r>
              <w:rPr>
                <w:rFonts w:hint="eastAsia"/>
                <w:color w:val="000000" w:themeColor="text1"/>
                <w:u w:val="wave"/>
                <w:lang w:val="en-US" w:eastAsia="zh-CN"/>
                <w14:textFill>
                  <w14:solidFill>
                    <w14:schemeClr w14:val="tx1"/>
                  </w14:solidFill>
                </w14:textFill>
              </w:rPr>
              <w:t>A</w:t>
            </w:r>
            <w:r>
              <w:rPr>
                <w:rFonts w:hint="eastAsia"/>
                <w:color w:val="000000" w:themeColor="text1"/>
                <w:u w:val="wave"/>
                <w:vertAlign w:val="subscript"/>
                <w:lang w:val="en-US" w:eastAsia="zh-CN"/>
                <w14:textFill>
                  <w14:solidFill>
                    <w14:schemeClr w14:val="tx1"/>
                  </w14:solidFill>
                </w14:textFill>
              </w:rPr>
              <w:t>misc</w:t>
            </w:r>
            <w:r>
              <w:rPr>
                <w:rFonts w:hint="eastAsia"/>
                <w:color w:val="000000" w:themeColor="text1"/>
                <w:u w:val="wave"/>
                <w14:textFill>
                  <w14:solidFill>
                    <w14:schemeClr w14:val="tx1"/>
                  </w14:solidFill>
                </w14:textFill>
              </w:rPr>
              <w:t xml:space="preserve">——其它多方面效应引起的倍频带衰减，dB； </w:t>
            </w:r>
          </w:p>
          <w:p w14:paraId="44D8E30D">
            <w:pPr>
              <w:numPr>
                <w:ilvl w:val="0"/>
                <w:numId w:val="0"/>
              </w:numPr>
              <w:ind w:firstLine="480" w:firstLineChars="200"/>
              <w:rPr>
                <w:rFonts w:hint="eastAsia"/>
                <w:color w:val="000000" w:themeColor="text1"/>
                <w:u w:val="wave"/>
                <w14:textFill>
                  <w14:solidFill>
                    <w14:schemeClr w14:val="tx1"/>
                  </w14:solidFill>
                </w14:textFill>
              </w:rPr>
            </w:pPr>
            <w:r>
              <w:rPr>
                <w:rFonts w:hint="eastAsia"/>
                <w:color w:val="000000" w:themeColor="text1"/>
                <w:u w:val="wave"/>
                <w14:textFill>
                  <w14:solidFill>
                    <w14:schemeClr w14:val="tx1"/>
                  </w14:solidFill>
                </w14:textFill>
              </w:rPr>
              <w:t xml:space="preserve">B已知靠近声源处某点的倍频带声压级，计算相同方向预测点位置的倍频带声压级 </w:t>
            </w:r>
          </w:p>
          <w:p w14:paraId="2F65A2DC">
            <w:pPr>
              <w:numPr>
                <w:ilvl w:val="0"/>
                <w:numId w:val="0"/>
              </w:numPr>
              <w:ind w:firstLine="480" w:firstLineChars="200"/>
              <w:rPr>
                <w:rFonts w:hint="eastAsia"/>
                <w:color w:val="000000" w:themeColor="text1"/>
                <w:u w:val="wave"/>
                <w14:textFill>
                  <w14:solidFill>
                    <w14:schemeClr w14:val="tx1"/>
                  </w14:solidFill>
                </w14:textFill>
              </w:rPr>
            </w:pPr>
            <w:r>
              <w:rPr>
                <w:rFonts w:hint="eastAsia" w:eastAsia="宋体"/>
                <w:color w:val="000000" w:themeColor="text1"/>
                <w:u w:val="wave"/>
                <w:lang w:eastAsia="zh-CN"/>
                <w14:textFill>
                  <w14:solidFill>
                    <w14:schemeClr w14:val="tx1"/>
                  </w14:solidFill>
                </w14:textFill>
              </w:rPr>
              <w:drawing>
                <wp:inline distT="0" distB="0" distL="114300" distR="114300">
                  <wp:extent cx="2057400" cy="352425"/>
                  <wp:effectExtent l="0" t="0" r="0" b="9525"/>
                  <wp:docPr id="35" name="图片 35" descr="1706457237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706457237092"/>
                          <pic:cNvPicPr>
                            <a:picLocks noChangeAspect="1"/>
                          </pic:cNvPicPr>
                        </pic:nvPicPr>
                        <pic:blipFill>
                          <a:blip r:embed="rId61"/>
                          <a:stretch>
                            <a:fillRect/>
                          </a:stretch>
                        </pic:blipFill>
                        <pic:spPr>
                          <a:xfrm>
                            <a:off x="0" y="0"/>
                            <a:ext cx="2057400" cy="352425"/>
                          </a:xfrm>
                          <a:prstGeom prst="rect">
                            <a:avLst/>
                          </a:prstGeom>
                        </pic:spPr>
                      </pic:pic>
                    </a:graphicData>
                  </a:graphic>
                </wp:inline>
              </w:drawing>
            </w:r>
          </w:p>
          <w:p w14:paraId="177986CD">
            <w:pPr>
              <w:numPr>
                <w:ilvl w:val="0"/>
                <w:numId w:val="0"/>
              </w:numPr>
              <w:ind w:firstLine="480" w:firstLineChars="200"/>
              <w:rPr>
                <w:rFonts w:hint="eastAsia"/>
                <w:color w:val="000000" w:themeColor="text1"/>
                <w:u w:val="wave"/>
                <w14:textFill>
                  <w14:solidFill>
                    <w14:schemeClr w14:val="tx1"/>
                  </w14:solidFill>
                </w14:textFill>
              </w:rPr>
            </w:pPr>
            <w:r>
              <w:rPr>
                <w:rFonts w:hint="eastAsia"/>
                <w:color w:val="000000" w:themeColor="text1"/>
                <w:u w:val="wave"/>
                <w14:textFill>
                  <w14:solidFill>
                    <w14:schemeClr w14:val="tx1"/>
                  </w14:solidFill>
                </w14:textFill>
              </w:rPr>
              <w:t>预测点的A声级，可利用8个倍频带的声压级按如下计算：</w:t>
            </w:r>
          </w:p>
          <w:p w14:paraId="09DD5BA8">
            <w:pPr>
              <w:numPr>
                <w:ilvl w:val="0"/>
                <w:numId w:val="0"/>
              </w:numPr>
              <w:ind w:firstLine="480" w:firstLineChars="200"/>
              <w:rPr>
                <w:rFonts w:hint="eastAsia" w:eastAsia="宋体"/>
                <w:color w:val="000000" w:themeColor="text1"/>
                <w:u w:val="wave"/>
                <w:lang w:eastAsia="zh-CN"/>
                <w14:textFill>
                  <w14:solidFill>
                    <w14:schemeClr w14:val="tx1"/>
                  </w14:solidFill>
                </w14:textFill>
              </w:rPr>
            </w:pPr>
            <w:r>
              <w:rPr>
                <w:rFonts w:hint="eastAsia" w:eastAsia="宋体"/>
                <w:color w:val="000000" w:themeColor="text1"/>
                <w:u w:val="wave"/>
                <w:lang w:eastAsia="zh-CN"/>
                <w14:textFill>
                  <w14:solidFill>
                    <w14:schemeClr w14:val="tx1"/>
                  </w14:solidFill>
                </w14:textFill>
              </w:rPr>
              <w:drawing>
                <wp:inline distT="0" distB="0" distL="114300" distR="114300">
                  <wp:extent cx="3638550" cy="590550"/>
                  <wp:effectExtent l="0" t="0" r="0" b="0"/>
                  <wp:docPr id="36" name="图片 36" descr="170645742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706457421717"/>
                          <pic:cNvPicPr>
                            <a:picLocks noChangeAspect="1"/>
                          </pic:cNvPicPr>
                        </pic:nvPicPr>
                        <pic:blipFill>
                          <a:blip r:embed="rId62"/>
                          <a:stretch>
                            <a:fillRect/>
                          </a:stretch>
                        </pic:blipFill>
                        <pic:spPr>
                          <a:xfrm>
                            <a:off x="0" y="0"/>
                            <a:ext cx="3638550" cy="590550"/>
                          </a:xfrm>
                          <a:prstGeom prst="rect">
                            <a:avLst/>
                          </a:prstGeom>
                        </pic:spPr>
                      </pic:pic>
                    </a:graphicData>
                  </a:graphic>
                </wp:inline>
              </w:drawing>
            </w:r>
          </w:p>
          <w:p w14:paraId="665BD569">
            <w:pPr>
              <w:numPr>
                <w:ilvl w:val="0"/>
                <w:numId w:val="0"/>
              </w:numPr>
              <w:ind w:firstLine="480" w:firstLineChars="200"/>
              <w:rPr>
                <w:rFonts w:hint="eastAsia"/>
                <w:color w:val="000000" w:themeColor="text1"/>
                <w:u w:val="wave"/>
                <w14:textFill>
                  <w14:solidFill>
                    <w14:schemeClr w14:val="tx1"/>
                  </w14:solidFill>
                </w14:textFill>
              </w:rPr>
            </w:pPr>
            <w:r>
              <w:rPr>
                <w:rFonts w:hint="eastAsia"/>
                <w:color w:val="000000" w:themeColor="text1"/>
                <w:u w:val="wave"/>
                <w14:textFill>
                  <w14:solidFill>
                    <w14:schemeClr w14:val="tx1"/>
                  </w14:solidFill>
                </w14:textFill>
              </w:rPr>
              <w:t xml:space="preserve"> 式中： </w:t>
            </w:r>
            <w:r>
              <w:rPr>
                <w:rFonts w:hint="eastAsia"/>
                <w:color w:val="000000" w:themeColor="text1"/>
                <w:u w:val="wave"/>
                <w:lang w:val="en-US" w:eastAsia="zh-CN"/>
                <w14:textFill>
                  <w14:solidFill>
                    <w14:schemeClr w14:val="tx1"/>
                  </w14:solidFill>
                </w14:textFill>
              </w:rPr>
              <w:t>L</w:t>
            </w:r>
            <w:r>
              <w:rPr>
                <w:rFonts w:hint="eastAsia"/>
                <w:color w:val="000000" w:themeColor="text1"/>
                <w:u w:val="wave"/>
                <w:vertAlign w:val="subscript"/>
                <w:lang w:val="en-US" w:eastAsia="zh-CN"/>
                <w14:textFill>
                  <w14:solidFill>
                    <w14:schemeClr w14:val="tx1"/>
                  </w14:solidFill>
                </w14:textFill>
              </w:rPr>
              <w:t>pi</w:t>
            </w:r>
            <w:r>
              <w:rPr>
                <w:rFonts w:hint="eastAsia"/>
                <w:color w:val="000000" w:themeColor="text1"/>
                <w:u w:val="wave"/>
                <w:vertAlign w:val="baseline"/>
                <w:lang w:val="en-US" w:eastAsia="zh-CN"/>
                <w14:textFill>
                  <w14:solidFill>
                    <w14:schemeClr w14:val="tx1"/>
                  </w14:solidFill>
                </w14:textFill>
              </w:rPr>
              <w:t>（r）</w:t>
            </w:r>
            <w:r>
              <w:rPr>
                <w:rFonts w:hint="eastAsia"/>
                <w:color w:val="000000" w:themeColor="text1"/>
                <w:u w:val="wave"/>
                <w14:textFill>
                  <w14:solidFill>
                    <w14:schemeClr w14:val="tx1"/>
                  </w14:solidFill>
                </w14:textFill>
              </w:rPr>
              <w:t>——预测点（r）处，第i倍频带声压级，dB；</w:t>
            </w:r>
          </w:p>
          <w:p w14:paraId="6AD7CA51">
            <w:pPr>
              <w:numPr>
                <w:ilvl w:val="0"/>
                <w:numId w:val="0"/>
              </w:numPr>
              <w:ind w:firstLine="1200" w:firstLineChars="500"/>
              <w:rPr>
                <w:rFonts w:hint="eastAsia"/>
                <w:color w:val="000000" w:themeColor="text1"/>
                <w:u w:val="wave"/>
                <w14:textFill>
                  <w14:solidFill>
                    <w14:schemeClr w14:val="tx1"/>
                  </w14:solidFill>
                </w14:textFill>
              </w:rPr>
            </w:pPr>
            <w:r>
              <w:rPr>
                <w:sz w:val="24"/>
                <w:u w:val="wave"/>
              </w:rPr>
              <mc:AlternateContent>
                <mc:Choice Requires="wps">
                  <w:drawing>
                    <wp:anchor distT="0" distB="0" distL="114300" distR="114300" simplePos="0" relativeHeight="251675648" behindDoc="0" locked="0" layoutInCell="1" allowOverlap="1">
                      <wp:simplePos x="0" y="0"/>
                      <wp:positionH relativeFrom="column">
                        <wp:posOffset>713105</wp:posOffset>
                      </wp:positionH>
                      <wp:positionV relativeFrom="paragraph">
                        <wp:posOffset>75565</wp:posOffset>
                      </wp:positionV>
                      <wp:extent cx="76200" cy="86995"/>
                      <wp:effectExtent l="9525" t="15875" r="28575" b="11430"/>
                      <wp:wrapNone/>
                      <wp:docPr id="44" name="等腰三角形 44"/>
                      <wp:cNvGraphicFramePr/>
                      <a:graphic xmlns:a="http://schemas.openxmlformats.org/drawingml/2006/main">
                        <a:graphicData uri="http://schemas.microsoft.com/office/word/2010/wordprocessingShape">
                          <wps:wsp>
                            <wps:cNvSpPr/>
                            <wps:spPr>
                              <a:xfrm>
                                <a:off x="1701165" y="7928610"/>
                                <a:ext cx="76200" cy="86995"/>
                              </a:xfrm>
                              <a:prstGeom prst="triangle">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56.15pt;margin-top:5.95pt;height:6.85pt;width:6pt;z-index:251675648;v-text-anchor:middle;mso-width-relative:page;mso-height-relative:page;" filled="f" stroked="t" coordsize="21600,21600" o:gfxdata="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ghaoMtcAAAAJAQAADwAAAAAA&#10;AAABACAAAAAiAAAAZHJzL2Rvd25yZXYueG1sUEsBAhQAFAAAAAgAh07iQGnu99mGAgAA4wQAAA4A&#10;AAAAAAAAAQAgAAAAJgEAAGRycy9lMm9Eb2MueG1sUEsFBgAAAAAGAAYAWQEAAB4GAAAAAA==&#10;" adj="10800">
                      <v:fill on="f" focussize="0,0"/>
                      <v:stroke weight="1pt" color="#000000 [3213]" miterlimit="8" joinstyle="miter"/>
                      <v:imagedata o:title=""/>
                      <o:lock v:ext="edit" aspectratio="f"/>
                    </v:shape>
                  </w:pict>
                </mc:Fallback>
              </mc:AlternateContent>
            </w:r>
            <w:r>
              <w:rPr>
                <w:rFonts w:hint="eastAsia"/>
                <w:color w:val="000000" w:themeColor="text1"/>
                <w:u w:val="wave"/>
                <w14:textFill>
                  <w14:solidFill>
                    <w14:schemeClr w14:val="tx1"/>
                  </w14:solidFill>
                </w14:textFill>
              </w:rPr>
              <w:t xml:space="preserve"> </w:t>
            </w:r>
            <w:r>
              <w:rPr>
                <w:rFonts w:hint="eastAsia"/>
                <w:color w:val="000000" w:themeColor="text1"/>
                <w:u w:val="wave"/>
                <w:lang w:val="en-US" w:eastAsia="zh-CN"/>
                <w14:textFill>
                  <w14:solidFill>
                    <w14:schemeClr w14:val="tx1"/>
                  </w14:solidFill>
                </w14:textFill>
              </w:rPr>
              <w:t>L</w:t>
            </w:r>
            <w:r>
              <w:rPr>
                <w:rFonts w:hint="eastAsia"/>
                <w:color w:val="000000" w:themeColor="text1"/>
                <w:u w:val="wave"/>
                <w:vertAlign w:val="subscript"/>
                <w:lang w:val="en-US" w:eastAsia="zh-CN"/>
                <w14:textFill>
                  <w14:solidFill>
                    <w14:schemeClr w14:val="tx1"/>
                  </w14:solidFill>
                </w14:textFill>
              </w:rPr>
              <w:t>i</w:t>
            </w:r>
            <w:r>
              <w:rPr>
                <w:rFonts w:hint="eastAsia"/>
                <w:color w:val="000000" w:themeColor="text1"/>
                <w:u w:val="wave"/>
                <w14:textFill>
                  <w14:solidFill>
                    <w14:schemeClr w14:val="tx1"/>
                  </w14:solidFill>
                </w14:textFill>
              </w:rPr>
              <w:t xml:space="preserve">——i倍频带A计权网络修正值，dB。 </w:t>
            </w:r>
          </w:p>
          <w:p w14:paraId="221DE960">
            <w:pPr>
              <w:numPr>
                <w:ilvl w:val="0"/>
                <w:numId w:val="0"/>
              </w:numPr>
              <w:ind w:firstLine="480" w:firstLineChars="200"/>
              <w:rPr>
                <w:rFonts w:hint="eastAsia"/>
                <w:color w:val="000000" w:themeColor="text1"/>
                <w:u w:val="wave"/>
                <w14:textFill>
                  <w14:solidFill>
                    <w14:schemeClr w14:val="tx1"/>
                  </w14:solidFill>
                </w14:textFill>
              </w:rPr>
            </w:pPr>
            <w:r>
              <w:rPr>
                <w:rFonts w:hint="eastAsia"/>
                <w:color w:val="000000" w:themeColor="text1"/>
                <w:u w:val="wave"/>
                <w14:textFill>
                  <w14:solidFill>
                    <w14:schemeClr w14:val="tx1"/>
                  </w14:solidFill>
                </w14:textFill>
              </w:rPr>
              <w:t xml:space="preserve">在不能取得声源倍频带声功率级或倍频带声压，只能获得A声功率级或某点的A声级时，按如下公式近似计算； </w:t>
            </w:r>
          </w:p>
          <w:p w14:paraId="77BD436F">
            <w:pPr>
              <w:numPr>
                <w:ilvl w:val="0"/>
                <w:numId w:val="0"/>
              </w:numPr>
              <w:ind w:firstLine="480" w:firstLineChars="200"/>
              <w:rPr>
                <w:rFonts w:hint="eastAsia"/>
                <w:color w:val="000000" w:themeColor="text1"/>
                <w:u w:val="wave"/>
                <w14:textFill>
                  <w14:solidFill>
                    <w14:schemeClr w14:val="tx1"/>
                  </w14:solidFill>
                </w14:textFill>
              </w:rPr>
            </w:pPr>
            <w:r>
              <w:rPr>
                <w:rFonts w:hint="eastAsia"/>
                <w:color w:val="000000" w:themeColor="text1"/>
                <w:u w:val="wave"/>
                <w14:textFill>
                  <w14:solidFill>
                    <w14:schemeClr w14:val="tx1"/>
                  </w14:solidFill>
                </w14:textFill>
              </w:rPr>
              <w:drawing>
                <wp:inline distT="0" distB="0" distL="114300" distR="114300">
                  <wp:extent cx="3190875" cy="438150"/>
                  <wp:effectExtent l="0" t="0" r="9525" b="0"/>
                  <wp:docPr id="41" name="图片 41" descr="1706457470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706457470475"/>
                          <pic:cNvPicPr>
                            <a:picLocks noChangeAspect="1"/>
                          </pic:cNvPicPr>
                        </pic:nvPicPr>
                        <pic:blipFill>
                          <a:blip r:embed="rId63"/>
                          <a:stretch>
                            <a:fillRect/>
                          </a:stretch>
                        </pic:blipFill>
                        <pic:spPr>
                          <a:xfrm>
                            <a:off x="0" y="0"/>
                            <a:ext cx="3190875" cy="438150"/>
                          </a:xfrm>
                          <a:prstGeom prst="rect">
                            <a:avLst/>
                          </a:prstGeom>
                        </pic:spPr>
                      </pic:pic>
                    </a:graphicData>
                  </a:graphic>
                </wp:inline>
              </w:drawing>
            </w:r>
          </w:p>
          <w:p w14:paraId="33D90E5C">
            <w:pPr>
              <w:numPr>
                <w:ilvl w:val="0"/>
                <w:numId w:val="0"/>
              </w:numPr>
              <w:ind w:firstLine="480" w:firstLineChars="200"/>
              <w:rPr>
                <w:rFonts w:hint="eastAsia"/>
                <w:color w:val="000000" w:themeColor="text1"/>
                <w:u w:val="wave"/>
                <w14:textFill>
                  <w14:solidFill>
                    <w14:schemeClr w14:val="tx1"/>
                  </w14:solidFill>
                </w14:textFill>
              </w:rPr>
            </w:pPr>
            <w:r>
              <w:rPr>
                <w:rFonts w:hint="eastAsia"/>
                <w:color w:val="000000" w:themeColor="text1"/>
                <w:u w:val="wave"/>
                <w14:textFill>
                  <w14:solidFill>
                    <w14:schemeClr w14:val="tx1"/>
                  </w14:solidFill>
                </w14:textFill>
              </w:rPr>
              <w:t xml:space="preserve">或A可选择对A声级影响最大的倍频带计算，一般可选中心频率为500HZ的倍频带作估算。 </w:t>
            </w:r>
          </w:p>
          <w:p w14:paraId="594E54F9">
            <w:pPr>
              <w:numPr>
                <w:ilvl w:val="0"/>
                <w:numId w:val="0"/>
              </w:numPr>
              <w:ind w:firstLine="480" w:firstLineChars="200"/>
              <w:rPr>
                <w:rFonts w:hint="eastAsia"/>
                <w:color w:val="000000" w:themeColor="text1"/>
                <w:u w:val="wave"/>
                <w14:textFill>
                  <w14:solidFill>
                    <w14:schemeClr w14:val="tx1"/>
                  </w14:solidFill>
                </w14:textFill>
              </w:rPr>
            </w:pPr>
            <w:r>
              <w:rPr>
                <w:rFonts w:hint="eastAsia"/>
                <w:color w:val="000000" w:themeColor="text1"/>
                <w:u w:val="wave"/>
                <w14:textFill>
                  <w14:solidFill>
                    <w14:schemeClr w14:val="tx1"/>
                  </w14:solidFill>
                </w14:textFill>
              </w:rPr>
              <w:t xml:space="preserve">C各种因素引起的衰减量计算 </w:t>
            </w:r>
          </w:p>
          <w:p w14:paraId="7BD26DF4">
            <w:pPr>
              <w:numPr>
                <w:ilvl w:val="0"/>
                <w:numId w:val="9"/>
              </w:numPr>
              <w:ind w:firstLine="480" w:firstLineChars="200"/>
              <w:rPr>
                <w:rFonts w:hint="eastAsia"/>
                <w:color w:val="000000" w:themeColor="text1"/>
                <w:u w:val="wave"/>
                <w14:textFill>
                  <w14:solidFill>
                    <w14:schemeClr w14:val="tx1"/>
                  </w14:solidFill>
                </w14:textFill>
              </w:rPr>
            </w:pPr>
            <w:r>
              <w:rPr>
                <w:rFonts w:hint="eastAsia"/>
                <w:color w:val="000000" w:themeColor="text1"/>
                <w:u w:val="wave"/>
                <w14:textFill>
                  <w14:solidFill>
                    <w14:schemeClr w14:val="tx1"/>
                  </w14:solidFill>
                </w14:textFill>
              </w:rPr>
              <w:t xml:space="preserve">几何发散衰减 </w:t>
            </w:r>
          </w:p>
          <w:p w14:paraId="251B761F">
            <w:pPr>
              <w:numPr>
                <w:ilvl w:val="0"/>
                <w:numId w:val="0"/>
              </w:numPr>
              <w:ind w:firstLine="480" w:firstLineChars="200"/>
              <w:rPr>
                <w:rFonts w:hint="eastAsia" w:eastAsia="宋体"/>
                <w:color w:val="000000" w:themeColor="text1"/>
                <w:u w:val="wave"/>
                <w:lang w:eastAsia="zh-CN"/>
                <w14:textFill>
                  <w14:solidFill>
                    <w14:schemeClr w14:val="tx1"/>
                  </w14:solidFill>
                </w14:textFill>
              </w:rPr>
            </w:pPr>
            <w:r>
              <w:rPr>
                <w:rFonts w:hint="eastAsia" w:eastAsia="宋体"/>
                <w:color w:val="000000" w:themeColor="text1"/>
                <w:u w:val="wave"/>
                <w:lang w:eastAsia="zh-CN"/>
                <w14:textFill>
                  <w14:solidFill>
                    <w14:schemeClr w14:val="tx1"/>
                  </w14:solidFill>
                </w14:textFill>
              </w:rPr>
              <w:drawing>
                <wp:inline distT="0" distB="0" distL="114300" distR="114300">
                  <wp:extent cx="1695450" cy="361950"/>
                  <wp:effectExtent l="0" t="0" r="0" b="0"/>
                  <wp:docPr id="56" name="图片 56" descr="1706457723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1706457723063"/>
                          <pic:cNvPicPr>
                            <a:picLocks noChangeAspect="1"/>
                          </pic:cNvPicPr>
                        </pic:nvPicPr>
                        <pic:blipFill>
                          <a:blip r:embed="rId64"/>
                          <a:stretch>
                            <a:fillRect/>
                          </a:stretch>
                        </pic:blipFill>
                        <pic:spPr>
                          <a:xfrm>
                            <a:off x="0" y="0"/>
                            <a:ext cx="1695450" cy="361950"/>
                          </a:xfrm>
                          <a:prstGeom prst="rect">
                            <a:avLst/>
                          </a:prstGeom>
                        </pic:spPr>
                      </pic:pic>
                    </a:graphicData>
                  </a:graphic>
                </wp:inline>
              </w:drawing>
            </w:r>
          </w:p>
          <w:p w14:paraId="7BEE49FE">
            <w:pPr>
              <w:numPr>
                <w:ilvl w:val="0"/>
                <w:numId w:val="9"/>
              </w:numPr>
              <w:ind w:left="0" w:leftChars="0" w:firstLine="480" w:firstLineChars="200"/>
              <w:rPr>
                <w:rFonts w:hint="eastAsia"/>
                <w:color w:val="000000" w:themeColor="text1"/>
                <w:u w:val="wave"/>
                <w14:textFill>
                  <w14:solidFill>
                    <w14:schemeClr w14:val="tx1"/>
                  </w14:solidFill>
                </w14:textFill>
              </w:rPr>
            </w:pPr>
            <w:r>
              <w:rPr>
                <w:rFonts w:hint="eastAsia"/>
                <w:color w:val="000000" w:themeColor="text1"/>
                <w:u w:val="wave"/>
                <w14:textFill>
                  <w14:solidFill>
                    <w14:schemeClr w14:val="tx1"/>
                  </w14:solidFill>
                </w14:textFill>
              </w:rPr>
              <w:t>空气吸收引起的衰减量：</w:t>
            </w:r>
          </w:p>
          <w:p w14:paraId="1546237B">
            <w:pPr>
              <w:numPr>
                <w:ilvl w:val="0"/>
                <w:numId w:val="0"/>
              </w:numPr>
              <w:ind w:leftChars="200"/>
              <w:rPr>
                <w:rFonts w:hint="eastAsia" w:eastAsia="宋体"/>
                <w:color w:val="000000" w:themeColor="text1"/>
                <w:u w:val="wave"/>
                <w:lang w:eastAsia="zh-CN"/>
                <w14:textFill>
                  <w14:solidFill>
                    <w14:schemeClr w14:val="tx1"/>
                  </w14:solidFill>
                </w14:textFill>
              </w:rPr>
            </w:pPr>
            <w:r>
              <w:rPr>
                <w:rFonts w:hint="eastAsia"/>
                <w:color w:val="000000" w:themeColor="text1"/>
                <w:u w:val="wave"/>
                <w14:textFill>
                  <w14:solidFill>
                    <w14:schemeClr w14:val="tx1"/>
                  </w14:solidFill>
                </w14:textFill>
              </w:rPr>
              <w:t xml:space="preserve"> </w:t>
            </w:r>
            <w:r>
              <w:rPr>
                <w:rFonts w:hint="eastAsia" w:eastAsia="宋体"/>
                <w:color w:val="000000" w:themeColor="text1"/>
                <w:u w:val="wave"/>
                <w:lang w:eastAsia="zh-CN"/>
                <w14:textFill>
                  <w14:solidFill>
                    <w14:schemeClr w14:val="tx1"/>
                  </w14:solidFill>
                </w14:textFill>
              </w:rPr>
              <w:drawing>
                <wp:inline distT="0" distB="0" distL="114300" distR="114300">
                  <wp:extent cx="1781175" cy="581025"/>
                  <wp:effectExtent l="0" t="0" r="9525" b="9525"/>
                  <wp:docPr id="57" name="图片 57" descr="170645773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1706457737650"/>
                          <pic:cNvPicPr>
                            <a:picLocks noChangeAspect="1"/>
                          </pic:cNvPicPr>
                        </pic:nvPicPr>
                        <pic:blipFill>
                          <a:blip r:embed="rId65"/>
                          <a:stretch>
                            <a:fillRect/>
                          </a:stretch>
                        </pic:blipFill>
                        <pic:spPr>
                          <a:xfrm>
                            <a:off x="0" y="0"/>
                            <a:ext cx="1781175" cy="581025"/>
                          </a:xfrm>
                          <a:prstGeom prst="rect">
                            <a:avLst/>
                          </a:prstGeom>
                        </pic:spPr>
                      </pic:pic>
                    </a:graphicData>
                  </a:graphic>
                </wp:inline>
              </w:drawing>
            </w:r>
          </w:p>
          <w:p w14:paraId="66DC8959">
            <w:pPr>
              <w:numPr>
                <w:ilvl w:val="0"/>
                <w:numId w:val="0"/>
              </w:numPr>
              <w:ind w:firstLine="480" w:firstLineChars="200"/>
              <w:rPr>
                <w:rFonts w:hint="eastAsia"/>
                <w:color w:val="000000" w:themeColor="text1"/>
                <w:u w:val="wave"/>
                <w:lang w:eastAsia="zh-CN"/>
                <w14:textFill>
                  <w14:solidFill>
                    <w14:schemeClr w14:val="tx1"/>
                  </w14:solidFill>
                </w14:textFill>
              </w:rPr>
            </w:pPr>
            <w:r>
              <w:rPr>
                <w:color w:val="000000" w:themeColor="text1"/>
                <w:u w:val="wave"/>
                <w14:textFill>
                  <w14:solidFill>
                    <w14:schemeClr w14:val="tx1"/>
                  </w14:solidFill>
                </w14:textFill>
              </w:rPr>
              <w:t>式中：a——空气吸收系数，dB / km。</w:t>
            </w:r>
          </w:p>
          <w:p w14:paraId="440049F5">
            <w:pPr>
              <w:numPr>
                <w:ilvl w:val="0"/>
                <w:numId w:val="0"/>
              </w:numPr>
              <w:ind w:firstLine="1200" w:firstLineChars="500"/>
              <w:rPr>
                <w:color w:val="000000" w:themeColor="text1"/>
                <w:u w:val="wave"/>
                <w14:textFill>
                  <w14:solidFill>
                    <w14:schemeClr w14:val="tx1"/>
                  </w14:solidFill>
                </w14:textFill>
              </w:rPr>
            </w:pPr>
            <w:r>
              <w:rPr>
                <w:rFonts w:hint="eastAsia"/>
                <w:color w:val="000000" w:themeColor="text1"/>
                <w:u w:val="wave"/>
                <w14:textFill>
                  <w14:solidFill>
                    <w14:schemeClr w14:val="tx1"/>
                  </w14:solidFill>
                </w14:textFill>
              </w:rPr>
              <w:t>c. 地面效应引起的衰减量：</w:t>
            </w:r>
          </w:p>
          <w:p w14:paraId="4C8F347A">
            <w:pPr>
              <w:numPr>
                <w:ilvl w:val="0"/>
                <w:numId w:val="0"/>
              </w:numPr>
              <w:ind w:firstLine="480" w:firstLineChars="200"/>
              <w:rPr>
                <w:rFonts w:hint="eastAsia"/>
                <w:color w:val="000000" w:themeColor="text1"/>
                <w:u w:val="wave"/>
                <w14:textFill>
                  <w14:solidFill>
                    <w14:schemeClr w14:val="tx1"/>
                  </w14:solidFill>
                </w14:textFill>
              </w:rPr>
            </w:pPr>
            <w:r>
              <w:rPr>
                <w:rFonts w:hint="eastAsia"/>
                <w:color w:val="000000" w:themeColor="text1"/>
                <w:u w:val="wave"/>
                <w14:textFill>
                  <w14:solidFill>
                    <w14:schemeClr w14:val="tx1"/>
                  </w14:solidFill>
                </w14:textFill>
              </w:rPr>
              <w:drawing>
                <wp:inline distT="0" distB="0" distL="114300" distR="114300">
                  <wp:extent cx="2638425" cy="537845"/>
                  <wp:effectExtent l="0" t="0" r="0" b="0"/>
                  <wp:docPr id="60" name="图片 60" descr="1706457848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1706457848411"/>
                          <pic:cNvPicPr>
                            <a:picLocks noChangeAspect="1"/>
                          </pic:cNvPicPr>
                        </pic:nvPicPr>
                        <pic:blipFill>
                          <a:blip r:embed="rId66"/>
                          <a:srcRect t="7432"/>
                          <a:stretch>
                            <a:fillRect/>
                          </a:stretch>
                        </pic:blipFill>
                        <pic:spPr>
                          <a:xfrm>
                            <a:off x="0" y="0"/>
                            <a:ext cx="2638425" cy="537845"/>
                          </a:xfrm>
                          <a:prstGeom prst="rect">
                            <a:avLst/>
                          </a:prstGeom>
                        </pic:spPr>
                      </pic:pic>
                    </a:graphicData>
                  </a:graphic>
                </wp:inline>
              </w:drawing>
            </w:r>
          </w:p>
          <w:p w14:paraId="7B814503">
            <w:pPr>
              <w:numPr>
                <w:ilvl w:val="0"/>
                <w:numId w:val="0"/>
              </w:numPr>
              <w:ind w:firstLine="480" w:firstLineChars="200"/>
              <w:rPr>
                <w:rFonts w:hint="eastAsia"/>
                <w:color w:val="000000" w:themeColor="text1"/>
                <w:u w:val="wave"/>
                <w14:textFill>
                  <w14:solidFill>
                    <w14:schemeClr w14:val="tx1"/>
                  </w14:solidFill>
                </w14:textFill>
              </w:rPr>
            </w:pPr>
            <w:r>
              <w:rPr>
                <w:rFonts w:hint="eastAsia"/>
                <w:color w:val="000000" w:themeColor="text1"/>
                <w:u w:val="wave"/>
                <w14:textFill>
                  <w14:solidFill>
                    <w14:schemeClr w14:val="tx1"/>
                  </w14:solidFill>
                </w14:textFill>
              </w:rPr>
              <w:t>式中： r——声源到预测点的距离，</w:t>
            </w:r>
          </w:p>
          <w:p w14:paraId="4AF24C2B">
            <w:pPr>
              <w:numPr>
                <w:ilvl w:val="0"/>
                <w:numId w:val="0"/>
              </w:numPr>
              <w:ind w:firstLine="1200" w:firstLineChars="500"/>
              <w:rPr>
                <w:rFonts w:hint="eastAsia"/>
                <w:color w:val="000000" w:themeColor="text1"/>
                <w:u w:val="wave"/>
                <w14:textFill>
                  <w14:solidFill>
                    <w14:schemeClr w14:val="tx1"/>
                  </w14:solidFill>
                </w14:textFill>
              </w:rPr>
            </w:pPr>
            <w:r>
              <w:rPr>
                <w:rFonts w:hint="eastAsia"/>
                <w:color w:val="000000" w:themeColor="text1"/>
                <w:u w:val="wave"/>
                <w:lang w:val="en-US" w:eastAsia="zh-CN"/>
                <w14:textFill>
                  <w14:solidFill>
                    <w14:schemeClr w14:val="tx1"/>
                  </w14:solidFill>
                </w14:textFill>
              </w:rPr>
              <w:t>h</w:t>
            </w:r>
            <w:r>
              <w:rPr>
                <w:rFonts w:hint="eastAsia"/>
                <w:color w:val="000000" w:themeColor="text1"/>
                <w:u w:val="wave"/>
                <w:vertAlign w:val="subscript"/>
                <w14:textFill>
                  <w14:solidFill>
                    <w14:schemeClr w14:val="tx1"/>
                  </w14:solidFill>
                </w14:textFill>
              </w:rPr>
              <w:t>m</w:t>
            </w:r>
            <w:r>
              <w:rPr>
                <w:rFonts w:hint="eastAsia"/>
                <w:color w:val="000000" w:themeColor="text1"/>
                <w:u w:val="wave"/>
                <w14:textFill>
                  <w14:solidFill>
                    <w14:schemeClr w14:val="tx1"/>
                  </w14:solidFill>
                </w14:textFill>
              </w:rPr>
              <w:t xml:space="preserve">； ——传播路径的平均离地高度。 </w:t>
            </w:r>
          </w:p>
          <w:p w14:paraId="51F2752C">
            <w:pPr>
              <w:numPr>
                <w:ilvl w:val="0"/>
                <w:numId w:val="0"/>
              </w:numPr>
              <w:ind w:firstLine="1200" w:firstLineChars="500"/>
              <w:rPr>
                <w:rFonts w:hint="eastAsia"/>
                <w:color w:val="000000" w:themeColor="text1"/>
                <w:u w:val="wave"/>
                <w14:textFill>
                  <w14:solidFill>
                    <w14:schemeClr w14:val="tx1"/>
                  </w14:solidFill>
                </w14:textFill>
              </w:rPr>
            </w:pPr>
            <w:r>
              <w:rPr>
                <w:rFonts w:hint="eastAsia"/>
                <w:color w:val="000000" w:themeColor="text1"/>
                <w:u w:val="wave"/>
                <w14:textFill>
                  <w14:solidFill>
                    <w14:schemeClr w14:val="tx1"/>
                  </w14:solidFill>
                </w14:textFill>
              </w:rPr>
              <w:t xml:space="preserve">D预测点的预测等效声级 </w:t>
            </w:r>
          </w:p>
          <w:p w14:paraId="047ECB54">
            <w:pPr>
              <w:numPr>
                <w:ilvl w:val="0"/>
                <w:numId w:val="0"/>
              </w:numPr>
              <w:ind w:firstLine="1200" w:firstLineChars="500"/>
              <w:rPr>
                <w:rFonts w:hint="eastAsia" w:eastAsia="宋体"/>
                <w:color w:val="000000" w:themeColor="text1"/>
                <w:u w:val="wave"/>
                <w:lang w:eastAsia="zh-CN"/>
                <w14:textFill>
                  <w14:solidFill>
                    <w14:schemeClr w14:val="tx1"/>
                  </w14:solidFill>
                </w14:textFill>
              </w:rPr>
            </w:pPr>
            <w:r>
              <w:rPr>
                <w:rFonts w:hint="eastAsia" w:eastAsia="宋体"/>
                <w:color w:val="000000" w:themeColor="text1"/>
                <w:u w:val="wave"/>
                <w:lang w:eastAsia="zh-CN"/>
                <w14:textFill>
                  <w14:solidFill>
                    <w14:schemeClr w14:val="tx1"/>
                  </w14:solidFill>
                </w14:textFill>
              </w:rPr>
              <w:drawing>
                <wp:inline distT="0" distB="0" distL="114300" distR="114300">
                  <wp:extent cx="2562225" cy="350520"/>
                  <wp:effectExtent l="0" t="0" r="0" b="0"/>
                  <wp:docPr id="61" name="图片 61" descr="1706457893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1706457893183"/>
                          <pic:cNvPicPr>
                            <a:picLocks noChangeAspect="1"/>
                          </pic:cNvPicPr>
                        </pic:nvPicPr>
                        <pic:blipFill>
                          <a:blip r:embed="rId67"/>
                          <a:srcRect t="16364"/>
                          <a:stretch>
                            <a:fillRect/>
                          </a:stretch>
                        </pic:blipFill>
                        <pic:spPr>
                          <a:xfrm>
                            <a:off x="0" y="0"/>
                            <a:ext cx="2562225" cy="350520"/>
                          </a:xfrm>
                          <a:prstGeom prst="rect">
                            <a:avLst/>
                          </a:prstGeom>
                        </pic:spPr>
                      </pic:pic>
                    </a:graphicData>
                  </a:graphic>
                </wp:inline>
              </w:drawing>
            </w:r>
          </w:p>
          <w:p w14:paraId="325FDD6B">
            <w:pPr>
              <w:numPr>
                <w:ilvl w:val="0"/>
                <w:numId w:val="0"/>
              </w:numPr>
              <w:ind w:left="1440" w:leftChars="200" w:hanging="960" w:hangingChars="400"/>
              <w:rPr>
                <w:rFonts w:hint="eastAsia" w:eastAsia="宋体"/>
                <w:color w:val="000000" w:themeColor="text1"/>
                <w:u w:val="wave"/>
                <w:lang w:val="en-US" w:eastAsia="zh-CN"/>
                <w14:textFill>
                  <w14:solidFill>
                    <w14:schemeClr w14:val="tx1"/>
                  </w14:solidFill>
                </w14:textFill>
              </w:rPr>
            </w:pPr>
            <w:r>
              <w:rPr>
                <w:rFonts w:hint="eastAsia"/>
                <w:color w:val="000000" w:themeColor="text1"/>
                <w:u w:val="wave"/>
                <w14:textFill>
                  <w14:solidFill>
                    <w14:schemeClr w14:val="tx1"/>
                  </w14:solidFill>
                </w14:textFill>
              </w:rPr>
              <w:t>式中：L</w:t>
            </w:r>
            <w:r>
              <w:rPr>
                <w:rFonts w:hint="eastAsia"/>
                <w:color w:val="000000" w:themeColor="text1"/>
                <w:u w:val="wave"/>
                <w:vertAlign w:val="subscript"/>
                <w14:textFill>
                  <w14:solidFill>
                    <w14:schemeClr w14:val="tx1"/>
                  </w14:solidFill>
                </w14:textFill>
              </w:rPr>
              <w:t>eqg</w:t>
            </w:r>
            <w:r>
              <w:rPr>
                <w:rFonts w:hint="eastAsia"/>
                <w:color w:val="000000" w:themeColor="text1"/>
                <w:u w:val="wave"/>
                <w14:textFill>
                  <w14:solidFill>
                    <w14:schemeClr w14:val="tx1"/>
                  </w14:solidFill>
                </w14:textFill>
              </w:rPr>
              <w:t>——建设项目声源在预测点的等效声级贡献值，dB（A）</w:t>
            </w:r>
            <w:r>
              <w:rPr>
                <w:rFonts w:hint="eastAsia"/>
                <w:color w:val="000000" w:themeColor="text1"/>
                <w:u w:val="wave"/>
                <w:lang w:val="en-US" w:eastAsia="zh-CN"/>
                <w14:textFill>
                  <w14:solidFill>
                    <w14:schemeClr w14:val="tx1"/>
                  </w14:solidFill>
                </w14:textFill>
              </w:rPr>
              <w:t>;</w:t>
            </w:r>
          </w:p>
          <w:p w14:paraId="1BBE036D">
            <w:pPr>
              <w:numPr>
                <w:ilvl w:val="0"/>
                <w:numId w:val="0"/>
              </w:numPr>
              <w:ind w:left="1440" w:leftChars="500" w:hanging="240" w:hangingChars="100"/>
              <w:rPr>
                <w:rFonts w:hint="eastAsia"/>
                <w:color w:val="000000" w:themeColor="text1"/>
                <w:u w:val="wave"/>
                <w14:textFill>
                  <w14:solidFill>
                    <w14:schemeClr w14:val="tx1"/>
                  </w14:solidFill>
                </w14:textFill>
              </w:rPr>
            </w:pPr>
            <w:r>
              <w:rPr>
                <w:rFonts w:hint="eastAsia"/>
                <w:color w:val="000000" w:themeColor="text1"/>
                <w:u w:val="wave"/>
                <w14:textFill>
                  <w14:solidFill>
                    <w14:schemeClr w14:val="tx1"/>
                  </w14:solidFill>
                </w14:textFill>
              </w:rPr>
              <w:t>L</w:t>
            </w:r>
            <w:r>
              <w:rPr>
                <w:rFonts w:hint="eastAsia"/>
                <w:color w:val="000000" w:themeColor="text1"/>
                <w:u w:val="wave"/>
                <w:vertAlign w:val="subscript"/>
                <w14:textFill>
                  <w14:solidFill>
                    <w14:schemeClr w14:val="tx1"/>
                  </w14:solidFill>
                </w14:textFill>
              </w:rPr>
              <w:t>eqb</w:t>
            </w:r>
            <w:r>
              <w:rPr>
                <w:rFonts w:hint="eastAsia"/>
                <w:color w:val="000000" w:themeColor="text1"/>
                <w:u w:val="wave"/>
                <w14:textFill>
                  <w14:solidFill>
                    <w14:schemeClr w14:val="tx1"/>
                  </w14:solidFill>
                </w14:textFill>
              </w:rPr>
              <w:t>——预测点的背值，dB（A）；</w:t>
            </w:r>
          </w:p>
          <w:p w14:paraId="7C0DD2CD">
            <w:pPr>
              <w:numPr>
                <w:ilvl w:val="0"/>
                <w:numId w:val="8"/>
              </w:numPr>
              <w:ind w:left="0" w:leftChars="0" w:firstLine="480" w:firstLineChars="200"/>
              <w:rPr>
                <w:rFonts w:hint="eastAsia"/>
                <w:color w:val="000000" w:themeColor="text1"/>
                <w:u w:val="wave"/>
                <w14:textFill>
                  <w14:solidFill>
                    <w14:schemeClr w14:val="tx1"/>
                  </w14:solidFill>
                </w14:textFill>
              </w:rPr>
            </w:pPr>
            <w:r>
              <w:rPr>
                <w:rFonts w:hint="eastAsia"/>
                <w:color w:val="000000" w:themeColor="text1"/>
                <w:u w:val="wave"/>
                <w14:textFill>
                  <w14:solidFill>
                    <w14:schemeClr w14:val="tx1"/>
                  </w14:solidFill>
                </w14:textFill>
              </w:rPr>
              <w:t xml:space="preserve">多个室外声源噪声贡献值叠加计算 </w:t>
            </w:r>
          </w:p>
          <w:p w14:paraId="77BC3916">
            <w:pPr>
              <w:numPr>
                <w:ilvl w:val="0"/>
                <w:numId w:val="0"/>
              </w:numPr>
              <w:ind w:firstLine="480" w:firstLineChars="200"/>
              <w:rPr>
                <w:rFonts w:hint="eastAsia"/>
                <w:color w:val="000000" w:themeColor="text1"/>
                <w:u w:val="wave"/>
                <w14:textFill>
                  <w14:solidFill>
                    <w14:schemeClr w14:val="tx1"/>
                  </w14:solidFill>
                </w14:textFill>
              </w:rPr>
            </w:pPr>
            <w:r>
              <w:rPr>
                <w:rFonts w:hint="eastAsia"/>
                <w:color w:val="000000" w:themeColor="text1"/>
                <w:u w:val="wave"/>
                <w14:textFill>
                  <w14:solidFill>
                    <w14:schemeClr w14:val="tx1"/>
                  </w14:solidFill>
                </w14:textFill>
              </w:rPr>
              <w:t>a计算声压级</w:t>
            </w:r>
          </w:p>
          <w:p w14:paraId="1AEF7BD5">
            <w:pPr>
              <w:numPr>
                <w:ilvl w:val="0"/>
                <w:numId w:val="0"/>
              </w:numPr>
              <w:ind w:firstLine="480" w:firstLineChars="200"/>
              <w:rPr>
                <w:rFonts w:hint="eastAsia"/>
                <w:color w:val="000000" w:themeColor="text1"/>
                <w:u w:val="wave"/>
                <w14:textFill>
                  <w14:solidFill>
                    <w14:schemeClr w14:val="tx1"/>
                  </w14:solidFill>
                </w14:textFill>
              </w:rPr>
            </w:pPr>
            <w:r>
              <w:rPr>
                <w:rFonts w:hint="eastAsia"/>
                <w:color w:val="000000" w:themeColor="text1"/>
                <w:u w:val="wave"/>
                <w14:textFill>
                  <w14:solidFill>
                    <w14:schemeClr w14:val="tx1"/>
                  </w14:solidFill>
                </w14:textFill>
              </w:rPr>
              <w:t>设第i个室外声源在预测点产生的A声级为LAi，在T时间内该声源工作时间为t</w:t>
            </w:r>
            <w:r>
              <w:rPr>
                <w:rFonts w:hint="eastAsia"/>
                <w:color w:val="000000" w:themeColor="text1"/>
                <w:u w:val="wave"/>
                <w:vertAlign w:val="subscript"/>
                <w14:textFill>
                  <w14:solidFill>
                    <w14:schemeClr w14:val="tx1"/>
                  </w14:solidFill>
                </w14:textFill>
              </w:rPr>
              <w:t>i</w:t>
            </w:r>
            <w:r>
              <w:rPr>
                <w:rFonts w:hint="eastAsia"/>
                <w:color w:val="000000" w:themeColor="text1"/>
                <w:u w:val="wave"/>
                <w14:textFill>
                  <w14:solidFill>
                    <w14:schemeClr w14:val="tx1"/>
                  </w14:solidFill>
                </w14:textFill>
              </w:rPr>
              <w:t>；第j个等效室外声源在预测点产生的A声级为LA，j，在T时间内该声源工作时间为t</w:t>
            </w:r>
            <w:r>
              <w:rPr>
                <w:rFonts w:hint="eastAsia"/>
                <w:color w:val="000000" w:themeColor="text1"/>
                <w:u w:val="wave"/>
                <w:vertAlign w:val="subscript"/>
                <w14:textFill>
                  <w14:solidFill>
                    <w14:schemeClr w14:val="tx1"/>
                  </w14:solidFill>
                </w14:textFill>
              </w:rPr>
              <w:t>j</w:t>
            </w:r>
            <w:r>
              <w:rPr>
                <w:rFonts w:hint="eastAsia"/>
                <w:color w:val="000000" w:themeColor="text1"/>
                <w:u w:val="wave"/>
                <w14:textFill>
                  <w14:solidFill>
                    <w14:schemeClr w14:val="tx1"/>
                  </w14:solidFill>
                </w14:textFill>
              </w:rPr>
              <w:t xml:space="preserve">，则预测点的总等效声级为 </w:t>
            </w:r>
          </w:p>
          <w:p w14:paraId="52B716F1">
            <w:pPr>
              <w:numPr>
                <w:ilvl w:val="0"/>
                <w:numId w:val="0"/>
              </w:numPr>
              <w:ind w:firstLine="480" w:firstLineChars="200"/>
              <w:rPr>
                <w:rFonts w:hint="eastAsia" w:eastAsia="宋体"/>
                <w:color w:val="000000" w:themeColor="text1"/>
                <w:u w:val="wave"/>
                <w:lang w:eastAsia="zh-CN"/>
                <w14:textFill>
                  <w14:solidFill>
                    <w14:schemeClr w14:val="tx1"/>
                  </w14:solidFill>
                </w14:textFill>
              </w:rPr>
            </w:pPr>
            <w:r>
              <w:rPr>
                <w:rFonts w:hint="eastAsia" w:eastAsia="宋体"/>
                <w:color w:val="000000" w:themeColor="text1"/>
                <w:u w:val="wave"/>
                <w:lang w:eastAsia="zh-CN"/>
                <w14:textFill>
                  <w14:solidFill>
                    <w14:schemeClr w14:val="tx1"/>
                  </w14:solidFill>
                </w14:textFill>
              </w:rPr>
              <w:drawing>
                <wp:inline distT="0" distB="0" distL="114300" distR="114300">
                  <wp:extent cx="3267075" cy="533400"/>
                  <wp:effectExtent l="0" t="0" r="9525" b="0"/>
                  <wp:docPr id="62" name="图片 62" descr="1706458060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1706458060901"/>
                          <pic:cNvPicPr>
                            <a:picLocks noChangeAspect="1"/>
                          </pic:cNvPicPr>
                        </pic:nvPicPr>
                        <pic:blipFill>
                          <a:blip r:embed="rId68"/>
                          <a:stretch>
                            <a:fillRect/>
                          </a:stretch>
                        </pic:blipFill>
                        <pic:spPr>
                          <a:xfrm>
                            <a:off x="0" y="0"/>
                            <a:ext cx="3267075" cy="533400"/>
                          </a:xfrm>
                          <a:prstGeom prst="rect">
                            <a:avLst/>
                          </a:prstGeom>
                        </pic:spPr>
                      </pic:pic>
                    </a:graphicData>
                  </a:graphic>
                </wp:inline>
              </w:drawing>
            </w:r>
          </w:p>
          <w:p w14:paraId="453B5A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68" w:firstLineChars="200"/>
              <w:jc w:val="both"/>
              <w:textAlignment w:val="auto"/>
              <w:rPr>
                <w:rFonts w:hint="default" w:ascii="Times New Roman" w:hAnsi="Times New Roman" w:eastAsia="宋体" w:cs="Times New Roman"/>
                <w:color w:val="auto"/>
                <w:spacing w:val="-3"/>
                <w:position w:val="-2"/>
                <w:sz w:val="24"/>
                <w:szCs w:val="24"/>
                <w:highlight w:val="none"/>
                <w:u w:val="wave"/>
              </w:rPr>
            </w:pPr>
            <w:r>
              <w:rPr>
                <w:rFonts w:hint="default" w:ascii="Times New Roman" w:hAnsi="Times New Roman" w:eastAsia="宋体" w:cs="Times New Roman"/>
                <w:color w:val="auto"/>
                <w:spacing w:val="-3"/>
                <w:position w:val="-2"/>
                <w:sz w:val="24"/>
                <w:szCs w:val="24"/>
                <w:highlight w:val="none"/>
                <w:u w:val="wave"/>
              </w:rPr>
              <w:t>式中：Leqg——建设项目声源在预测点产生的噪声贡献值，dB；</w:t>
            </w:r>
          </w:p>
          <w:p w14:paraId="7F0C96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68" w:firstLineChars="200"/>
              <w:jc w:val="both"/>
              <w:textAlignment w:val="auto"/>
              <w:rPr>
                <w:rFonts w:hint="default" w:ascii="Times New Roman" w:hAnsi="Times New Roman" w:eastAsia="宋体" w:cs="Times New Roman"/>
                <w:color w:val="auto"/>
                <w:spacing w:val="-3"/>
                <w:position w:val="-2"/>
                <w:sz w:val="24"/>
                <w:szCs w:val="24"/>
                <w:highlight w:val="none"/>
                <w:u w:val="wave"/>
              </w:rPr>
            </w:pPr>
            <w:r>
              <w:rPr>
                <w:rFonts w:hint="default" w:ascii="Times New Roman" w:hAnsi="Times New Roman" w:eastAsia="宋体" w:cs="Times New Roman"/>
                <w:color w:val="auto"/>
                <w:spacing w:val="-3"/>
                <w:position w:val="-2"/>
                <w:sz w:val="24"/>
                <w:szCs w:val="24"/>
                <w:highlight w:val="none"/>
                <w:u w:val="wave"/>
              </w:rPr>
              <w:t>T——用于计算等效声级的时间，s；</w:t>
            </w:r>
          </w:p>
          <w:p w14:paraId="7BF041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68" w:firstLineChars="200"/>
              <w:jc w:val="both"/>
              <w:textAlignment w:val="auto"/>
              <w:rPr>
                <w:rFonts w:hint="default" w:ascii="Times New Roman" w:hAnsi="Times New Roman" w:eastAsia="宋体" w:cs="Times New Roman"/>
                <w:color w:val="auto"/>
                <w:spacing w:val="-3"/>
                <w:position w:val="-2"/>
                <w:sz w:val="24"/>
                <w:szCs w:val="24"/>
                <w:highlight w:val="none"/>
                <w:u w:val="wave"/>
              </w:rPr>
            </w:pPr>
            <w:r>
              <w:rPr>
                <w:rFonts w:hint="default" w:ascii="Times New Roman" w:hAnsi="Times New Roman" w:eastAsia="宋体" w:cs="Times New Roman"/>
                <w:color w:val="auto"/>
                <w:spacing w:val="-3"/>
                <w:position w:val="-2"/>
                <w:sz w:val="24"/>
                <w:szCs w:val="24"/>
                <w:highlight w:val="none"/>
                <w:u w:val="wave"/>
              </w:rPr>
              <w:t>N——室外声源个数；</w:t>
            </w:r>
          </w:p>
          <w:p w14:paraId="1B4CBF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68" w:firstLineChars="200"/>
              <w:jc w:val="both"/>
              <w:textAlignment w:val="auto"/>
              <w:rPr>
                <w:rFonts w:hint="default" w:ascii="Times New Roman" w:hAnsi="Times New Roman" w:eastAsia="宋体" w:cs="Times New Roman"/>
                <w:color w:val="auto"/>
                <w:spacing w:val="-3"/>
                <w:position w:val="-2"/>
                <w:sz w:val="24"/>
                <w:szCs w:val="24"/>
                <w:highlight w:val="none"/>
                <w:u w:val="wave"/>
              </w:rPr>
            </w:pPr>
            <w:r>
              <w:rPr>
                <w:rFonts w:hint="default" w:ascii="Times New Roman" w:hAnsi="Times New Roman" w:eastAsia="宋体" w:cs="Times New Roman"/>
                <w:color w:val="auto"/>
                <w:spacing w:val="-3"/>
                <w:position w:val="-2"/>
                <w:sz w:val="24"/>
                <w:szCs w:val="24"/>
                <w:highlight w:val="none"/>
                <w:u w:val="wave"/>
              </w:rPr>
              <w:t>ti——在T时间内i声源工作时间，s；</w:t>
            </w:r>
          </w:p>
          <w:p w14:paraId="45F255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68" w:firstLineChars="200"/>
              <w:jc w:val="both"/>
              <w:textAlignment w:val="auto"/>
              <w:rPr>
                <w:rFonts w:hint="default" w:ascii="Times New Roman" w:hAnsi="Times New Roman" w:eastAsia="宋体" w:cs="Times New Roman"/>
                <w:color w:val="auto"/>
                <w:spacing w:val="-3"/>
                <w:position w:val="-2"/>
                <w:sz w:val="24"/>
                <w:szCs w:val="24"/>
                <w:highlight w:val="none"/>
                <w:u w:val="wave"/>
              </w:rPr>
            </w:pPr>
            <w:r>
              <w:rPr>
                <w:rFonts w:hint="default" w:ascii="Times New Roman" w:hAnsi="Times New Roman" w:eastAsia="宋体" w:cs="Times New Roman"/>
                <w:color w:val="auto"/>
                <w:spacing w:val="-3"/>
                <w:position w:val="-2"/>
                <w:sz w:val="24"/>
                <w:szCs w:val="24"/>
                <w:highlight w:val="none"/>
                <w:u w:val="wave"/>
              </w:rPr>
              <w:t>M——等效室外声源个数；</w:t>
            </w:r>
          </w:p>
          <w:p w14:paraId="1EDBB8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68" w:firstLineChars="200"/>
              <w:jc w:val="both"/>
              <w:textAlignment w:val="auto"/>
              <w:rPr>
                <w:rFonts w:hint="default" w:ascii="Times New Roman" w:hAnsi="Times New Roman" w:eastAsia="宋体" w:cs="Times New Roman"/>
                <w:color w:val="auto"/>
                <w:spacing w:val="-3"/>
                <w:position w:val="-2"/>
                <w:sz w:val="24"/>
                <w:szCs w:val="24"/>
                <w:highlight w:val="none"/>
                <w:u w:val="wave"/>
              </w:rPr>
            </w:pPr>
            <w:r>
              <w:rPr>
                <w:rFonts w:hint="default" w:ascii="Times New Roman" w:hAnsi="Times New Roman" w:eastAsia="宋体" w:cs="Times New Roman"/>
                <w:color w:val="auto"/>
                <w:spacing w:val="-3"/>
                <w:position w:val="-2"/>
                <w:sz w:val="24"/>
                <w:szCs w:val="24"/>
                <w:highlight w:val="none"/>
                <w:u w:val="wave"/>
              </w:rPr>
              <w:t>tj——在T时间内j声源工作时间，s。</w:t>
            </w:r>
          </w:p>
          <w:p w14:paraId="7B7A209F">
            <w:pPr>
              <w:numPr>
                <w:ilvl w:val="0"/>
                <w:numId w:val="8"/>
              </w:numPr>
              <w:ind w:left="0" w:leftChars="0" w:firstLine="480" w:firstLineChars="200"/>
              <w:rPr>
                <w:rFonts w:hint="eastAsia"/>
                <w:color w:val="000000" w:themeColor="text1"/>
                <w:u w:val="wave"/>
                <w14:textFill>
                  <w14:solidFill>
                    <w14:schemeClr w14:val="tx1"/>
                  </w14:solidFill>
                </w14:textFill>
              </w:rPr>
            </w:pPr>
            <w:r>
              <w:rPr>
                <w:rFonts w:hint="eastAsia"/>
                <w:color w:val="000000" w:themeColor="text1"/>
                <w:u w:val="wave"/>
                <w14:textFill>
                  <w14:solidFill>
                    <w14:schemeClr w14:val="tx1"/>
                  </w14:solidFill>
                </w14:textFill>
              </w:rPr>
              <w:t xml:space="preserve">噪声叠加值计算 </w:t>
            </w:r>
          </w:p>
          <w:p w14:paraId="0FAD134D">
            <w:pPr>
              <w:numPr>
                <w:ilvl w:val="0"/>
                <w:numId w:val="0"/>
              </w:numPr>
              <w:ind w:leftChars="200"/>
              <w:rPr>
                <w:rFonts w:hint="eastAsia" w:eastAsia="宋体"/>
                <w:color w:val="000000" w:themeColor="text1"/>
                <w:u w:val="wave"/>
                <w:lang w:eastAsia="zh-CN"/>
                <w14:textFill>
                  <w14:solidFill>
                    <w14:schemeClr w14:val="tx1"/>
                  </w14:solidFill>
                </w14:textFill>
              </w:rPr>
            </w:pPr>
            <w:r>
              <w:rPr>
                <w:rFonts w:hint="eastAsia" w:eastAsia="宋体"/>
                <w:color w:val="000000" w:themeColor="text1"/>
                <w:u w:val="wave"/>
                <w:lang w:eastAsia="zh-CN"/>
                <w14:textFill>
                  <w14:solidFill>
                    <w14:schemeClr w14:val="tx1"/>
                  </w14:solidFill>
                </w14:textFill>
              </w:rPr>
              <w:drawing>
                <wp:inline distT="0" distB="0" distL="114300" distR="114300">
                  <wp:extent cx="2886075" cy="476250"/>
                  <wp:effectExtent l="0" t="0" r="9525" b="0"/>
                  <wp:docPr id="63" name="图片 63" descr="170645813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1706458130059"/>
                          <pic:cNvPicPr>
                            <a:picLocks noChangeAspect="1"/>
                          </pic:cNvPicPr>
                        </pic:nvPicPr>
                        <pic:blipFill>
                          <a:blip r:embed="rId69"/>
                          <a:stretch>
                            <a:fillRect/>
                          </a:stretch>
                        </pic:blipFill>
                        <pic:spPr>
                          <a:xfrm>
                            <a:off x="0" y="0"/>
                            <a:ext cx="2886075" cy="476250"/>
                          </a:xfrm>
                          <a:prstGeom prst="rect">
                            <a:avLst/>
                          </a:prstGeom>
                        </pic:spPr>
                      </pic:pic>
                    </a:graphicData>
                  </a:graphic>
                </wp:inline>
              </w:drawing>
            </w:r>
          </w:p>
          <w:p w14:paraId="758AEDCD">
            <w:pPr>
              <w:numPr>
                <w:ilvl w:val="0"/>
                <w:numId w:val="0"/>
              </w:numPr>
              <w:ind w:left="1200" w:leftChars="200" w:hanging="720" w:hangingChars="300"/>
              <w:rPr>
                <w:color w:val="000000" w:themeColor="text1"/>
                <w:u w:val="wave"/>
                <w14:textFill>
                  <w14:solidFill>
                    <w14:schemeClr w14:val="tx1"/>
                  </w14:solidFill>
                </w14:textFill>
              </w:rPr>
            </w:pPr>
            <w:r>
              <w:rPr>
                <w:rFonts w:hint="eastAsia"/>
                <w:color w:val="000000" w:themeColor="text1"/>
                <w:u w:val="wave"/>
                <w14:textFill>
                  <w14:solidFill>
                    <w14:schemeClr w14:val="tx1"/>
                  </w14:solidFill>
                </w14:textFill>
              </w:rPr>
              <w:t>式中：L</w:t>
            </w:r>
            <w:r>
              <w:rPr>
                <w:rFonts w:hint="eastAsia"/>
                <w:color w:val="000000" w:themeColor="text1"/>
                <w:u w:val="wave"/>
                <w:vertAlign w:val="subscript"/>
                <w14:textFill>
                  <w14:solidFill>
                    <w14:schemeClr w14:val="tx1"/>
                  </w14:solidFill>
                </w14:textFill>
              </w:rPr>
              <w:t>eqg</w:t>
            </w:r>
            <w:r>
              <w:rPr>
                <w:rFonts w:hint="eastAsia"/>
                <w:color w:val="000000" w:themeColor="text1"/>
                <w:u w:val="wave"/>
                <w14:textFill>
                  <w14:solidFill>
                    <w14:schemeClr w14:val="tx1"/>
                  </w14:solidFill>
                </w14:textFill>
              </w:rPr>
              <w:t>——建设项目声源在预测点的等效声级贡献值，dB（A）； L</w:t>
            </w:r>
            <w:r>
              <w:rPr>
                <w:rFonts w:hint="eastAsia"/>
                <w:color w:val="000000" w:themeColor="text1"/>
                <w:u w:val="wave"/>
                <w:vertAlign w:val="subscript"/>
                <w14:textFill>
                  <w14:solidFill>
                    <w14:schemeClr w14:val="tx1"/>
                  </w14:solidFill>
                </w14:textFill>
              </w:rPr>
              <w:t>eqb</w:t>
            </w:r>
            <w:r>
              <w:rPr>
                <w:rFonts w:hint="eastAsia"/>
                <w:color w:val="000000" w:themeColor="text1"/>
                <w:u w:val="wave"/>
                <w14:textFill>
                  <w14:solidFill>
                    <w14:schemeClr w14:val="tx1"/>
                  </w14:solidFill>
                </w14:textFill>
              </w:rPr>
              <w:t>——预测点的背值，dB（A）。</w:t>
            </w:r>
          </w:p>
          <w:p w14:paraId="0E765FD6">
            <w:pPr>
              <w:numPr>
                <w:ilvl w:val="0"/>
                <w:numId w:val="0"/>
              </w:numPr>
              <w:ind w:firstLine="480" w:firstLineChars="200"/>
              <w:rPr>
                <w:color w:val="000000" w:themeColor="text1"/>
                <w:u w:val="wave"/>
                <w14:textFill>
                  <w14:solidFill>
                    <w14:schemeClr w14:val="tx1"/>
                  </w14:solidFill>
                </w14:textFill>
              </w:rPr>
            </w:pPr>
            <w:r>
              <w:rPr>
                <w:color w:val="000000" w:themeColor="text1"/>
                <w:u w:val="wave"/>
                <w14:textFill>
                  <w14:solidFill>
                    <w14:schemeClr w14:val="tx1"/>
                  </w14:solidFill>
                </w14:textFill>
              </w:rPr>
              <w:t>升压站噪声源调查清单见表4</w:t>
            </w:r>
            <w:r>
              <w:rPr>
                <w:rFonts w:hint="eastAsia"/>
                <w:color w:val="000000" w:themeColor="text1"/>
                <w:u w:val="wave"/>
                <w14:textFill>
                  <w14:solidFill>
                    <w14:schemeClr w14:val="tx1"/>
                  </w14:solidFill>
                </w14:textFill>
              </w:rPr>
              <w:t>.9-3</w:t>
            </w:r>
            <w:r>
              <w:rPr>
                <w:color w:val="000000" w:themeColor="text1"/>
                <w:u w:val="wave"/>
                <w14:textFill>
                  <w14:solidFill>
                    <w14:schemeClr w14:val="tx1"/>
                  </w14:solidFill>
                </w14:textFill>
              </w:rPr>
              <w:t>，升压站运行期场界噪声预测结果见表4</w:t>
            </w:r>
            <w:r>
              <w:rPr>
                <w:rFonts w:hint="eastAsia"/>
                <w:color w:val="000000" w:themeColor="text1"/>
                <w:u w:val="wave"/>
                <w14:textFill>
                  <w14:solidFill>
                    <w14:schemeClr w14:val="tx1"/>
                  </w14:solidFill>
                </w14:textFill>
              </w:rPr>
              <w:t>.9-4</w:t>
            </w:r>
            <w:r>
              <w:rPr>
                <w:color w:val="000000" w:themeColor="text1"/>
                <w:u w:val="wave"/>
                <w14:textFill>
                  <w14:solidFill>
                    <w14:schemeClr w14:val="tx1"/>
                  </w14:solidFill>
                </w14:textFill>
              </w:rPr>
              <w:t>。</w:t>
            </w:r>
          </w:p>
          <w:p w14:paraId="0B3784DE">
            <w:pPr>
              <w:pStyle w:val="8"/>
              <w:rPr>
                <w:color w:val="000000" w:themeColor="text1"/>
                <w:u w:val="wave"/>
                <w14:textFill>
                  <w14:solidFill>
                    <w14:schemeClr w14:val="tx1"/>
                  </w14:solidFill>
                </w14:textFill>
              </w:rPr>
            </w:pPr>
            <w:r>
              <w:rPr>
                <w:rFonts w:hint="eastAsia"/>
                <w:color w:val="000000" w:themeColor="text1"/>
                <w:u w:val="wave"/>
                <w:lang w:val="en-US" w:eastAsia="zh-CN"/>
                <w14:textFill>
                  <w14:solidFill>
                    <w14:schemeClr w14:val="tx1"/>
                  </w14:solidFill>
                </w14:textFill>
              </w:rPr>
              <w:t xml:space="preserve">  </w:t>
            </w:r>
            <w:r>
              <w:rPr>
                <w:color w:val="000000" w:themeColor="text1"/>
                <w:u w:val="wave"/>
                <w14:textFill>
                  <w14:solidFill>
                    <w14:schemeClr w14:val="tx1"/>
                  </w14:solidFill>
                </w14:textFill>
              </w:rPr>
              <w:t>表4</w:t>
            </w:r>
            <w:r>
              <w:rPr>
                <w:rFonts w:hint="eastAsia"/>
                <w:color w:val="000000" w:themeColor="text1"/>
                <w:u w:val="wave"/>
                <w14:textFill>
                  <w14:solidFill>
                    <w14:schemeClr w14:val="tx1"/>
                  </w14:solidFill>
                </w14:textFill>
              </w:rPr>
              <w:t>.9-3</w:t>
            </w:r>
            <w:r>
              <w:rPr>
                <w:color w:val="000000" w:themeColor="text1"/>
                <w:u w:val="wave"/>
                <w14:textFill>
                  <w14:solidFill>
                    <w14:schemeClr w14:val="tx1"/>
                  </w14:solidFill>
                </w14:textFill>
              </w:rPr>
              <w:t xml:space="preserve">  升压站噪声源调查清单（室外声源）    单位：dB（A）</w:t>
            </w:r>
          </w:p>
          <w:tbl>
            <w:tblPr>
              <w:tblStyle w:val="27"/>
              <w:tblW w:w="77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608"/>
              <w:gridCol w:w="1745"/>
              <w:gridCol w:w="794"/>
              <w:gridCol w:w="731"/>
              <w:gridCol w:w="658"/>
              <w:gridCol w:w="1153"/>
              <w:gridCol w:w="872"/>
              <w:gridCol w:w="770"/>
            </w:tblGrid>
            <w:tr w14:paraId="41E5D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7" w:type="dxa"/>
                  <w:vMerge w:val="restart"/>
                  <w:vAlign w:val="center"/>
                </w:tcPr>
                <w:p w14:paraId="0F753AFC">
                  <w:pPr>
                    <w:keepNext/>
                    <w:adjustRightInd w:val="0"/>
                    <w:snapToGrid w:val="0"/>
                    <w:spacing w:line="240" w:lineRule="auto"/>
                    <w:jc w:val="center"/>
                    <w:textAlignment w:val="baseline"/>
                    <w:rPr>
                      <w:b/>
                      <w:bCs w:val="0"/>
                      <w:color w:val="000000" w:themeColor="text1"/>
                      <w:kern w:val="0"/>
                      <w:sz w:val="21"/>
                      <w:szCs w:val="21"/>
                      <w:u w:val="wave"/>
                      <w14:textFill>
                        <w14:solidFill>
                          <w14:schemeClr w14:val="tx1"/>
                        </w14:solidFill>
                      </w14:textFill>
                    </w:rPr>
                  </w:pPr>
                  <w:r>
                    <w:rPr>
                      <w:b/>
                      <w:bCs w:val="0"/>
                      <w:color w:val="000000" w:themeColor="text1"/>
                      <w:kern w:val="0"/>
                      <w:sz w:val="21"/>
                      <w:szCs w:val="21"/>
                      <w:u w:val="wave"/>
                      <w14:textFill>
                        <w14:solidFill>
                          <w14:schemeClr w14:val="tx1"/>
                        </w14:solidFill>
                      </w14:textFill>
                    </w:rPr>
                    <w:t>序号</w:t>
                  </w:r>
                </w:p>
              </w:tc>
              <w:tc>
                <w:tcPr>
                  <w:tcW w:w="608" w:type="dxa"/>
                  <w:vMerge w:val="restart"/>
                  <w:vAlign w:val="center"/>
                </w:tcPr>
                <w:p w14:paraId="4C70C466">
                  <w:pPr>
                    <w:keepNext/>
                    <w:adjustRightInd w:val="0"/>
                    <w:snapToGrid w:val="0"/>
                    <w:spacing w:line="240" w:lineRule="auto"/>
                    <w:jc w:val="center"/>
                    <w:textAlignment w:val="baseline"/>
                    <w:rPr>
                      <w:b/>
                      <w:bCs w:val="0"/>
                      <w:color w:val="000000" w:themeColor="text1"/>
                      <w:kern w:val="0"/>
                      <w:sz w:val="21"/>
                      <w:szCs w:val="21"/>
                      <w:u w:val="wave"/>
                      <w14:textFill>
                        <w14:solidFill>
                          <w14:schemeClr w14:val="tx1"/>
                        </w14:solidFill>
                      </w14:textFill>
                    </w:rPr>
                  </w:pPr>
                  <w:r>
                    <w:rPr>
                      <w:b/>
                      <w:bCs w:val="0"/>
                      <w:color w:val="000000" w:themeColor="text1"/>
                      <w:kern w:val="0"/>
                      <w:sz w:val="21"/>
                      <w:szCs w:val="21"/>
                      <w:u w:val="wave"/>
                      <w14:textFill>
                        <w14:solidFill>
                          <w14:schemeClr w14:val="tx1"/>
                        </w14:solidFill>
                      </w14:textFill>
                    </w:rPr>
                    <w:t>声源名称</w:t>
                  </w:r>
                </w:p>
              </w:tc>
              <w:tc>
                <w:tcPr>
                  <w:tcW w:w="1745" w:type="dxa"/>
                  <w:vMerge w:val="restart"/>
                  <w:vAlign w:val="center"/>
                </w:tcPr>
                <w:p w14:paraId="7DA59499">
                  <w:pPr>
                    <w:keepNext/>
                    <w:adjustRightInd w:val="0"/>
                    <w:snapToGrid w:val="0"/>
                    <w:spacing w:line="240" w:lineRule="auto"/>
                    <w:jc w:val="center"/>
                    <w:textAlignment w:val="baseline"/>
                    <w:rPr>
                      <w:b/>
                      <w:bCs w:val="0"/>
                      <w:color w:val="000000" w:themeColor="text1"/>
                      <w:kern w:val="0"/>
                      <w:sz w:val="21"/>
                      <w:szCs w:val="21"/>
                      <w:u w:val="wave"/>
                      <w14:textFill>
                        <w14:solidFill>
                          <w14:schemeClr w14:val="tx1"/>
                        </w14:solidFill>
                      </w14:textFill>
                    </w:rPr>
                  </w:pPr>
                  <w:r>
                    <w:rPr>
                      <w:b/>
                      <w:bCs w:val="0"/>
                      <w:color w:val="000000" w:themeColor="text1"/>
                      <w:kern w:val="0"/>
                      <w:sz w:val="21"/>
                      <w:szCs w:val="21"/>
                      <w:u w:val="wave"/>
                      <w14:textFill>
                        <w14:solidFill>
                          <w14:schemeClr w14:val="tx1"/>
                        </w14:solidFill>
                      </w14:textFill>
                    </w:rPr>
                    <w:t>型号</w:t>
                  </w:r>
                </w:p>
              </w:tc>
              <w:tc>
                <w:tcPr>
                  <w:tcW w:w="2183" w:type="dxa"/>
                  <w:gridSpan w:val="3"/>
                  <w:vAlign w:val="center"/>
                </w:tcPr>
                <w:p w14:paraId="1BF4504E">
                  <w:pPr>
                    <w:keepNext/>
                    <w:adjustRightInd w:val="0"/>
                    <w:snapToGrid w:val="0"/>
                    <w:spacing w:line="240" w:lineRule="auto"/>
                    <w:jc w:val="center"/>
                    <w:textAlignment w:val="baseline"/>
                    <w:rPr>
                      <w:b/>
                      <w:bCs w:val="0"/>
                      <w:color w:val="000000" w:themeColor="text1"/>
                      <w:kern w:val="0"/>
                      <w:sz w:val="21"/>
                      <w:szCs w:val="21"/>
                      <w:u w:val="wave"/>
                      <w14:textFill>
                        <w14:solidFill>
                          <w14:schemeClr w14:val="tx1"/>
                        </w14:solidFill>
                      </w14:textFill>
                    </w:rPr>
                  </w:pPr>
                  <w:r>
                    <w:rPr>
                      <w:b/>
                      <w:bCs w:val="0"/>
                      <w:color w:val="000000" w:themeColor="text1"/>
                      <w:kern w:val="0"/>
                      <w:sz w:val="21"/>
                      <w:szCs w:val="21"/>
                      <w:u w:val="wave"/>
                      <w14:textFill>
                        <w14:solidFill>
                          <w14:schemeClr w14:val="tx1"/>
                        </w14:solidFill>
                      </w14:textFill>
                    </w:rPr>
                    <w:t>空间相对位置（m）</w:t>
                  </w:r>
                </w:p>
              </w:tc>
              <w:tc>
                <w:tcPr>
                  <w:tcW w:w="1153" w:type="dxa"/>
                  <w:vMerge w:val="restart"/>
                  <w:vAlign w:val="center"/>
                </w:tcPr>
                <w:p w14:paraId="1DE1436C">
                  <w:pPr>
                    <w:keepNext/>
                    <w:adjustRightInd w:val="0"/>
                    <w:snapToGrid w:val="0"/>
                    <w:spacing w:line="240" w:lineRule="auto"/>
                    <w:jc w:val="center"/>
                    <w:textAlignment w:val="baseline"/>
                    <w:rPr>
                      <w:b/>
                      <w:bCs w:val="0"/>
                      <w:color w:val="000000" w:themeColor="text1"/>
                      <w:kern w:val="0"/>
                      <w:sz w:val="21"/>
                      <w:szCs w:val="21"/>
                      <w:u w:val="wave"/>
                      <w14:textFill>
                        <w14:solidFill>
                          <w14:schemeClr w14:val="tx1"/>
                        </w14:solidFill>
                      </w14:textFill>
                    </w:rPr>
                  </w:pPr>
                  <w:r>
                    <w:rPr>
                      <w:b/>
                      <w:bCs w:val="0"/>
                      <w:color w:val="000000" w:themeColor="text1"/>
                      <w:kern w:val="0"/>
                      <w:sz w:val="21"/>
                      <w:szCs w:val="21"/>
                      <w:u w:val="wave"/>
                      <w14:textFill>
                        <w14:solidFill>
                          <w14:schemeClr w14:val="tx1"/>
                        </w14:solidFill>
                      </w14:textFill>
                    </w:rPr>
                    <w:t>声源源强</w:t>
                  </w:r>
                </w:p>
                <w:p w14:paraId="2F0345A3">
                  <w:pPr>
                    <w:keepNext/>
                    <w:adjustRightInd w:val="0"/>
                    <w:snapToGrid w:val="0"/>
                    <w:spacing w:line="240" w:lineRule="auto"/>
                    <w:jc w:val="center"/>
                    <w:textAlignment w:val="baseline"/>
                    <w:rPr>
                      <w:b/>
                      <w:bCs w:val="0"/>
                      <w:color w:val="000000" w:themeColor="text1"/>
                      <w:kern w:val="0"/>
                      <w:sz w:val="21"/>
                      <w:szCs w:val="21"/>
                      <w:u w:val="wave"/>
                      <w14:textFill>
                        <w14:solidFill>
                          <w14:schemeClr w14:val="tx1"/>
                        </w14:solidFill>
                      </w14:textFill>
                    </w:rPr>
                  </w:pPr>
                  <w:r>
                    <w:rPr>
                      <w:b/>
                      <w:bCs w:val="0"/>
                      <w:color w:val="000000" w:themeColor="text1"/>
                      <w:kern w:val="0"/>
                      <w:sz w:val="21"/>
                      <w:szCs w:val="21"/>
                      <w:u w:val="wave"/>
                      <w14:textFill>
                        <w14:solidFill>
                          <w14:schemeClr w14:val="tx1"/>
                        </w14:solidFill>
                      </w14:textFill>
                    </w:rPr>
                    <w:t>dB（A）</w:t>
                  </w:r>
                </w:p>
              </w:tc>
              <w:tc>
                <w:tcPr>
                  <w:tcW w:w="872" w:type="dxa"/>
                  <w:vMerge w:val="restart"/>
                  <w:vAlign w:val="center"/>
                </w:tcPr>
                <w:p w14:paraId="47BC479F">
                  <w:pPr>
                    <w:keepNext/>
                    <w:adjustRightInd w:val="0"/>
                    <w:snapToGrid w:val="0"/>
                    <w:spacing w:line="240" w:lineRule="auto"/>
                    <w:jc w:val="center"/>
                    <w:textAlignment w:val="baseline"/>
                    <w:rPr>
                      <w:b/>
                      <w:bCs w:val="0"/>
                      <w:color w:val="000000" w:themeColor="text1"/>
                      <w:kern w:val="0"/>
                      <w:sz w:val="21"/>
                      <w:szCs w:val="21"/>
                      <w:u w:val="wave"/>
                      <w14:textFill>
                        <w14:solidFill>
                          <w14:schemeClr w14:val="tx1"/>
                        </w14:solidFill>
                      </w14:textFill>
                    </w:rPr>
                  </w:pPr>
                  <w:r>
                    <w:rPr>
                      <w:b/>
                      <w:bCs w:val="0"/>
                      <w:color w:val="000000" w:themeColor="text1"/>
                      <w:kern w:val="0"/>
                      <w:sz w:val="21"/>
                      <w:szCs w:val="21"/>
                      <w:u w:val="wave"/>
                      <w14:textFill>
                        <w14:solidFill>
                          <w14:schemeClr w14:val="tx1"/>
                        </w14:solidFill>
                      </w14:textFill>
                    </w:rPr>
                    <w:t>声源控制措施</w:t>
                  </w:r>
                </w:p>
              </w:tc>
              <w:tc>
                <w:tcPr>
                  <w:tcW w:w="770" w:type="dxa"/>
                  <w:vMerge w:val="restart"/>
                  <w:vAlign w:val="center"/>
                </w:tcPr>
                <w:p w14:paraId="2F734E73">
                  <w:pPr>
                    <w:keepNext/>
                    <w:adjustRightInd w:val="0"/>
                    <w:snapToGrid w:val="0"/>
                    <w:spacing w:line="240" w:lineRule="auto"/>
                    <w:jc w:val="center"/>
                    <w:textAlignment w:val="baseline"/>
                    <w:rPr>
                      <w:b/>
                      <w:bCs w:val="0"/>
                      <w:color w:val="000000" w:themeColor="text1"/>
                      <w:kern w:val="0"/>
                      <w:sz w:val="21"/>
                      <w:szCs w:val="21"/>
                      <w:u w:val="wave"/>
                      <w14:textFill>
                        <w14:solidFill>
                          <w14:schemeClr w14:val="tx1"/>
                        </w14:solidFill>
                      </w14:textFill>
                    </w:rPr>
                  </w:pPr>
                  <w:r>
                    <w:rPr>
                      <w:b/>
                      <w:bCs w:val="0"/>
                      <w:color w:val="000000" w:themeColor="text1"/>
                      <w:kern w:val="0"/>
                      <w:sz w:val="21"/>
                      <w:szCs w:val="21"/>
                      <w:u w:val="wave"/>
                      <w14:textFill>
                        <w14:solidFill>
                          <w14:schemeClr w14:val="tx1"/>
                        </w14:solidFill>
                      </w14:textFill>
                    </w:rPr>
                    <w:t>运行时段</w:t>
                  </w:r>
                </w:p>
              </w:tc>
            </w:tr>
            <w:tr w14:paraId="67988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7" w:type="dxa"/>
                  <w:vMerge w:val="continue"/>
                  <w:vAlign w:val="center"/>
                </w:tcPr>
                <w:p w14:paraId="57C17851">
                  <w:pPr>
                    <w:keepNext/>
                    <w:adjustRightInd w:val="0"/>
                    <w:snapToGrid w:val="0"/>
                    <w:spacing w:line="240" w:lineRule="auto"/>
                    <w:jc w:val="center"/>
                    <w:textAlignment w:val="baseline"/>
                    <w:rPr>
                      <w:bCs/>
                      <w:color w:val="000000" w:themeColor="text1"/>
                      <w:sz w:val="21"/>
                      <w:szCs w:val="21"/>
                      <w:u w:val="wave"/>
                      <w14:textFill>
                        <w14:solidFill>
                          <w14:schemeClr w14:val="tx1"/>
                        </w14:solidFill>
                      </w14:textFill>
                    </w:rPr>
                  </w:pPr>
                </w:p>
              </w:tc>
              <w:tc>
                <w:tcPr>
                  <w:tcW w:w="608" w:type="dxa"/>
                  <w:vMerge w:val="continue"/>
                  <w:vAlign w:val="center"/>
                </w:tcPr>
                <w:p w14:paraId="16211BCC">
                  <w:pPr>
                    <w:keepNext/>
                    <w:adjustRightInd w:val="0"/>
                    <w:snapToGrid w:val="0"/>
                    <w:spacing w:line="240" w:lineRule="auto"/>
                    <w:jc w:val="center"/>
                    <w:textAlignment w:val="baseline"/>
                    <w:rPr>
                      <w:bCs/>
                      <w:color w:val="000000" w:themeColor="text1"/>
                      <w:sz w:val="21"/>
                      <w:szCs w:val="21"/>
                      <w:u w:val="wave"/>
                      <w14:textFill>
                        <w14:solidFill>
                          <w14:schemeClr w14:val="tx1"/>
                        </w14:solidFill>
                      </w14:textFill>
                    </w:rPr>
                  </w:pPr>
                </w:p>
              </w:tc>
              <w:tc>
                <w:tcPr>
                  <w:tcW w:w="1745" w:type="dxa"/>
                  <w:vMerge w:val="continue"/>
                  <w:vAlign w:val="center"/>
                </w:tcPr>
                <w:p w14:paraId="4C9EAE16">
                  <w:pPr>
                    <w:keepNext/>
                    <w:adjustRightInd w:val="0"/>
                    <w:snapToGrid w:val="0"/>
                    <w:spacing w:line="240" w:lineRule="auto"/>
                    <w:jc w:val="center"/>
                    <w:textAlignment w:val="baseline"/>
                    <w:rPr>
                      <w:bCs/>
                      <w:color w:val="000000" w:themeColor="text1"/>
                      <w:sz w:val="21"/>
                      <w:szCs w:val="21"/>
                      <w:u w:val="wave"/>
                      <w14:textFill>
                        <w14:solidFill>
                          <w14:schemeClr w14:val="tx1"/>
                        </w14:solidFill>
                      </w14:textFill>
                    </w:rPr>
                  </w:pPr>
                </w:p>
              </w:tc>
              <w:tc>
                <w:tcPr>
                  <w:tcW w:w="794" w:type="dxa"/>
                  <w:vAlign w:val="center"/>
                </w:tcPr>
                <w:p w14:paraId="5D277593">
                  <w:pPr>
                    <w:keepNext/>
                    <w:adjustRightInd w:val="0"/>
                    <w:snapToGrid w:val="0"/>
                    <w:spacing w:line="240" w:lineRule="auto"/>
                    <w:jc w:val="center"/>
                    <w:textAlignment w:val="baseline"/>
                    <w:rPr>
                      <w:b/>
                      <w:bCs w:val="0"/>
                      <w:color w:val="000000" w:themeColor="text1"/>
                      <w:sz w:val="21"/>
                      <w:szCs w:val="21"/>
                      <w:u w:val="wave"/>
                      <w14:textFill>
                        <w14:solidFill>
                          <w14:schemeClr w14:val="tx1"/>
                        </w14:solidFill>
                      </w14:textFill>
                    </w:rPr>
                  </w:pPr>
                  <w:r>
                    <w:rPr>
                      <w:b/>
                      <w:bCs w:val="0"/>
                      <w:color w:val="000000" w:themeColor="text1"/>
                      <w:sz w:val="21"/>
                      <w:szCs w:val="21"/>
                      <w:u w:val="wave"/>
                      <w14:textFill>
                        <w14:solidFill>
                          <w14:schemeClr w14:val="tx1"/>
                        </w14:solidFill>
                      </w14:textFill>
                    </w:rPr>
                    <w:t>X</w:t>
                  </w:r>
                </w:p>
              </w:tc>
              <w:tc>
                <w:tcPr>
                  <w:tcW w:w="731" w:type="dxa"/>
                  <w:vAlign w:val="center"/>
                </w:tcPr>
                <w:p w14:paraId="19DD6AB8">
                  <w:pPr>
                    <w:keepNext/>
                    <w:adjustRightInd w:val="0"/>
                    <w:snapToGrid w:val="0"/>
                    <w:spacing w:line="240" w:lineRule="auto"/>
                    <w:jc w:val="center"/>
                    <w:textAlignment w:val="baseline"/>
                    <w:rPr>
                      <w:b/>
                      <w:bCs w:val="0"/>
                      <w:color w:val="000000" w:themeColor="text1"/>
                      <w:sz w:val="21"/>
                      <w:szCs w:val="21"/>
                      <w:u w:val="wave"/>
                      <w14:textFill>
                        <w14:solidFill>
                          <w14:schemeClr w14:val="tx1"/>
                        </w14:solidFill>
                      </w14:textFill>
                    </w:rPr>
                  </w:pPr>
                  <w:r>
                    <w:rPr>
                      <w:b/>
                      <w:bCs w:val="0"/>
                      <w:color w:val="000000" w:themeColor="text1"/>
                      <w:sz w:val="21"/>
                      <w:szCs w:val="21"/>
                      <w:u w:val="wave"/>
                      <w14:textFill>
                        <w14:solidFill>
                          <w14:schemeClr w14:val="tx1"/>
                        </w14:solidFill>
                      </w14:textFill>
                    </w:rPr>
                    <w:t>Y</w:t>
                  </w:r>
                </w:p>
              </w:tc>
              <w:tc>
                <w:tcPr>
                  <w:tcW w:w="658" w:type="dxa"/>
                  <w:vAlign w:val="center"/>
                </w:tcPr>
                <w:p w14:paraId="7D7FDE09">
                  <w:pPr>
                    <w:keepNext/>
                    <w:adjustRightInd w:val="0"/>
                    <w:snapToGrid w:val="0"/>
                    <w:spacing w:line="240" w:lineRule="auto"/>
                    <w:jc w:val="center"/>
                    <w:textAlignment w:val="baseline"/>
                    <w:rPr>
                      <w:b/>
                      <w:bCs w:val="0"/>
                      <w:color w:val="000000" w:themeColor="text1"/>
                      <w:sz w:val="21"/>
                      <w:szCs w:val="21"/>
                      <w:u w:val="wave"/>
                      <w14:textFill>
                        <w14:solidFill>
                          <w14:schemeClr w14:val="tx1"/>
                        </w14:solidFill>
                      </w14:textFill>
                    </w:rPr>
                  </w:pPr>
                  <w:r>
                    <w:rPr>
                      <w:b/>
                      <w:bCs w:val="0"/>
                      <w:color w:val="000000" w:themeColor="text1"/>
                      <w:sz w:val="21"/>
                      <w:szCs w:val="21"/>
                      <w:u w:val="wave"/>
                      <w14:textFill>
                        <w14:solidFill>
                          <w14:schemeClr w14:val="tx1"/>
                        </w14:solidFill>
                      </w14:textFill>
                    </w:rPr>
                    <w:t>Z</w:t>
                  </w:r>
                </w:p>
              </w:tc>
              <w:tc>
                <w:tcPr>
                  <w:tcW w:w="1153" w:type="dxa"/>
                  <w:vMerge w:val="continue"/>
                  <w:vAlign w:val="center"/>
                </w:tcPr>
                <w:p w14:paraId="5375971D">
                  <w:pPr>
                    <w:keepNext/>
                    <w:adjustRightInd w:val="0"/>
                    <w:snapToGrid w:val="0"/>
                    <w:spacing w:line="240" w:lineRule="auto"/>
                    <w:jc w:val="center"/>
                    <w:textAlignment w:val="baseline"/>
                    <w:rPr>
                      <w:bCs/>
                      <w:color w:val="000000" w:themeColor="text1"/>
                      <w:sz w:val="21"/>
                      <w:szCs w:val="21"/>
                      <w:u w:val="wave"/>
                      <w14:textFill>
                        <w14:solidFill>
                          <w14:schemeClr w14:val="tx1"/>
                        </w14:solidFill>
                      </w14:textFill>
                    </w:rPr>
                  </w:pPr>
                </w:p>
              </w:tc>
              <w:tc>
                <w:tcPr>
                  <w:tcW w:w="872" w:type="dxa"/>
                  <w:vMerge w:val="continue"/>
                  <w:vAlign w:val="center"/>
                </w:tcPr>
                <w:p w14:paraId="54349A89">
                  <w:pPr>
                    <w:keepNext/>
                    <w:adjustRightInd w:val="0"/>
                    <w:snapToGrid w:val="0"/>
                    <w:spacing w:line="240" w:lineRule="auto"/>
                    <w:jc w:val="center"/>
                    <w:textAlignment w:val="baseline"/>
                    <w:rPr>
                      <w:bCs/>
                      <w:color w:val="000000" w:themeColor="text1"/>
                      <w:sz w:val="21"/>
                      <w:szCs w:val="21"/>
                      <w:u w:val="wave"/>
                      <w14:textFill>
                        <w14:solidFill>
                          <w14:schemeClr w14:val="tx1"/>
                        </w14:solidFill>
                      </w14:textFill>
                    </w:rPr>
                  </w:pPr>
                </w:p>
              </w:tc>
              <w:tc>
                <w:tcPr>
                  <w:tcW w:w="770" w:type="dxa"/>
                  <w:vMerge w:val="continue"/>
                  <w:vAlign w:val="center"/>
                </w:tcPr>
                <w:p w14:paraId="6A2B3A8C">
                  <w:pPr>
                    <w:keepNext/>
                    <w:adjustRightInd w:val="0"/>
                    <w:snapToGrid w:val="0"/>
                    <w:spacing w:line="240" w:lineRule="auto"/>
                    <w:jc w:val="center"/>
                    <w:textAlignment w:val="baseline"/>
                    <w:rPr>
                      <w:bCs/>
                      <w:color w:val="000000" w:themeColor="text1"/>
                      <w:sz w:val="21"/>
                      <w:szCs w:val="21"/>
                      <w:u w:val="wave"/>
                      <w14:textFill>
                        <w14:solidFill>
                          <w14:schemeClr w14:val="tx1"/>
                        </w14:solidFill>
                      </w14:textFill>
                    </w:rPr>
                  </w:pPr>
                </w:p>
              </w:tc>
            </w:tr>
            <w:tr w14:paraId="701D2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7" w:type="dxa"/>
                  <w:vAlign w:val="center"/>
                </w:tcPr>
                <w:p w14:paraId="3D5D804D">
                  <w:pPr>
                    <w:keepNext/>
                    <w:adjustRightInd w:val="0"/>
                    <w:snapToGrid w:val="0"/>
                    <w:spacing w:line="240" w:lineRule="auto"/>
                    <w:jc w:val="center"/>
                    <w:textAlignment w:val="baseline"/>
                    <w:rPr>
                      <w:bCs/>
                      <w:color w:val="000000" w:themeColor="text1"/>
                      <w:kern w:val="0"/>
                      <w:sz w:val="21"/>
                      <w:szCs w:val="21"/>
                      <w:u w:val="wave"/>
                      <w14:textFill>
                        <w14:solidFill>
                          <w14:schemeClr w14:val="tx1"/>
                        </w14:solidFill>
                      </w14:textFill>
                    </w:rPr>
                  </w:pPr>
                  <w:r>
                    <w:rPr>
                      <w:bCs/>
                      <w:color w:val="000000" w:themeColor="text1"/>
                      <w:kern w:val="0"/>
                      <w:sz w:val="21"/>
                      <w:szCs w:val="21"/>
                      <w:u w:val="wave"/>
                      <w14:textFill>
                        <w14:solidFill>
                          <w14:schemeClr w14:val="tx1"/>
                        </w14:solidFill>
                      </w14:textFill>
                    </w:rPr>
                    <w:t>1</w:t>
                  </w:r>
                </w:p>
              </w:tc>
              <w:tc>
                <w:tcPr>
                  <w:tcW w:w="608" w:type="dxa"/>
                  <w:vAlign w:val="center"/>
                </w:tcPr>
                <w:p w14:paraId="2239C4E7">
                  <w:pPr>
                    <w:keepNext/>
                    <w:adjustRightInd w:val="0"/>
                    <w:snapToGrid w:val="0"/>
                    <w:spacing w:line="240" w:lineRule="auto"/>
                    <w:jc w:val="center"/>
                    <w:textAlignment w:val="baseline"/>
                    <w:rPr>
                      <w:bCs/>
                      <w:color w:val="000000" w:themeColor="text1"/>
                      <w:kern w:val="0"/>
                      <w:sz w:val="21"/>
                      <w:szCs w:val="21"/>
                      <w:u w:val="wave"/>
                      <w14:textFill>
                        <w14:solidFill>
                          <w14:schemeClr w14:val="tx1"/>
                        </w14:solidFill>
                      </w14:textFill>
                    </w:rPr>
                  </w:pPr>
                  <w:r>
                    <w:rPr>
                      <w:bCs/>
                      <w:color w:val="000000" w:themeColor="text1"/>
                      <w:kern w:val="0"/>
                      <w:sz w:val="21"/>
                      <w:szCs w:val="21"/>
                      <w:u w:val="wave"/>
                      <w14:textFill>
                        <w14:solidFill>
                          <w14:schemeClr w14:val="tx1"/>
                        </w14:solidFill>
                      </w14:textFill>
                    </w:rPr>
                    <w:t>主变</w:t>
                  </w:r>
                </w:p>
              </w:tc>
              <w:tc>
                <w:tcPr>
                  <w:tcW w:w="1745" w:type="dxa"/>
                  <w:vAlign w:val="center"/>
                </w:tcPr>
                <w:p w14:paraId="16E65364">
                  <w:pPr>
                    <w:keepNext/>
                    <w:adjustRightInd w:val="0"/>
                    <w:snapToGrid w:val="0"/>
                    <w:spacing w:line="240" w:lineRule="auto"/>
                    <w:jc w:val="center"/>
                    <w:textAlignment w:val="baseline"/>
                    <w:rPr>
                      <w:bCs/>
                      <w:color w:val="000000" w:themeColor="text1"/>
                      <w:kern w:val="0"/>
                      <w:sz w:val="21"/>
                      <w:szCs w:val="21"/>
                      <w:u w:val="wave"/>
                      <w14:textFill>
                        <w14:solidFill>
                          <w14:schemeClr w14:val="tx1"/>
                        </w14:solidFill>
                      </w14:textFill>
                    </w:rPr>
                  </w:pPr>
                  <w:r>
                    <w:rPr>
                      <w:rFonts w:hint="eastAsia"/>
                      <w:bCs/>
                      <w:color w:val="000000" w:themeColor="text1"/>
                      <w:kern w:val="0"/>
                      <w:sz w:val="21"/>
                      <w:szCs w:val="21"/>
                      <w:u w:val="wave"/>
                      <w14:textFill>
                        <w14:solidFill>
                          <w14:schemeClr w14:val="tx1"/>
                        </w14:solidFill>
                      </w14:textFill>
                    </w:rPr>
                    <w:t>SZ□-</w:t>
                  </w:r>
                  <w:r>
                    <w:rPr>
                      <w:rFonts w:hint="eastAsia"/>
                      <w:bCs/>
                      <w:color w:val="000000" w:themeColor="text1"/>
                      <w:kern w:val="0"/>
                      <w:sz w:val="21"/>
                      <w:szCs w:val="21"/>
                      <w:u w:val="wave"/>
                      <w:lang w:val="en-US" w:eastAsia="zh-CN"/>
                      <w14:textFill>
                        <w14:solidFill>
                          <w14:schemeClr w14:val="tx1"/>
                        </w14:solidFill>
                      </w14:textFill>
                    </w:rPr>
                    <w:t>150</w:t>
                  </w:r>
                  <w:r>
                    <w:rPr>
                      <w:rFonts w:hint="eastAsia"/>
                      <w:bCs/>
                      <w:color w:val="000000" w:themeColor="text1"/>
                      <w:kern w:val="0"/>
                      <w:sz w:val="21"/>
                      <w:szCs w:val="21"/>
                      <w:u w:val="wave"/>
                      <w14:textFill>
                        <w14:solidFill>
                          <w14:schemeClr w14:val="tx1"/>
                        </w14:solidFill>
                      </w14:textFill>
                    </w:rPr>
                    <w:t>000/</w:t>
                  </w:r>
                  <w:r>
                    <w:rPr>
                      <w:rFonts w:hint="eastAsia"/>
                      <w:bCs/>
                      <w:color w:val="000000" w:themeColor="text1"/>
                      <w:kern w:val="0"/>
                      <w:sz w:val="21"/>
                      <w:szCs w:val="21"/>
                      <w:u w:val="wave"/>
                      <w:lang w:val="en-US" w:eastAsia="zh-CN"/>
                      <w14:textFill>
                        <w14:solidFill>
                          <w14:schemeClr w14:val="tx1"/>
                        </w14:solidFill>
                      </w14:textFill>
                    </w:rPr>
                    <w:t>22</w:t>
                  </w:r>
                  <w:r>
                    <w:rPr>
                      <w:rFonts w:hint="eastAsia"/>
                      <w:bCs/>
                      <w:color w:val="000000" w:themeColor="text1"/>
                      <w:kern w:val="0"/>
                      <w:sz w:val="21"/>
                      <w:szCs w:val="21"/>
                      <w:u w:val="wave"/>
                      <w14:textFill>
                        <w14:solidFill>
                          <w14:schemeClr w14:val="tx1"/>
                        </w14:solidFill>
                      </w14:textFill>
                    </w:rPr>
                    <w:t>0</w:t>
                  </w:r>
                </w:p>
              </w:tc>
              <w:tc>
                <w:tcPr>
                  <w:tcW w:w="794" w:type="dxa"/>
                  <w:vAlign w:val="center"/>
                </w:tcPr>
                <w:p w14:paraId="69E16304">
                  <w:pPr>
                    <w:keepNext/>
                    <w:adjustRightInd w:val="0"/>
                    <w:snapToGrid w:val="0"/>
                    <w:spacing w:line="240" w:lineRule="auto"/>
                    <w:jc w:val="center"/>
                    <w:textAlignment w:val="baseline"/>
                    <w:rPr>
                      <w:rFonts w:hint="default" w:eastAsia="宋体"/>
                      <w:bCs/>
                      <w:color w:val="000000" w:themeColor="text1"/>
                      <w:kern w:val="0"/>
                      <w:sz w:val="21"/>
                      <w:szCs w:val="21"/>
                      <w:u w:val="wave"/>
                      <w:lang w:val="en-US" w:eastAsia="zh-CN"/>
                      <w14:textFill>
                        <w14:solidFill>
                          <w14:schemeClr w14:val="tx1"/>
                        </w14:solidFill>
                      </w14:textFill>
                    </w:rPr>
                  </w:pPr>
                  <w:r>
                    <w:rPr>
                      <w:rFonts w:hint="eastAsia"/>
                      <w:bCs/>
                      <w:color w:val="000000" w:themeColor="text1"/>
                      <w:kern w:val="0"/>
                      <w:sz w:val="21"/>
                      <w:szCs w:val="21"/>
                      <w:u w:val="wave"/>
                      <w:lang w:val="en-US" w:eastAsia="zh-CN"/>
                      <w14:textFill>
                        <w14:solidFill>
                          <w14:schemeClr w14:val="tx1"/>
                        </w14:solidFill>
                      </w14:textFill>
                    </w:rPr>
                    <w:t>28</w:t>
                  </w:r>
                </w:p>
              </w:tc>
              <w:tc>
                <w:tcPr>
                  <w:tcW w:w="731" w:type="dxa"/>
                  <w:vAlign w:val="center"/>
                </w:tcPr>
                <w:p w14:paraId="1D7A7D8C">
                  <w:pPr>
                    <w:keepNext/>
                    <w:adjustRightInd w:val="0"/>
                    <w:snapToGrid w:val="0"/>
                    <w:spacing w:line="240" w:lineRule="auto"/>
                    <w:jc w:val="center"/>
                    <w:textAlignment w:val="baseline"/>
                    <w:rPr>
                      <w:rFonts w:hint="default" w:eastAsia="宋体"/>
                      <w:bCs/>
                      <w:color w:val="000000" w:themeColor="text1"/>
                      <w:kern w:val="0"/>
                      <w:sz w:val="21"/>
                      <w:szCs w:val="21"/>
                      <w:u w:val="wave"/>
                      <w:lang w:val="en-US" w:eastAsia="zh-CN"/>
                      <w14:textFill>
                        <w14:solidFill>
                          <w14:schemeClr w14:val="tx1"/>
                        </w14:solidFill>
                      </w14:textFill>
                    </w:rPr>
                  </w:pPr>
                  <w:r>
                    <w:rPr>
                      <w:rFonts w:hint="eastAsia"/>
                      <w:bCs/>
                      <w:color w:val="000000" w:themeColor="text1"/>
                      <w:kern w:val="0"/>
                      <w:sz w:val="21"/>
                      <w:szCs w:val="21"/>
                      <w:u w:val="wave"/>
                      <w:lang w:val="en-US" w:eastAsia="zh-CN"/>
                      <w14:textFill>
                        <w14:solidFill>
                          <w14:schemeClr w14:val="tx1"/>
                        </w14:solidFill>
                      </w14:textFill>
                    </w:rPr>
                    <w:t>12</w:t>
                  </w:r>
                </w:p>
              </w:tc>
              <w:tc>
                <w:tcPr>
                  <w:tcW w:w="658" w:type="dxa"/>
                  <w:vAlign w:val="center"/>
                </w:tcPr>
                <w:p w14:paraId="3937BE7B">
                  <w:pPr>
                    <w:keepNext/>
                    <w:adjustRightInd w:val="0"/>
                    <w:snapToGrid w:val="0"/>
                    <w:spacing w:line="240" w:lineRule="auto"/>
                    <w:jc w:val="center"/>
                    <w:textAlignment w:val="baseline"/>
                    <w:rPr>
                      <w:bCs/>
                      <w:color w:val="000000" w:themeColor="text1"/>
                      <w:kern w:val="0"/>
                      <w:sz w:val="21"/>
                      <w:szCs w:val="21"/>
                      <w:u w:val="wave"/>
                      <w14:textFill>
                        <w14:solidFill>
                          <w14:schemeClr w14:val="tx1"/>
                        </w14:solidFill>
                      </w14:textFill>
                    </w:rPr>
                  </w:pPr>
                  <w:r>
                    <w:rPr>
                      <w:bCs/>
                      <w:color w:val="000000" w:themeColor="text1"/>
                      <w:kern w:val="0"/>
                      <w:sz w:val="21"/>
                      <w:szCs w:val="21"/>
                      <w:u w:val="wave"/>
                      <w14:textFill>
                        <w14:solidFill>
                          <w14:schemeClr w14:val="tx1"/>
                        </w14:solidFill>
                      </w14:textFill>
                    </w:rPr>
                    <w:t>2</w:t>
                  </w:r>
                </w:p>
              </w:tc>
              <w:tc>
                <w:tcPr>
                  <w:tcW w:w="1153" w:type="dxa"/>
                  <w:vAlign w:val="center"/>
                </w:tcPr>
                <w:p w14:paraId="664568EB">
                  <w:pPr>
                    <w:keepNext/>
                    <w:adjustRightInd w:val="0"/>
                    <w:snapToGrid w:val="0"/>
                    <w:spacing w:line="240" w:lineRule="auto"/>
                    <w:jc w:val="center"/>
                    <w:textAlignment w:val="baseline"/>
                    <w:rPr>
                      <w:bCs/>
                      <w:color w:val="000000" w:themeColor="text1"/>
                      <w:kern w:val="0"/>
                      <w:sz w:val="21"/>
                      <w:szCs w:val="21"/>
                      <w:u w:val="wave"/>
                      <w14:textFill>
                        <w14:solidFill>
                          <w14:schemeClr w14:val="tx1"/>
                        </w14:solidFill>
                      </w14:textFill>
                    </w:rPr>
                  </w:pPr>
                  <w:r>
                    <w:rPr>
                      <w:bCs/>
                      <w:color w:val="000000" w:themeColor="text1"/>
                      <w:kern w:val="0"/>
                      <w:sz w:val="21"/>
                      <w:szCs w:val="21"/>
                      <w:u w:val="wave"/>
                      <w14:textFill>
                        <w14:solidFill>
                          <w14:schemeClr w14:val="tx1"/>
                        </w14:solidFill>
                      </w14:textFill>
                    </w:rPr>
                    <w:t>65</w:t>
                  </w:r>
                </w:p>
              </w:tc>
              <w:tc>
                <w:tcPr>
                  <w:tcW w:w="872" w:type="dxa"/>
                  <w:vAlign w:val="center"/>
                </w:tcPr>
                <w:p w14:paraId="3805FB0C">
                  <w:pPr>
                    <w:keepNext/>
                    <w:adjustRightInd w:val="0"/>
                    <w:snapToGrid w:val="0"/>
                    <w:spacing w:line="240" w:lineRule="auto"/>
                    <w:jc w:val="center"/>
                    <w:textAlignment w:val="baseline"/>
                    <w:rPr>
                      <w:bCs/>
                      <w:color w:val="000000" w:themeColor="text1"/>
                      <w:kern w:val="0"/>
                      <w:sz w:val="21"/>
                      <w:szCs w:val="21"/>
                      <w:u w:val="wave"/>
                      <w14:textFill>
                        <w14:solidFill>
                          <w14:schemeClr w14:val="tx1"/>
                        </w14:solidFill>
                      </w14:textFill>
                    </w:rPr>
                  </w:pPr>
                  <w:r>
                    <w:rPr>
                      <w:bCs/>
                      <w:color w:val="000000" w:themeColor="text1"/>
                      <w:kern w:val="0"/>
                      <w:sz w:val="21"/>
                      <w:szCs w:val="21"/>
                      <w:u w:val="wave"/>
                      <w14:textFill>
                        <w14:solidFill>
                          <w14:schemeClr w14:val="tx1"/>
                        </w14:solidFill>
                      </w14:textFill>
                    </w:rPr>
                    <w:t>基础</w:t>
                  </w:r>
                </w:p>
                <w:p w14:paraId="54CB5D33">
                  <w:pPr>
                    <w:keepNext/>
                    <w:adjustRightInd w:val="0"/>
                    <w:snapToGrid w:val="0"/>
                    <w:spacing w:line="240" w:lineRule="auto"/>
                    <w:jc w:val="center"/>
                    <w:textAlignment w:val="baseline"/>
                    <w:rPr>
                      <w:bCs/>
                      <w:color w:val="000000" w:themeColor="text1"/>
                      <w:kern w:val="0"/>
                      <w:sz w:val="21"/>
                      <w:szCs w:val="21"/>
                      <w:u w:val="wave"/>
                      <w14:textFill>
                        <w14:solidFill>
                          <w14:schemeClr w14:val="tx1"/>
                        </w14:solidFill>
                      </w14:textFill>
                    </w:rPr>
                  </w:pPr>
                  <w:r>
                    <w:rPr>
                      <w:bCs/>
                      <w:color w:val="000000" w:themeColor="text1"/>
                      <w:kern w:val="0"/>
                      <w:sz w:val="21"/>
                      <w:szCs w:val="21"/>
                      <w:u w:val="wave"/>
                      <w14:textFill>
                        <w14:solidFill>
                          <w14:schemeClr w14:val="tx1"/>
                        </w14:solidFill>
                      </w14:textFill>
                    </w:rPr>
                    <w:t>减震</w:t>
                  </w:r>
                </w:p>
              </w:tc>
              <w:tc>
                <w:tcPr>
                  <w:tcW w:w="770" w:type="dxa"/>
                  <w:vAlign w:val="center"/>
                </w:tcPr>
                <w:p w14:paraId="0940D8AA">
                  <w:pPr>
                    <w:keepNext/>
                    <w:adjustRightInd w:val="0"/>
                    <w:snapToGrid w:val="0"/>
                    <w:spacing w:line="240" w:lineRule="auto"/>
                    <w:jc w:val="center"/>
                    <w:textAlignment w:val="baseline"/>
                    <w:rPr>
                      <w:bCs/>
                      <w:color w:val="000000" w:themeColor="text1"/>
                      <w:kern w:val="0"/>
                      <w:sz w:val="21"/>
                      <w:szCs w:val="21"/>
                      <w:u w:val="wave"/>
                      <w14:textFill>
                        <w14:solidFill>
                          <w14:schemeClr w14:val="tx1"/>
                        </w14:solidFill>
                      </w14:textFill>
                    </w:rPr>
                  </w:pPr>
                  <w:r>
                    <w:rPr>
                      <w:bCs/>
                      <w:color w:val="000000" w:themeColor="text1"/>
                      <w:kern w:val="0"/>
                      <w:sz w:val="21"/>
                      <w:szCs w:val="21"/>
                      <w:u w:val="wave"/>
                      <w14:textFill>
                        <w14:solidFill>
                          <w14:schemeClr w14:val="tx1"/>
                        </w14:solidFill>
                      </w14:textFill>
                    </w:rPr>
                    <w:t>全天</w:t>
                  </w:r>
                </w:p>
              </w:tc>
            </w:tr>
          </w:tbl>
          <w:p w14:paraId="6D04F001">
            <w:pPr>
              <w:pStyle w:val="8"/>
              <w:ind w:firstLine="1476" w:firstLineChars="700"/>
              <w:jc w:val="both"/>
              <w:rPr>
                <w:color w:val="000000" w:themeColor="text1"/>
                <w:u w:val="wave"/>
                <w14:textFill>
                  <w14:solidFill>
                    <w14:schemeClr w14:val="tx1"/>
                  </w14:solidFill>
                </w14:textFill>
              </w:rPr>
            </w:pPr>
          </w:p>
          <w:p w14:paraId="55EBCF4A">
            <w:pPr>
              <w:pStyle w:val="8"/>
              <w:ind w:firstLine="843" w:firstLineChars="400"/>
              <w:jc w:val="both"/>
              <w:rPr>
                <w:color w:val="000000" w:themeColor="text1"/>
                <w:u w:val="wave"/>
                <w14:textFill>
                  <w14:solidFill>
                    <w14:schemeClr w14:val="tx1"/>
                  </w14:solidFill>
                </w14:textFill>
              </w:rPr>
            </w:pPr>
          </w:p>
          <w:p w14:paraId="55DE6480">
            <w:pPr>
              <w:pStyle w:val="8"/>
              <w:ind w:firstLine="843" w:firstLineChars="400"/>
              <w:jc w:val="both"/>
              <w:rPr>
                <w:color w:val="000000" w:themeColor="text1"/>
                <w:u w:val="wave"/>
                <w14:textFill>
                  <w14:solidFill>
                    <w14:schemeClr w14:val="tx1"/>
                  </w14:solidFill>
                </w14:textFill>
              </w:rPr>
            </w:pPr>
            <w:r>
              <w:rPr>
                <w:color w:val="000000" w:themeColor="text1"/>
                <w:u w:val="wave"/>
                <w14:textFill>
                  <w14:solidFill>
                    <w14:schemeClr w14:val="tx1"/>
                  </w14:solidFill>
                </w14:textFill>
              </w:rPr>
              <w:t>表4</w:t>
            </w:r>
            <w:r>
              <w:rPr>
                <w:rFonts w:hint="eastAsia"/>
                <w:color w:val="000000" w:themeColor="text1"/>
                <w:u w:val="wave"/>
                <w14:textFill>
                  <w14:solidFill>
                    <w14:schemeClr w14:val="tx1"/>
                  </w14:solidFill>
                </w14:textFill>
              </w:rPr>
              <w:t>.9-4</w:t>
            </w:r>
            <w:r>
              <w:rPr>
                <w:color w:val="000000" w:themeColor="text1"/>
                <w:u w:val="wave"/>
                <w14:textFill>
                  <w14:solidFill>
                    <w14:schemeClr w14:val="tx1"/>
                  </w14:solidFill>
                </w14:textFill>
              </w:rPr>
              <w:t xml:space="preserve">  升压站运行期厂界噪声预测结果表    单位：dB（A）</w:t>
            </w:r>
          </w:p>
          <w:tbl>
            <w:tblPr>
              <w:tblStyle w:val="26"/>
              <w:tblW w:w="77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9"/>
              <w:gridCol w:w="1335"/>
              <w:gridCol w:w="514"/>
              <w:gridCol w:w="534"/>
              <w:gridCol w:w="473"/>
              <w:gridCol w:w="516"/>
              <w:gridCol w:w="942"/>
              <w:gridCol w:w="808"/>
              <w:gridCol w:w="589"/>
              <w:gridCol w:w="564"/>
              <w:gridCol w:w="616"/>
              <w:gridCol w:w="540"/>
            </w:tblGrid>
            <w:tr w14:paraId="31739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329" w:type="dxa"/>
                  <w:vMerge w:val="restart"/>
                  <w:tcBorders>
                    <w:tl2br w:val="nil"/>
                    <w:tr2bl w:val="nil"/>
                  </w:tcBorders>
                  <w:tcMar>
                    <w:top w:w="0" w:type="dxa"/>
                    <w:left w:w="0" w:type="dxa"/>
                    <w:bottom w:w="0" w:type="dxa"/>
                    <w:right w:w="0" w:type="dxa"/>
                  </w:tcMar>
                  <w:vAlign w:val="center"/>
                </w:tcPr>
                <w:p w14:paraId="2EE32988">
                  <w:pPr>
                    <w:pStyle w:val="70"/>
                    <w:spacing w:before="0" w:after="0"/>
                    <w:rPr>
                      <w:rFonts w:ascii="Times New Roman" w:hAnsi="Times New Roman"/>
                      <w:b/>
                      <w:bCs/>
                      <w:color w:val="000000" w:themeColor="text1"/>
                      <w:szCs w:val="21"/>
                      <w:highlight w:val="none"/>
                      <w:u w:val="wave"/>
                      <w14:textFill>
                        <w14:solidFill>
                          <w14:schemeClr w14:val="tx1"/>
                        </w14:solidFill>
                      </w14:textFill>
                    </w:rPr>
                  </w:pPr>
                  <w:r>
                    <w:rPr>
                      <w:rFonts w:ascii="Times New Roman" w:hAnsi="Times New Roman"/>
                      <w:b/>
                      <w:bCs/>
                      <w:color w:val="000000" w:themeColor="text1"/>
                      <w:szCs w:val="21"/>
                      <w:highlight w:val="none"/>
                      <w:u w:val="wave"/>
                      <w14:textFill>
                        <w14:solidFill>
                          <w14:schemeClr w14:val="tx1"/>
                        </w14:solidFill>
                      </w14:textFill>
                    </w:rPr>
                    <w:t>序号</w:t>
                  </w:r>
                </w:p>
              </w:tc>
              <w:tc>
                <w:tcPr>
                  <w:tcW w:w="1335" w:type="dxa"/>
                  <w:vMerge w:val="restart"/>
                  <w:tcBorders>
                    <w:tl2br w:val="nil"/>
                    <w:tr2bl w:val="nil"/>
                  </w:tcBorders>
                  <w:tcMar>
                    <w:top w:w="0" w:type="dxa"/>
                    <w:left w:w="0" w:type="dxa"/>
                    <w:bottom w:w="0" w:type="dxa"/>
                    <w:right w:w="0" w:type="dxa"/>
                  </w:tcMar>
                  <w:vAlign w:val="center"/>
                </w:tcPr>
                <w:p w14:paraId="36979056">
                  <w:pPr>
                    <w:pStyle w:val="70"/>
                    <w:spacing w:before="0" w:after="0"/>
                    <w:rPr>
                      <w:rFonts w:ascii="Times New Roman" w:hAnsi="Times New Roman"/>
                      <w:b/>
                      <w:bCs/>
                      <w:color w:val="000000" w:themeColor="text1"/>
                      <w:szCs w:val="21"/>
                      <w:highlight w:val="none"/>
                      <w:u w:val="wave"/>
                      <w14:textFill>
                        <w14:solidFill>
                          <w14:schemeClr w14:val="tx1"/>
                        </w14:solidFill>
                      </w14:textFill>
                    </w:rPr>
                  </w:pPr>
                  <w:r>
                    <w:rPr>
                      <w:rFonts w:ascii="Times New Roman" w:hAnsi="Times New Roman"/>
                      <w:b/>
                      <w:bCs/>
                      <w:color w:val="000000" w:themeColor="text1"/>
                      <w:szCs w:val="21"/>
                      <w:highlight w:val="none"/>
                      <w:u w:val="wave"/>
                      <w14:textFill>
                        <w14:solidFill>
                          <w14:schemeClr w14:val="tx1"/>
                        </w14:solidFill>
                      </w14:textFill>
                    </w:rPr>
                    <w:t>预测点位</w:t>
                  </w:r>
                </w:p>
                <w:p w14:paraId="21C041CF">
                  <w:pPr>
                    <w:pStyle w:val="70"/>
                    <w:spacing w:before="0" w:after="0"/>
                    <w:rPr>
                      <w:rFonts w:ascii="Times New Roman" w:hAnsi="Times New Roman"/>
                      <w:b/>
                      <w:bCs/>
                      <w:color w:val="000000" w:themeColor="text1"/>
                      <w:szCs w:val="21"/>
                      <w:highlight w:val="none"/>
                      <w:u w:val="wave"/>
                      <w14:textFill>
                        <w14:solidFill>
                          <w14:schemeClr w14:val="tx1"/>
                        </w14:solidFill>
                      </w14:textFill>
                    </w:rPr>
                  </w:pPr>
                  <w:r>
                    <w:rPr>
                      <w:rFonts w:ascii="Times New Roman" w:hAnsi="Times New Roman"/>
                      <w:b/>
                      <w:bCs/>
                      <w:color w:val="000000" w:themeColor="text1"/>
                      <w:szCs w:val="21"/>
                      <w:highlight w:val="none"/>
                      <w:u w:val="wave"/>
                      <w14:textFill>
                        <w14:solidFill>
                          <w14:schemeClr w14:val="tx1"/>
                        </w14:solidFill>
                      </w14:textFill>
                    </w:rPr>
                    <w:t>名称</w:t>
                  </w:r>
                </w:p>
              </w:tc>
              <w:tc>
                <w:tcPr>
                  <w:tcW w:w="1048" w:type="dxa"/>
                  <w:gridSpan w:val="2"/>
                  <w:tcBorders>
                    <w:tl2br w:val="nil"/>
                    <w:tr2bl w:val="nil"/>
                  </w:tcBorders>
                  <w:tcMar>
                    <w:top w:w="0" w:type="dxa"/>
                    <w:left w:w="0" w:type="dxa"/>
                    <w:bottom w:w="0" w:type="dxa"/>
                    <w:right w:w="0" w:type="dxa"/>
                  </w:tcMar>
                  <w:vAlign w:val="center"/>
                </w:tcPr>
                <w:p w14:paraId="73886396">
                  <w:pPr>
                    <w:pStyle w:val="70"/>
                    <w:spacing w:before="0" w:after="0"/>
                    <w:rPr>
                      <w:rFonts w:ascii="Times New Roman" w:hAnsi="Times New Roman"/>
                      <w:b/>
                      <w:bCs/>
                      <w:color w:val="000000" w:themeColor="text1"/>
                      <w:szCs w:val="21"/>
                      <w:highlight w:val="none"/>
                      <w:u w:val="wave"/>
                      <w14:textFill>
                        <w14:solidFill>
                          <w14:schemeClr w14:val="tx1"/>
                        </w14:solidFill>
                      </w14:textFill>
                    </w:rPr>
                  </w:pPr>
                  <w:r>
                    <w:rPr>
                      <w:rFonts w:ascii="Times New Roman" w:hAnsi="Times New Roman"/>
                      <w:b/>
                      <w:bCs/>
                      <w:color w:val="000000" w:themeColor="text1"/>
                      <w:szCs w:val="21"/>
                      <w:highlight w:val="none"/>
                      <w:u w:val="wave"/>
                      <w14:textFill>
                        <w14:solidFill>
                          <w14:schemeClr w14:val="tx1"/>
                        </w14:solidFill>
                      </w14:textFill>
                    </w:rPr>
                    <w:t>噪声</w:t>
                  </w:r>
                </w:p>
                <w:p w14:paraId="171A2998">
                  <w:pPr>
                    <w:pStyle w:val="70"/>
                    <w:spacing w:before="0" w:after="0"/>
                    <w:rPr>
                      <w:rFonts w:ascii="Times New Roman" w:hAnsi="Times New Roman"/>
                      <w:b/>
                      <w:bCs/>
                      <w:color w:val="000000" w:themeColor="text1"/>
                      <w:szCs w:val="21"/>
                      <w:highlight w:val="none"/>
                      <w:u w:val="wave"/>
                      <w14:textFill>
                        <w14:solidFill>
                          <w14:schemeClr w14:val="tx1"/>
                        </w14:solidFill>
                      </w14:textFill>
                    </w:rPr>
                  </w:pPr>
                  <w:r>
                    <w:rPr>
                      <w:rFonts w:ascii="Times New Roman" w:hAnsi="Times New Roman"/>
                      <w:b/>
                      <w:bCs/>
                      <w:color w:val="000000" w:themeColor="text1"/>
                      <w:szCs w:val="21"/>
                      <w:highlight w:val="none"/>
                      <w:u w:val="wave"/>
                      <w14:textFill>
                        <w14:solidFill>
                          <w14:schemeClr w14:val="tx1"/>
                        </w14:solidFill>
                      </w14:textFill>
                    </w:rPr>
                    <w:t>背景值</w:t>
                  </w:r>
                </w:p>
                <w:p w14:paraId="786A855B">
                  <w:pPr>
                    <w:pStyle w:val="70"/>
                    <w:spacing w:before="0" w:after="0"/>
                    <w:rPr>
                      <w:rFonts w:ascii="Times New Roman" w:hAnsi="Times New Roman"/>
                      <w:b/>
                      <w:bCs/>
                      <w:color w:val="000000" w:themeColor="text1"/>
                      <w:szCs w:val="21"/>
                      <w:highlight w:val="none"/>
                      <w:u w:val="wave"/>
                      <w14:textFill>
                        <w14:solidFill>
                          <w14:schemeClr w14:val="tx1"/>
                        </w14:solidFill>
                      </w14:textFill>
                    </w:rPr>
                  </w:pPr>
                  <w:r>
                    <w:rPr>
                      <w:rFonts w:ascii="Times New Roman" w:hAnsi="Times New Roman"/>
                      <w:b/>
                      <w:bCs/>
                      <w:color w:val="000000" w:themeColor="text1"/>
                      <w:szCs w:val="21"/>
                      <w:highlight w:val="none"/>
                      <w:u w:val="wave"/>
                      <w14:textFill>
                        <w14:solidFill>
                          <w14:schemeClr w14:val="tx1"/>
                        </w14:solidFill>
                      </w14:textFill>
                    </w:rPr>
                    <w:t>dB（A）</w:t>
                  </w:r>
                </w:p>
              </w:tc>
              <w:tc>
                <w:tcPr>
                  <w:tcW w:w="989" w:type="dxa"/>
                  <w:gridSpan w:val="2"/>
                  <w:tcBorders>
                    <w:tl2br w:val="nil"/>
                    <w:tr2bl w:val="nil"/>
                  </w:tcBorders>
                  <w:tcMar>
                    <w:top w:w="0" w:type="dxa"/>
                    <w:left w:w="0" w:type="dxa"/>
                    <w:bottom w:w="0" w:type="dxa"/>
                    <w:right w:w="0" w:type="dxa"/>
                  </w:tcMar>
                  <w:vAlign w:val="center"/>
                </w:tcPr>
                <w:p w14:paraId="59E9220C">
                  <w:pPr>
                    <w:pStyle w:val="70"/>
                    <w:spacing w:before="0" w:after="0"/>
                    <w:rPr>
                      <w:rFonts w:ascii="Times New Roman" w:hAnsi="Times New Roman"/>
                      <w:b/>
                      <w:bCs/>
                      <w:color w:val="000000" w:themeColor="text1"/>
                      <w:szCs w:val="21"/>
                      <w:highlight w:val="none"/>
                      <w:u w:val="wave"/>
                      <w14:textFill>
                        <w14:solidFill>
                          <w14:schemeClr w14:val="tx1"/>
                        </w14:solidFill>
                      </w14:textFill>
                    </w:rPr>
                  </w:pPr>
                  <w:r>
                    <w:rPr>
                      <w:rFonts w:ascii="Times New Roman" w:hAnsi="Times New Roman"/>
                      <w:b/>
                      <w:bCs/>
                      <w:color w:val="000000" w:themeColor="text1"/>
                      <w:szCs w:val="21"/>
                      <w:highlight w:val="none"/>
                      <w:u w:val="wave"/>
                      <w14:textFill>
                        <w14:solidFill>
                          <w14:schemeClr w14:val="tx1"/>
                        </w14:solidFill>
                      </w14:textFill>
                    </w:rPr>
                    <w:t>噪声</w:t>
                  </w:r>
                </w:p>
                <w:p w14:paraId="5B3598F7">
                  <w:pPr>
                    <w:pStyle w:val="70"/>
                    <w:spacing w:before="0" w:after="0"/>
                    <w:rPr>
                      <w:rFonts w:ascii="Times New Roman" w:hAnsi="Times New Roman"/>
                      <w:b/>
                      <w:bCs/>
                      <w:color w:val="000000" w:themeColor="text1"/>
                      <w:szCs w:val="21"/>
                      <w:highlight w:val="none"/>
                      <w:u w:val="wave"/>
                      <w14:textFill>
                        <w14:solidFill>
                          <w14:schemeClr w14:val="tx1"/>
                        </w14:solidFill>
                      </w14:textFill>
                    </w:rPr>
                  </w:pPr>
                  <w:r>
                    <w:rPr>
                      <w:rFonts w:ascii="Times New Roman" w:hAnsi="Times New Roman"/>
                      <w:b/>
                      <w:bCs/>
                      <w:color w:val="000000" w:themeColor="text1"/>
                      <w:szCs w:val="21"/>
                      <w:highlight w:val="none"/>
                      <w:u w:val="wave"/>
                      <w14:textFill>
                        <w14:solidFill>
                          <w14:schemeClr w14:val="tx1"/>
                        </w14:solidFill>
                      </w14:textFill>
                    </w:rPr>
                    <w:t>现状值</w:t>
                  </w:r>
                </w:p>
                <w:p w14:paraId="2208AD19">
                  <w:pPr>
                    <w:spacing w:line="240" w:lineRule="auto"/>
                    <w:jc w:val="center"/>
                    <w:rPr>
                      <w:b/>
                      <w:bCs/>
                      <w:color w:val="000000" w:themeColor="text1"/>
                      <w:sz w:val="21"/>
                      <w:szCs w:val="21"/>
                      <w:highlight w:val="none"/>
                      <w:u w:val="wave"/>
                      <w14:textFill>
                        <w14:solidFill>
                          <w14:schemeClr w14:val="tx1"/>
                        </w14:solidFill>
                      </w14:textFill>
                    </w:rPr>
                  </w:pPr>
                  <w:r>
                    <w:rPr>
                      <w:b/>
                      <w:bCs/>
                      <w:color w:val="000000" w:themeColor="text1"/>
                      <w:kern w:val="0"/>
                      <w:sz w:val="21"/>
                      <w:szCs w:val="21"/>
                      <w:highlight w:val="none"/>
                      <w:u w:val="wave"/>
                      <w14:textFill>
                        <w14:solidFill>
                          <w14:schemeClr w14:val="tx1"/>
                        </w14:solidFill>
                      </w14:textFill>
                    </w:rPr>
                    <w:t>dB（A）</w:t>
                  </w:r>
                </w:p>
              </w:tc>
              <w:tc>
                <w:tcPr>
                  <w:tcW w:w="1750" w:type="dxa"/>
                  <w:gridSpan w:val="2"/>
                  <w:tcBorders>
                    <w:tl2br w:val="nil"/>
                    <w:tr2bl w:val="nil"/>
                  </w:tcBorders>
                  <w:tcMar>
                    <w:top w:w="0" w:type="dxa"/>
                    <w:left w:w="0" w:type="dxa"/>
                    <w:bottom w:w="0" w:type="dxa"/>
                    <w:right w:w="0" w:type="dxa"/>
                  </w:tcMar>
                  <w:vAlign w:val="center"/>
                </w:tcPr>
                <w:p w14:paraId="62D262CD">
                  <w:pPr>
                    <w:pStyle w:val="70"/>
                    <w:spacing w:before="0" w:after="0"/>
                    <w:rPr>
                      <w:rFonts w:ascii="Times New Roman" w:hAnsi="Times New Roman"/>
                      <w:b/>
                      <w:bCs/>
                      <w:color w:val="000000" w:themeColor="text1"/>
                      <w:szCs w:val="21"/>
                      <w:highlight w:val="none"/>
                      <w:u w:val="wave"/>
                      <w14:textFill>
                        <w14:solidFill>
                          <w14:schemeClr w14:val="tx1"/>
                        </w14:solidFill>
                      </w14:textFill>
                    </w:rPr>
                  </w:pPr>
                  <w:r>
                    <w:rPr>
                      <w:rFonts w:ascii="Times New Roman" w:hAnsi="Times New Roman"/>
                      <w:b/>
                      <w:bCs/>
                      <w:color w:val="000000" w:themeColor="text1"/>
                      <w:szCs w:val="21"/>
                      <w:highlight w:val="none"/>
                      <w:u w:val="wave"/>
                      <w14:textFill>
                        <w14:solidFill>
                          <w14:schemeClr w14:val="tx1"/>
                        </w14:solidFill>
                      </w14:textFill>
                    </w:rPr>
                    <w:t>《工业企业厂界环境噪声排放标准》（GB12348-2008）</w:t>
                  </w:r>
                </w:p>
              </w:tc>
              <w:tc>
                <w:tcPr>
                  <w:tcW w:w="1153" w:type="dxa"/>
                  <w:gridSpan w:val="2"/>
                  <w:tcBorders>
                    <w:tl2br w:val="nil"/>
                    <w:tr2bl w:val="nil"/>
                  </w:tcBorders>
                  <w:tcMar>
                    <w:top w:w="0" w:type="dxa"/>
                    <w:left w:w="0" w:type="dxa"/>
                    <w:bottom w:w="0" w:type="dxa"/>
                    <w:right w:w="0" w:type="dxa"/>
                  </w:tcMar>
                  <w:vAlign w:val="center"/>
                </w:tcPr>
                <w:p w14:paraId="36E0AFCB">
                  <w:pPr>
                    <w:pStyle w:val="70"/>
                    <w:spacing w:before="0" w:after="0"/>
                    <w:rPr>
                      <w:rFonts w:ascii="Times New Roman" w:hAnsi="Times New Roman"/>
                      <w:b/>
                      <w:bCs/>
                      <w:color w:val="000000" w:themeColor="text1"/>
                      <w:szCs w:val="21"/>
                      <w:highlight w:val="none"/>
                      <w:u w:val="wave"/>
                      <w14:textFill>
                        <w14:solidFill>
                          <w14:schemeClr w14:val="tx1"/>
                        </w14:solidFill>
                      </w14:textFill>
                    </w:rPr>
                  </w:pPr>
                  <w:r>
                    <w:rPr>
                      <w:rFonts w:ascii="Times New Roman" w:hAnsi="Times New Roman"/>
                      <w:b/>
                      <w:bCs/>
                      <w:color w:val="000000" w:themeColor="text1"/>
                      <w:szCs w:val="21"/>
                      <w:highlight w:val="none"/>
                      <w:u w:val="wave"/>
                      <w14:textFill>
                        <w14:solidFill>
                          <w14:schemeClr w14:val="tx1"/>
                        </w14:solidFill>
                      </w14:textFill>
                    </w:rPr>
                    <w:t>噪声</w:t>
                  </w:r>
                </w:p>
                <w:p w14:paraId="31B71ED2">
                  <w:pPr>
                    <w:pStyle w:val="70"/>
                    <w:spacing w:before="0" w:after="0"/>
                    <w:rPr>
                      <w:rFonts w:ascii="Times New Roman" w:hAnsi="Times New Roman"/>
                      <w:b/>
                      <w:bCs/>
                      <w:color w:val="000000" w:themeColor="text1"/>
                      <w:szCs w:val="21"/>
                      <w:highlight w:val="none"/>
                      <w:u w:val="wave"/>
                      <w14:textFill>
                        <w14:solidFill>
                          <w14:schemeClr w14:val="tx1"/>
                        </w14:solidFill>
                      </w14:textFill>
                    </w:rPr>
                  </w:pPr>
                  <w:r>
                    <w:rPr>
                      <w:rFonts w:ascii="Times New Roman" w:hAnsi="Times New Roman"/>
                      <w:b/>
                      <w:bCs/>
                      <w:color w:val="000000" w:themeColor="text1"/>
                      <w:szCs w:val="21"/>
                      <w:highlight w:val="none"/>
                      <w:u w:val="wave"/>
                      <w14:textFill>
                        <w14:solidFill>
                          <w14:schemeClr w14:val="tx1"/>
                        </w14:solidFill>
                      </w14:textFill>
                    </w:rPr>
                    <w:t>贡献值</w:t>
                  </w:r>
                </w:p>
                <w:p w14:paraId="1CF8C2E9">
                  <w:pPr>
                    <w:spacing w:line="240" w:lineRule="auto"/>
                    <w:jc w:val="center"/>
                    <w:rPr>
                      <w:b/>
                      <w:bCs/>
                      <w:color w:val="000000" w:themeColor="text1"/>
                      <w:sz w:val="21"/>
                      <w:szCs w:val="21"/>
                      <w:highlight w:val="none"/>
                      <w:u w:val="wave"/>
                      <w14:textFill>
                        <w14:solidFill>
                          <w14:schemeClr w14:val="tx1"/>
                        </w14:solidFill>
                      </w14:textFill>
                    </w:rPr>
                  </w:pPr>
                  <w:r>
                    <w:rPr>
                      <w:b/>
                      <w:bCs/>
                      <w:color w:val="000000" w:themeColor="text1"/>
                      <w:kern w:val="0"/>
                      <w:sz w:val="21"/>
                      <w:szCs w:val="21"/>
                      <w:highlight w:val="none"/>
                      <w:u w:val="wave"/>
                      <w14:textFill>
                        <w14:solidFill>
                          <w14:schemeClr w14:val="tx1"/>
                        </w14:solidFill>
                      </w14:textFill>
                    </w:rPr>
                    <w:t>dB（A）</w:t>
                  </w:r>
                </w:p>
              </w:tc>
              <w:tc>
                <w:tcPr>
                  <w:tcW w:w="1156" w:type="dxa"/>
                  <w:gridSpan w:val="2"/>
                  <w:tcBorders>
                    <w:tl2br w:val="nil"/>
                    <w:tr2bl w:val="nil"/>
                  </w:tcBorders>
                  <w:tcMar>
                    <w:top w:w="0" w:type="dxa"/>
                    <w:left w:w="0" w:type="dxa"/>
                    <w:bottom w:w="0" w:type="dxa"/>
                    <w:right w:w="0" w:type="dxa"/>
                  </w:tcMar>
                  <w:vAlign w:val="center"/>
                </w:tcPr>
                <w:p w14:paraId="65A0E265">
                  <w:pPr>
                    <w:pStyle w:val="70"/>
                    <w:spacing w:before="0" w:after="0"/>
                    <w:rPr>
                      <w:rFonts w:ascii="Times New Roman" w:hAnsi="Times New Roman"/>
                      <w:b/>
                      <w:bCs/>
                      <w:color w:val="000000" w:themeColor="text1"/>
                      <w:szCs w:val="21"/>
                      <w:highlight w:val="none"/>
                      <w:u w:val="wave"/>
                      <w14:textFill>
                        <w14:solidFill>
                          <w14:schemeClr w14:val="tx1"/>
                        </w14:solidFill>
                      </w14:textFill>
                    </w:rPr>
                  </w:pPr>
                  <w:r>
                    <w:rPr>
                      <w:rFonts w:ascii="Times New Roman" w:hAnsi="Times New Roman"/>
                      <w:b/>
                      <w:bCs/>
                      <w:color w:val="000000" w:themeColor="text1"/>
                      <w:szCs w:val="21"/>
                      <w:highlight w:val="none"/>
                      <w:u w:val="wave"/>
                      <w14:textFill>
                        <w14:solidFill>
                          <w14:schemeClr w14:val="tx1"/>
                        </w14:solidFill>
                      </w14:textFill>
                    </w:rPr>
                    <w:t>超标和达标</w:t>
                  </w:r>
                </w:p>
                <w:p w14:paraId="3D3CF8A2">
                  <w:pPr>
                    <w:pStyle w:val="70"/>
                    <w:spacing w:before="0" w:after="0"/>
                    <w:rPr>
                      <w:rFonts w:ascii="Times New Roman" w:hAnsi="Times New Roman"/>
                      <w:b/>
                      <w:bCs/>
                      <w:color w:val="000000" w:themeColor="text1"/>
                      <w:szCs w:val="21"/>
                      <w:highlight w:val="none"/>
                      <w:u w:val="wave"/>
                      <w14:textFill>
                        <w14:solidFill>
                          <w14:schemeClr w14:val="tx1"/>
                        </w14:solidFill>
                      </w14:textFill>
                    </w:rPr>
                  </w:pPr>
                  <w:r>
                    <w:rPr>
                      <w:rFonts w:ascii="Times New Roman" w:hAnsi="Times New Roman"/>
                      <w:b/>
                      <w:bCs/>
                      <w:color w:val="000000" w:themeColor="text1"/>
                      <w:szCs w:val="21"/>
                      <w:highlight w:val="none"/>
                      <w:u w:val="wave"/>
                      <w14:textFill>
                        <w14:solidFill>
                          <w14:schemeClr w14:val="tx1"/>
                        </w14:solidFill>
                      </w14:textFill>
                    </w:rPr>
                    <w:t>情况</w:t>
                  </w:r>
                </w:p>
              </w:tc>
            </w:tr>
            <w:tr w14:paraId="5C937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329" w:type="dxa"/>
                  <w:vMerge w:val="continue"/>
                  <w:tcBorders>
                    <w:tl2br w:val="nil"/>
                    <w:tr2bl w:val="nil"/>
                  </w:tcBorders>
                  <w:tcMar>
                    <w:top w:w="0" w:type="dxa"/>
                    <w:left w:w="0" w:type="dxa"/>
                    <w:bottom w:w="0" w:type="dxa"/>
                    <w:right w:w="0" w:type="dxa"/>
                  </w:tcMar>
                  <w:vAlign w:val="center"/>
                </w:tcPr>
                <w:p w14:paraId="6EF07255">
                  <w:pPr>
                    <w:pStyle w:val="70"/>
                    <w:spacing w:before="0" w:after="0"/>
                    <w:rPr>
                      <w:rFonts w:ascii="Times New Roman" w:hAnsi="Times New Roman"/>
                      <w:b/>
                      <w:bCs/>
                      <w:color w:val="000000" w:themeColor="text1"/>
                      <w:szCs w:val="21"/>
                      <w:highlight w:val="none"/>
                      <w:u w:val="wave"/>
                      <w14:textFill>
                        <w14:solidFill>
                          <w14:schemeClr w14:val="tx1"/>
                        </w14:solidFill>
                      </w14:textFill>
                    </w:rPr>
                  </w:pPr>
                </w:p>
              </w:tc>
              <w:tc>
                <w:tcPr>
                  <w:tcW w:w="1335" w:type="dxa"/>
                  <w:vMerge w:val="continue"/>
                  <w:tcBorders>
                    <w:tl2br w:val="nil"/>
                    <w:tr2bl w:val="nil"/>
                  </w:tcBorders>
                  <w:tcMar>
                    <w:top w:w="0" w:type="dxa"/>
                    <w:left w:w="0" w:type="dxa"/>
                    <w:bottom w:w="0" w:type="dxa"/>
                    <w:right w:w="0" w:type="dxa"/>
                  </w:tcMar>
                  <w:vAlign w:val="center"/>
                </w:tcPr>
                <w:p w14:paraId="3ACD4ADA">
                  <w:pPr>
                    <w:pStyle w:val="70"/>
                    <w:spacing w:before="0" w:after="0"/>
                    <w:rPr>
                      <w:rFonts w:ascii="Times New Roman" w:hAnsi="Times New Roman"/>
                      <w:b/>
                      <w:bCs/>
                      <w:color w:val="000000" w:themeColor="text1"/>
                      <w:szCs w:val="21"/>
                      <w:highlight w:val="none"/>
                      <w:u w:val="wave"/>
                      <w14:textFill>
                        <w14:solidFill>
                          <w14:schemeClr w14:val="tx1"/>
                        </w14:solidFill>
                      </w14:textFill>
                    </w:rPr>
                  </w:pPr>
                </w:p>
              </w:tc>
              <w:tc>
                <w:tcPr>
                  <w:tcW w:w="514" w:type="dxa"/>
                  <w:tcBorders>
                    <w:tl2br w:val="nil"/>
                    <w:tr2bl w:val="nil"/>
                  </w:tcBorders>
                  <w:tcMar>
                    <w:top w:w="0" w:type="dxa"/>
                    <w:left w:w="0" w:type="dxa"/>
                    <w:bottom w:w="0" w:type="dxa"/>
                    <w:right w:w="0" w:type="dxa"/>
                  </w:tcMar>
                  <w:vAlign w:val="center"/>
                </w:tcPr>
                <w:p w14:paraId="4D1D0A71">
                  <w:pPr>
                    <w:pStyle w:val="70"/>
                    <w:spacing w:before="0" w:after="0"/>
                    <w:rPr>
                      <w:rFonts w:ascii="Times New Roman" w:hAnsi="Times New Roman"/>
                      <w:b/>
                      <w:bCs/>
                      <w:color w:val="000000" w:themeColor="text1"/>
                      <w:szCs w:val="21"/>
                      <w:highlight w:val="none"/>
                      <w:u w:val="wave"/>
                      <w14:textFill>
                        <w14:solidFill>
                          <w14:schemeClr w14:val="tx1"/>
                        </w14:solidFill>
                      </w14:textFill>
                    </w:rPr>
                  </w:pPr>
                  <w:r>
                    <w:rPr>
                      <w:rFonts w:ascii="Times New Roman" w:hAnsi="Times New Roman"/>
                      <w:b/>
                      <w:bCs/>
                      <w:color w:val="000000" w:themeColor="text1"/>
                      <w:szCs w:val="21"/>
                      <w:highlight w:val="none"/>
                      <w:u w:val="wave"/>
                      <w14:textFill>
                        <w14:solidFill>
                          <w14:schemeClr w14:val="tx1"/>
                        </w14:solidFill>
                      </w14:textFill>
                    </w:rPr>
                    <w:t>昼间</w:t>
                  </w:r>
                </w:p>
              </w:tc>
              <w:tc>
                <w:tcPr>
                  <w:tcW w:w="534" w:type="dxa"/>
                  <w:tcBorders>
                    <w:tl2br w:val="nil"/>
                    <w:tr2bl w:val="nil"/>
                  </w:tcBorders>
                  <w:tcMar>
                    <w:top w:w="0" w:type="dxa"/>
                    <w:left w:w="0" w:type="dxa"/>
                    <w:bottom w:w="0" w:type="dxa"/>
                    <w:right w:w="0" w:type="dxa"/>
                  </w:tcMar>
                  <w:vAlign w:val="center"/>
                </w:tcPr>
                <w:p w14:paraId="2D54CAED">
                  <w:pPr>
                    <w:pStyle w:val="70"/>
                    <w:spacing w:before="0" w:after="0"/>
                    <w:rPr>
                      <w:rFonts w:ascii="Times New Roman" w:hAnsi="Times New Roman"/>
                      <w:b/>
                      <w:bCs/>
                      <w:color w:val="000000" w:themeColor="text1"/>
                      <w:szCs w:val="21"/>
                      <w:highlight w:val="none"/>
                      <w:u w:val="wave"/>
                      <w14:textFill>
                        <w14:solidFill>
                          <w14:schemeClr w14:val="tx1"/>
                        </w14:solidFill>
                      </w14:textFill>
                    </w:rPr>
                  </w:pPr>
                  <w:r>
                    <w:rPr>
                      <w:rFonts w:ascii="Times New Roman" w:hAnsi="Times New Roman"/>
                      <w:b/>
                      <w:bCs/>
                      <w:color w:val="000000" w:themeColor="text1"/>
                      <w:szCs w:val="21"/>
                      <w:highlight w:val="none"/>
                      <w:u w:val="wave"/>
                      <w14:textFill>
                        <w14:solidFill>
                          <w14:schemeClr w14:val="tx1"/>
                        </w14:solidFill>
                      </w14:textFill>
                    </w:rPr>
                    <w:t>夜间</w:t>
                  </w:r>
                </w:p>
              </w:tc>
              <w:tc>
                <w:tcPr>
                  <w:tcW w:w="473" w:type="dxa"/>
                  <w:tcBorders>
                    <w:tl2br w:val="nil"/>
                    <w:tr2bl w:val="nil"/>
                  </w:tcBorders>
                  <w:tcMar>
                    <w:top w:w="0" w:type="dxa"/>
                    <w:left w:w="0" w:type="dxa"/>
                    <w:bottom w:w="0" w:type="dxa"/>
                    <w:right w:w="0" w:type="dxa"/>
                  </w:tcMar>
                  <w:vAlign w:val="center"/>
                </w:tcPr>
                <w:p w14:paraId="27E8BAE3">
                  <w:pPr>
                    <w:pStyle w:val="70"/>
                    <w:spacing w:before="0" w:after="0"/>
                    <w:rPr>
                      <w:rFonts w:ascii="Times New Roman" w:hAnsi="Times New Roman"/>
                      <w:b/>
                      <w:bCs/>
                      <w:color w:val="000000" w:themeColor="text1"/>
                      <w:szCs w:val="21"/>
                      <w:highlight w:val="none"/>
                      <w:u w:val="wave"/>
                      <w14:textFill>
                        <w14:solidFill>
                          <w14:schemeClr w14:val="tx1"/>
                        </w14:solidFill>
                      </w14:textFill>
                    </w:rPr>
                  </w:pPr>
                  <w:r>
                    <w:rPr>
                      <w:rFonts w:ascii="Times New Roman" w:hAnsi="Times New Roman"/>
                      <w:b/>
                      <w:bCs/>
                      <w:color w:val="000000" w:themeColor="text1"/>
                      <w:szCs w:val="21"/>
                      <w:highlight w:val="none"/>
                      <w:u w:val="wave"/>
                      <w14:textFill>
                        <w14:solidFill>
                          <w14:schemeClr w14:val="tx1"/>
                        </w14:solidFill>
                      </w14:textFill>
                    </w:rPr>
                    <w:t>昼间</w:t>
                  </w:r>
                </w:p>
              </w:tc>
              <w:tc>
                <w:tcPr>
                  <w:tcW w:w="516" w:type="dxa"/>
                  <w:tcBorders>
                    <w:tl2br w:val="nil"/>
                    <w:tr2bl w:val="nil"/>
                  </w:tcBorders>
                  <w:tcMar>
                    <w:top w:w="0" w:type="dxa"/>
                    <w:left w:w="0" w:type="dxa"/>
                    <w:bottom w:w="0" w:type="dxa"/>
                    <w:right w:w="0" w:type="dxa"/>
                  </w:tcMar>
                  <w:vAlign w:val="center"/>
                </w:tcPr>
                <w:p w14:paraId="418CB3F6">
                  <w:pPr>
                    <w:pStyle w:val="70"/>
                    <w:spacing w:before="0" w:after="0"/>
                    <w:rPr>
                      <w:rFonts w:ascii="Times New Roman" w:hAnsi="Times New Roman"/>
                      <w:b/>
                      <w:bCs/>
                      <w:color w:val="000000" w:themeColor="text1"/>
                      <w:szCs w:val="21"/>
                      <w:highlight w:val="none"/>
                      <w:u w:val="wave"/>
                      <w14:textFill>
                        <w14:solidFill>
                          <w14:schemeClr w14:val="tx1"/>
                        </w14:solidFill>
                      </w14:textFill>
                    </w:rPr>
                  </w:pPr>
                  <w:r>
                    <w:rPr>
                      <w:rFonts w:ascii="Times New Roman" w:hAnsi="Times New Roman"/>
                      <w:b/>
                      <w:bCs/>
                      <w:color w:val="000000" w:themeColor="text1"/>
                      <w:szCs w:val="21"/>
                      <w:highlight w:val="none"/>
                      <w:u w:val="wave"/>
                      <w14:textFill>
                        <w14:solidFill>
                          <w14:schemeClr w14:val="tx1"/>
                        </w14:solidFill>
                      </w14:textFill>
                    </w:rPr>
                    <w:t>夜间</w:t>
                  </w:r>
                </w:p>
              </w:tc>
              <w:tc>
                <w:tcPr>
                  <w:tcW w:w="942" w:type="dxa"/>
                  <w:tcBorders>
                    <w:tl2br w:val="nil"/>
                    <w:tr2bl w:val="nil"/>
                  </w:tcBorders>
                  <w:tcMar>
                    <w:top w:w="0" w:type="dxa"/>
                    <w:left w:w="0" w:type="dxa"/>
                    <w:bottom w:w="0" w:type="dxa"/>
                    <w:right w:w="0" w:type="dxa"/>
                  </w:tcMar>
                  <w:vAlign w:val="center"/>
                </w:tcPr>
                <w:p w14:paraId="2DEDF7B3">
                  <w:pPr>
                    <w:pStyle w:val="70"/>
                    <w:spacing w:before="0" w:after="0"/>
                    <w:rPr>
                      <w:rFonts w:ascii="Times New Roman" w:hAnsi="Times New Roman"/>
                      <w:b/>
                      <w:bCs/>
                      <w:color w:val="000000" w:themeColor="text1"/>
                      <w:szCs w:val="21"/>
                      <w:highlight w:val="none"/>
                      <w:u w:val="wave"/>
                      <w14:textFill>
                        <w14:solidFill>
                          <w14:schemeClr w14:val="tx1"/>
                        </w14:solidFill>
                      </w14:textFill>
                    </w:rPr>
                  </w:pPr>
                  <w:r>
                    <w:rPr>
                      <w:rFonts w:ascii="Times New Roman" w:hAnsi="Times New Roman"/>
                      <w:b/>
                      <w:bCs/>
                      <w:color w:val="000000" w:themeColor="text1"/>
                      <w:szCs w:val="21"/>
                      <w:highlight w:val="none"/>
                      <w:u w:val="wave"/>
                      <w14:textFill>
                        <w14:solidFill>
                          <w14:schemeClr w14:val="tx1"/>
                        </w14:solidFill>
                      </w14:textFill>
                    </w:rPr>
                    <w:t>昼间</w:t>
                  </w:r>
                </w:p>
              </w:tc>
              <w:tc>
                <w:tcPr>
                  <w:tcW w:w="808" w:type="dxa"/>
                  <w:tcBorders>
                    <w:tl2br w:val="nil"/>
                    <w:tr2bl w:val="nil"/>
                  </w:tcBorders>
                  <w:tcMar>
                    <w:top w:w="0" w:type="dxa"/>
                    <w:left w:w="0" w:type="dxa"/>
                    <w:bottom w:w="0" w:type="dxa"/>
                    <w:right w:w="0" w:type="dxa"/>
                  </w:tcMar>
                  <w:vAlign w:val="center"/>
                </w:tcPr>
                <w:p w14:paraId="458FC89A">
                  <w:pPr>
                    <w:pStyle w:val="70"/>
                    <w:spacing w:before="0" w:after="0"/>
                    <w:rPr>
                      <w:rFonts w:ascii="Times New Roman" w:hAnsi="Times New Roman"/>
                      <w:b/>
                      <w:bCs/>
                      <w:color w:val="000000" w:themeColor="text1"/>
                      <w:szCs w:val="21"/>
                      <w:highlight w:val="none"/>
                      <w:u w:val="wave"/>
                      <w14:textFill>
                        <w14:solidFill>
                          <w14:schemeClr w14:val="tx1"/>
                        </w14:solidFill>
                      </w14:textFill>
                    </w:rPr>
                  </w:pPr>
                  <w:r>
                    <w:rPr>
                      <w:rFonts w:ascii="Times New Roman" w:hAnsi="Times New Roman"/>
                      <w:b/>
                      <w:bCs/>
                      <w:color w:val="000000" w:themeColor="text1"/>
                      <w:szCs w:val="21"/>
                      <w:highlight w:val="none"/>
                      <w:u w:val="wave"/>
                      <w14:textFill>
                        <w14:solidFill>
                          <w14:schemeClr w14:val="tx1"/>
                        </w14:solidFill>
                      </w14:textFill>
                    </w:rPr>
                    <w:t>夜间</w:t>
                  </w:r>
                </w:p>
              </w:tc>
              <w:tc>
                <w:tcPr>
                  <w:tcW w:w="589" w:type="dxa"/>
                  <w:tcBorders>
                    <w:tl2br w:val="nil"/>
                    <w:tr2bl w:val="nil"/>
                  </w:tcBorders>
                  <w:tcMar>
                    <w:top w:w="0" w:type="dxa"/>
                    <w:left w:w="0" w:type="dxa"/>
                    <w:bottom w:w="0" w:type="dxa"/>
                    <w:right w:w="0" w:type="dxa"/>
                  </w:tcMar>
                  <w:vAlign w:val="center"/>
                </w:tcPr>
                <w:p w14:paraId="2A3DCB10">
                  <w:pPr>
                    <w:pStyle w:val="70"/>
                    <w:spacing w:before="0" w:after="0"/>
                    <w:rPr>
                      <w:rFonts w:ascii="Times New Roman" w:hAnsi="Times New Roman"/>
                      <w:b/>
                      <w:bCs/>
                      <w:color w:val="000000" w:themeColor="text1"/>
                      <w:szCs w:val="21"/>
                      <w:highlight w:val="none"/>
                      <w:u w:val="wave"/>
                      <w14:textFill>
                        <w14:solidFill>
                          <w14:schemeClr w14:val="tx1"/>
                        </w14:solidFill>
                      </w14:textFill>
                    </w:rPr>
                  </w:pPr>
                  <w:r>
                    <w:rPr>
                      <w:rFonts w:ascii="Times New Roman" w:hAnsi="Times New Roman"/>
                      <w:b/>
                      <w:bCs/>
                      <w:color w:val="000000" w:themeColor="text1"/>
                      <w:szCs w:val="21"/>
                      <w:highlight w:val="none"/>
                      <w:u w:val="wave"/>
                      <w14:textFill>
                        <w14:solidFill>
                          <w14:schemeClr w14:val="tx1"/>
                        </w14:solidFill>
                      </w14:textFill>
                    </w:rPr>
                    <w:t>昼间</w:t>
                  </w:r>
                </w:p>
              </w:tc>
              <w:tc>
                <w:tcPr>
                  <w:tcW w:w="564" w:type="dxa"/>
                  <w:tcBorders>
                    <w:tl2br w:val="nil"/>
                    <w:tr2bl w:val="nil"/>
                  </w:tcBorders>
                  <w:tcMar>
                    <w:top w:w="0" w:type="dxa"/>
                    <w:left w:w="0" w:type="dxa"/>
                    <w:bottom w:w="0" w:type="dxa"/>
                    <w:right w:w="0" w:type="dxa"/>
                  </w:tcMar>
                  <w:vAlign w:val="center"/>
                </w:tcPr>
                <w:p w14:paraId="5DB55624">
                  <w:pPr>
                    <w:pStyle w:val="70"/>
                    <w:spacing w:before="0" w:after="0"/>
                    <w:rPr>
                      <w:rFonts w:ascii="Times New Roman" w:hAnsi="Times New Roman"/>
                      <w:b/>
                      <w:bCs/>
                      <w:color w:val="000000" w:themeColor="text1"/>
                      <w:szCs w:val="21"/>
                      <w:highlight w:val="none"/>
                      <w:u w:val="wave"/>
                      <w14:textFill>
                        <w14:solidFill>
                          <w14:schemeClr w14:val="tx1"/>
                        </w14:solidFill>
                      </w14:textFill>
                    </w:rPr>
                  </w:pPr>
                  <w:r>
                    <w:rPr>
                      <w:rFonts w:ascii="Times New Roman" w:hAnsi="Times New Roman"/>
                      <w:b/>
                      <w:bCs/>
                      <w:color w:val="000000" w:themeColor="text1"/>
                      <w:szCs w:val="21"/>
                      <w:highlight w:val="none"/>
                      <w:u w:val="wave"/>
                      <w14:textFill>
                        <w14:solidFill>
                          <w14:schemeClr w14:val="tx1"/>
                        </w14:solidFill>
                      </w14:textFill>
                    </w:rPr>
                    <w:t>夜间</w:t>
                  </w:r>
                </w:p>
              </w:tc>
              <w:tc>
                <w:tcPr>
                  <w:tcW w:w="616" w:type="dxa"/>
                  <w:tcBorders>
                    <w:tl2br w:val="nil"/>
                    <w:tr2bl w:val="nil"/>
                  </w:tcBorders>
                  <w:tcMar>
                    <w:top w:w="0" w:type="dxa"/>
                    <w:left w:w="0" w:type="dxa"/>
                    <w:bottom w:w="0" w:type="dxa"/>
                    <w:right w:w="0" w:type="dxa"/>
                  </w:tcMar>
                  <w:vAlign w:val="center"/>
                </w:tcPr>
                <w:p w14:paraId="68B52EE5">
                  <w:pPr>
                    <w:pStyle w:val="70"/>
                    <w:spacing w:before="0" w:after="0"/>
                    <w:rPr>
                      <w:rFonts w:ascii="Times New Roman" w:hAnsi="Times New Roman"/>
                      <w:b/>
                      <w:bCs/>
                      <w:color w:val="000000" w:themeColor="text1"/>
                      <w:szCs w:val="21"/>
                      <w:highlight w:val="none"/>
                      <w:u w:val="wave"/>
                      <w14:textFill>
                        <w14:solidFill>
                          <w14:schemeClr w14:val="tx1"/>
                        </w14:solidFill>
                      </w14:textFill>
                    </w:rPr>
                  </w:pPr>
                  <w:r>
                    <w:rPr>
                      <w:rFonts w:ascii="Times New Roman" w:hAnsi="Times New Roman"/>
                      <w:b/>
                      <w:bCs/>
                      <w:color w:val="000000" w:themeColor="text1"/>
                      <w:szCs w:val="21"/>
                      <w:highlight w:val="none"/>
                      <w:u w:val="wave"/>
                      <w14:textFill>
                        <w14:solidFill>
                          <w14:schemeClr w14:val="tx1"/>
                        </w14:solidFill>
                      </w14:textFill>
                    </w:rPr>
                    <w:t>昼间</w:t>
                  </w:r>
                </w:p>
              </w:tc>
              <w:tc>
                <w:tcPr>
                  <w:tcW w:w="540" w:type="dxa"/>
                  <w:tcBorders>
                    <w:tl2br w:val="nil"/>
                    <w:tr2bl w:val="nil"/>
                  </w:tcBorders>
                  <w:tcMar>
                    <w:top w:w="0" w:type="dxa"/>
                    <w:left w:w="0" w:type="dxa"/>
                    <w:bottom w:w="0" w:type="dxa"/>
                    <w:right w:w="0" w:type="dxa"/>
                  </w:tcMar>
                  <w:vAlign w:val="center"/>
                </w:tcPr>
                <w:p w14:paraId="0B0D22C3">
                  <w:pPr>
                    <w:pStyle w:val="70"/>
                    <w:spacing w:before="0" w:after="0"/>
                    <w:rPr>
                      <w:rFonts w:ascii="Times New Roman" w:hAnsi="Times New Roman"/>
                      <w:b/>
                      <w:bCs/>
                      <w:color w:val="000000" w:themeColor="text1"/>
                      <w:szCs w:val="21"/>
                      <w:highlight w:val="none"/>
                      <w:u w:val="wave"/>
                      <w14:textFill>
                        <w14:solidFill>
                          <w14:schemeClr w14:val="tx1"/>
                        </w14:solidFill>
                      </w14:textFill>
                    </w:rPr>
                  </w:pPr>
                  <w:r>
                    <w:rPr>
                      <w:rFonts w:ascii="Times New Roman" w:hAnsi="Times New Roman"/>
                      <w:b/>
                      <w:bCs/>
                      <w:color w:val="000000" w:themeColor="text1"/>
                      <w:szCs w:val="21"/>
                      <w:highlight w:val="none"/>
                      <w:u w:val="wave"/>
                      <w14:textFill>
                        <w14:solidFill>
                          <w14:schemeClr w14:val="tx1"/>
                        </w14:solidFill>
                      </w14:textFill>
                    </w:rPr>
                    <w:t>夜间</w:t>
                  </w:r>
                </w:p>
              </w:tc>
            </w:tr>
            <w:tr w14:paraId="32E7F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9" w:type="dxa"/>
                  <w:tcBorders>
                    <w:tl2br w:val="nil"/>
                    <w:tr2bl w:val="nil"/>
                  </w:tcBorders>
                  <w:tcMar>
                    <w:top w:w="0" w:type="dxa"/>
                    <w:left w:w="0" w:type="dxa"/>
                    <w:bottom w:w="0" w:type="dxa"/>
                    <w:right w:w="0" w:type="dxa"/>
                  </w:tcMar>
                  <w:vAlign w:val="center"/>
                </w:tcPr>
                <w:p w14:paraId="1EBFB493">
                  <w:pPr>
                    <w:pStyle w:val="70"/>
                    <w:spacing w:before="0" w:after="0"/>
                    <w:rPr>
                      <w:rFonts w:ascii="Times New Roman" w:hAnsi="Times New Roman"/>
                      <w:color w:val="000000" w:themeColor="text1"/>
                      <w:szCs w:val="21"/>
                      <w:highlight w:val="none"/>
                      <w:u w:val="wave"/>
                      <w14:textFill>
                        <w14:solidFill>
                          <w14:schemeClr w14:val="tx1"/>
                        </w14:solidFill>
                      </w14:textFill>
                    </w:rPr>
                  </w:pPr>
                  <w:r>
                    <w:rPr>
                      <w:rFonts w:ascii="Times New Roman" w:hAnsi="Times New Roman"/>
                      <w:color w:val="000000" w:themeColor="text1"/>
                      <w:szCs w:val="21"/>
                      <w:highlight w:val="none"/>
                      <w:u w:val="wave"/>
                      <w14:textFill>
                        <w14:solidFill>
                          <w14:schemeClr w14:val="tx1"/>
                        </w14:solidFill>
                      </w14:textFill>
                    </w:rPr>
                    <w:t>1</w:t>
                  </w:r>
                </w:p>
              </w:tc>
              <w:tc>
                <w:tcPr>
                  <w:tcW w:w="1335" w:type="dxa"/>
                  <w:tcBorders>
                    <w:tl2br w:val="nil"/>
                    <w:tr2bl w:val="nil"/>
                  </w:tcBorders>
                  <w:tcMar>
                    <w:top w:w="0" w:type="dxa"/>
                    <w:left w:w="0" w:type="dxa"/>
                    <w:bottom w:w="0" w:type="dxa"/>
                    <w:right w:w="0" w:type="dxa"/>
                  </w:tcMar>
                  <w:vAlign w:val="center"/>
                </w:tcPr>
                <w:p w14:paraId="586C604D">
                  <w:pPr>
                    <w:pStyle w:val="70"/>
                    <w:spacing w:before="0" w:after="0"/>
                    <w:rPr>
                      <w:rFonts w:ascii="Times New Roman" w:hAnsi="Times New Roman"/>
                      <w:color w:val="000000" w:themeColor="text1"/>
                      <w:szCs w:val="21"/>
                      <w:highlight w:val="none"/>
                      <w:u w:val="wave"/>
                      <w14:textFill>
                        <w14:solidFill>
                          <w14:schemeClr w14:val="tx1"/>
                        </w14:solidFill>
                      </w14:textFill>
                    </w:rPr>
                  </w:pPr>
                  <w:r>
                    <w:rPr>
                      <w:rFonts w:ascii="Times New Roman" w:hAnsi="Times New Roman"/>
                      <w:color w:val="000000" w:themeColor="text1"/>
                      <w:szCs w:val="21"/>
                      <w:highlight w:val="none"/>
                      <w:u w:val="wave"/>
                      <w14:textFill>
                        <w14:solidFill>
                          <w14:schemeClr w14:val="tx1"/>
                        </w14:solidFill>
                      </w14:textFill>
                    </w:rPr>
                    <w:t>升压站东侧</w:t>
                  </w:r>
                </w:p>
              </w:tc>
              <w:tc>
                <w:tcPr>
                  <w:tcW w:w="514" w:type="dxa"/>
                  <w:tcBorders>
                    <w:tl2br w:val="nil"/>
                    <w:tr2bl w:val="nil"/>
                  </w:tcBorders>
                  <w:tcMar>
                    <w:top w:w="0" w:type="dxa"/>
                    <w:left w:w="0" w:type="dxa"/>
                    <w:bottom w:w="0" w:type="dxa"/>
                    <w:right w:w="0" w:type="dxa"/>
                  </w:tcMar>
                  <w:vAlign w:val="center"/>
                </w:tcPr>
                <w:p w14:paraId="7AF04D7A">
                  <w:pPr>
                    <w:snapToGrid w:val="0"/>
                    <w:spacing w:line="240" w:lineRule="auto"/>
                    <w:jc w:val="center"/>
                    <w:rPr>
                      <w:rFonts w:hint="default" w:eastAsia="宋体"/>
                      <w:color w:val="000000" w:themeColor="text1"/>
                      <w:sz w:val="21"/>
                      <w:szCs w:val="21"/>
                      <w:highlight w:val="none"/>
                      <w:u w:val="wave"/>
                      <w:lang w:val="en-US" w:eastAsia="zh-CN"/>
                      <w14:textFill>
                        <w14:solidFill>
                          <w14:schemeClr w14:val="tx1"/>
                        </w14:solidFill>
                      </w14:textFill>
                    </w:rPr>
                  </w:pPr>
                  <w:r>
                    <w:rPr>
                      <w:rFonts w:hint="eastAsia"/>
                      <w:color w:val="000000" w:themeColor="text1"/>
                      <w:sz w:val="21"/>
                      <w:szCs w:val="21"/>
                      <w:highlight w:val="none"/>
                      <w:u w:val="wave"/>
                      <w:lang w:val="en-US" w:eastAsia="zh-CN"/>
                      <w14:textFill>
                        <w14:solidFill>
                          <w14:schemeClr w14:val="tx1"/>
                        </w14:solidFill>
                      </w14:textFill>
                    </w:rPr>
                    <w:t>39</w:t>
                  </w:r>
                </w:p>
              </w:tc>
              <w:tc>
                <w:tcPr>
                  <w:tcW w:w="534" w:type="dxa"/>
                  <w:tcBorders>
                    <w:tl2br w:val="nil"/>
                    <w:tr2bl w:val="nil"/>
                  </w:tcBorders>
                  <w:tcMar>
                    <w:top w:w="0" w:type="dxa"/>
                    <w:left w:w="0" w:type="dxa"/>
                    <w:bottom w:w="0" w:type="dxa"/>
                    <w:right w:w="0" w:type="dxa"/>
                  </w:tcMar>
                  <w:vAlign w:val="center"/>
                </w:tcPr>
                <w:p w14:paraId="103579F7">
                  <w:pPr>
                    <w:snapToGrid w:val="0"/>
                    <w:spacing w:line="240" w:lineRule="auto"/>
                    <w:jc w:val="center"/>
                    <w:rPr>
                      <w:rFonts w:hint="default" w:eastAsia="宋体"/>
                      <w:color w:val="000000" w:themeColor="text1"/>
                      <w:sz w:val="21"/>
                      <w:szCs w:val="21"/>
                      <w:highlight w:val="none"/>
                      <w:u w:val="wave"/>
                      <w:lang w:val="en-US" w:eastAsia="zh-CN"/>
                      <w14:textFill>
                        <w14:solidFill>
                          <w14:schemeClr w14:val="tx1"/>
                        </w14:solidFill>
                      </w14:textFill>
                    </w:rPr>
                  </w:pPr>
                  <w:r>
                    <w:rPr>
                      <w:rFonts w:hint="eastAsia"/>
                      <w:color w:val="000000" w:themeColor="text1"/>
                      <w:sz w:val="21"/>
                      <w:szCs w:val="21"/>
                      <w:highlight w:val="none"/>
                      <w:u w:val="wave"/>
                      <w:lang w:val="en-US" w:eastAsia="zh-CN"/>
                      <w14:textFill>
                        <w14:solidFill>
                          <w14:schemeClr w14:val="tx1"/>
                        </w14:solidFill>
                      </w14:textFill>
                    </w:rPr>
                    <w:t>35</w:t>
                  </w:r>
                </w:p>
              </w:tc>
              <w:tc>
                <w:tcPr>
                  <w:tcW w:w="473" w:type="dxa"/>
                  <w:tcBorders>
                    <w:tl2br w:val="nil"/>
                    <w:tr2bl w:val="nil"/>
                  </w:tcBorders>
                  <w:tcMar>
                    <w:top w:w="0" w:type="dxa"/>
                    <w:left w:w="0" w:type="dxa"/>
                    <w:bottom w:w="0" w:type="dxa"/>
                    <w:right w:w="0" w:type="dxa"/>
                  </w:tcMar>
                  <w:vAlign w:val="center"/>
                </w:tcPr>
                <w:p w14:paraId="1F09C2A7">
                  <w:pPr>
                    <w:snapToGrid w:val="0"/>
                    <w:spacing w:line="240" w:lineRule="auto"/>
                    <w:jc w:val="center"/>
                    <w:rPr>
                      <w:color w:val="000000" w:themeColor="text1"/>
                      <w:sz w:val="21"/>
                      <w:szCs w:val="21"/>
                      <w:highlight w:val="none"/>
                      <w:u w:val="wave"/>
                      <w14:textFill>
                        <w14:solidFill>
                          <w14:schemeClr w14:val="tx1"/>
                        </w14:solidFill>
                      </w14:textFill>
                    </w:rPr>
                  </w:pPr>
                  <w:r>
                    <w:rPr>
                      <w:rFonts w:hint="eastAsia"/>
                      <w:color w:val="000000" w:themeColor="text1"/>
                      <w:sz w:val="21"/>
                      <w:szCs w:val="21"/>
                      <w:highlight w:val="none"/>
                      <w:u w:val="wave"/>
                      <w14:textFill>
                        <w14:solidFill>
                          <w14:schemeClr w14:val="tx1"/>
                        </w14:solidFill>
                      </w14:textFill>
                    </w:rPr>
                    <w:t>/</w:t>
                  </w:r>
                </w:p>
              </w:tc>
              <w:tc>
                <w:tcPr>
                  <w:tcW w:w="516" w:type="dxa"/>
                  <w:tcBorders>
                    <w:tl2br w:val="nil"/>
                    <w:tr2bl w:val="nil"/>
                  </w:tcBorders>
                  <w:tcMar>
                    <w:top w:w="0" w:type="dxa"/>
                    <w:left w:w="0" w:type="dxa"/>
                    <w:bottom w:w="0" w:type="dxa"/>
                    <w:right w:w="0" w:type="dxa"/>
                  </w:tcMar>
                  <w:vAlign w:val="center"/>
                </w:tcPr>
                <w:p w14:paraId="0CE76A1C">
                  <w:pPr>
                    <w:snapToGrid w:val="0"/>
                    <w:spacing w:line="240" w:lineRule="auto"/>
                    <w:jc w:val="center"/>
                    <w:rPr>
                      <w:color w:val="000000" w:themeColor="text1"/>
                      <w:sz w:val="21"/>
                      <w:szCs w:val="21"/>
                      <w:highlight w:val="none"/>
                      <w:u w:val="wave"/>
                      <w14:textFill>
                        <w14:solidFill>
                          <w14:schemeClr w14:val="tx1"/>
                        </w14:solidFill>
                      </w14:textFill>
                    </w:rPr>
                  </w:pPr>
                  <w:r>
                    <w:rPr>
                      <w:rFonts w:hint="eastAsia"/>
                      <w:color w:val="000000" w:themeColor="text1"/>
                      <w:sz w:val="21"/>
                      <w:szCs w:val="21"/>
                      <w:highlight w:val="none"/>
                      <w:u w:val="wave"/>
                      <w14:textFill>
                        <w14:solidFill>
                          <w14:schemeClr w14:val="tx1"/>
                        </w14:solidFill>
                      </w14:textFill>
                    </w:rPr>
                    <w:t>/</w:t>
                  </w:r>
                </w:p>
              </w:tc>
              <w:tc>
                <w:tcPr>
                  <w:tcW w:w="942" w:type="dxa"/>
                  <w:vMerge w:val="restart"/>
                  <w:tcBorders>
                    <w:tl2br w:val="nil"/>
                    <w:tr2bl w:val="nil"/>
                  </w:tcBorders>
                  <w:tcMar>
                    <w:top w:w="0" w:type="dxa"/>
                    <w:left w:w="0" w:type="dxa"/>
                    <w:bottom w:w="0" w:type="dxa"/>
                    <w:right w:w="0" w:type="dxa"/>
                  </w:tcMar>
                  <w:vAlign w:val="center"/>
                </w:tcPr>
                <w:p w14:paraId="1E7AFCC7">
                  <w:pPr>
                    <w:pStyle w:val="70"/>
                    <w:spacing w:before="0" w:after="0"/>
                    <w:rPr>
                      <w:rFonts w:ascii="Times New Roman" w:hAnsi="Times New Roman"/>
                      <w:color w:val="000000" w:themeColor="text1"/>
                      <w:szCs w:val="21"/>
                      <w:highlight w:val="none"/>
                      <w:u w:val="wave"/>
                      <w14:textFill>
                        <w14:solidFill>
                          <w14:schemeClr w14:val="tx1"/>
                        </w14:solidFill>
                      </w14:textFill>
                    </w:rPr>
                  </w:pPr>
                  <w:r>
                    <w:rPr>
                      <w:rFonts w:ascii="Times New Roman" w:hAnsi="Times New Roman"/>
                      <w:color w:val="000000" w:themeColor="text1"/>
                      <w:szCs w:val="21"/>
                      <w:highlight w:val="none"/>
                      <w:u w:val="wave"/>
                      <w14:textFill>
                        <w14:solidFill>
                          <w14:schemeClr w14:val="tx1"/>
                        </w14:solidFill>
                      </w14:textFill>
                    </w:rPr>
                    <w:t>2类：60</w:t>
                  </w:r>
                </w:p>
              </w:tc>
              <w:tc>
                <w:tcPr>
                  <w:tcW w:w="808" w:type="dxa"/>
                  <w:vMerge w:val="restart"/>
                  <w:tcBorders>
                    <w:tl2br w:val="nil"/>
                    <w:tr2bl w:val="nil"/>
                  </w:tcBorders>
                  <w:tcMar>
                    <w:top w:w="0" w:type="dxa"/>
                    <w:left w:w="0" w:type="dxa"/>
                    <w:bottom w:w="0" w:type="dxa"/>
                    <w:right w:w="0" w:type="dxa"/>
                  </w:tcMar>
                  <w:vAlign w:val="center"/>
                </w:tcPr>
                <w:p w14:paraId="5413FAAE">
                  <w:pPr>
                    <w:pStyle w:val="70"/>
                    <w:spacing w:before="0" w:after="0"/>
                    <w:rPr>
                      <w:rFonts w:ascii="Times New Roman" w:hAnsi="Times New Roman"/>
                      <w:color w:val="000000" w:themeColor="text1"/>
                      <w:szCs w:val="21"/>
                      <w:highlight w:val="none"/>
                      <w:u w:val="wave"/>
                      <w14:textFill>
                        <w14:solidFill>
                          <w14:schemeClr w14:val="tx1"/>
                        </w14:solidFill>
                      </w14:textFill>
                    </w:rPr>
                  </w:pPr>
                  <w:r>
                    <w:rPr>
                      <w:rFonts w:ascii="Times New Roman" w:hAnsi="Times New Roman"/>
                      <w:color w:val="000000" w:themeColor="text1"/>
                      <w:szCs w:val="21"/>
                      <w:highlight w:val="none"/>
                      <w:u w:val="wave"/>
                      <w14:textFill>
                        <w14:solidFill>
                          <w14:schemeClr w14:val="tx1"/>
                        </w14:solidFill>
                      </w14:textFill>
                    </w:rPr>
                    <w:t>2类：50</w:t>
                  </w:r>
                </w:p>
              </w:tc>
              <w:tc>
                <w:tcPr>
                  <w:tcW w:w="589" w:type="dxa"/>
                  <w:tcBorders>
                    <w:tl2br w:val="nil"/>
                    <w:tr2bl w:val="nil"/>
                  </w:tcBorders>
                  <w:tcMar>
                    <w:top w:w="0" w:type="dxa"/>
                    <w:left w:w="0" w:type="dxa"/>
                    <w:bottom w:w="0" w:type="dxa"/>
                    <w:right w:w="0" w:type="dxa"/>
                  </w:tcMar>
                  <w:vAlign w:val="center"/>
                </w:tcPr>
                <w:p w14:paraId="70D6DA8A">
                  <w:pPr>
                    <w:snapToGrid w:val="0"/>
                    <w:spacing w:line="240" w:lineRule="auto"/>
                    <w:jc w:val="center"/>
                    <w:rPr>
                      <w:rFonts w:hint="eastAsia"/>
                      <w:color w:val="000000" w:themeColor="text1"/>
                      <w:sz w:val="21"/>
                      <w:szCs w:val="21"/>
                      <w:highlight w:val="none"/>
                      <w:u w:val="wave"/>
                      <w:lang w:val="en-US" w:eastAsia="zh-CN"/>
                      <w14:textFill>
                        <w14:solidFill>
                          <w14:schemeClr w14:val="tx1"/>
                        </w14:solidFill>
                      </w14:textFill>
                    </w:rPr>
                  </w:pPr>
                  <w:r>
                    <w:rPr>
                      <w:rFonts w:hint="eastAsia"/>
                      <w:color w:val="000000" w:themeColor="text1"/>
                      <w:sz w:val="21"/>
                      <w:szCs w:val="21"/>
                      <w:highlight w:val="none"/>
                      <w:u w:val="wave"/>
                      <w:lang w:val="en-US" w:eastAsia="zh-CN"/>
                      <w14:textFill>
                        <w14:solidFill>
                          <w14:schemeClr w14:val="tx1"/>
                        </w14:solidFill>
                      </w14:textFill>
                    </w:rPr>
                    <w:t>31.32</w:t>
                  </w:r>
                </w:p>
              </w:tc>
              <w:tc>
                <w:tcPr>
                  <w:tcW w:w="564" w:type="dxa"/>
                  <w:tcBorders>
                    <w:tl2br w:val="nil"/>
                    <w:tr2bl w:val="nil"/>
                  </w:tcBorders>
                  <w:tcMar>
                    <w:top w:w="0" w:type="dxa"/>
                    <w:left w:w="0" w:type="dxa"/>
                    <w:bottom w:w="0" w:type="dxa"/>
                    <w:right w:w="0" w:type="dxa"/>
                  </w:tcMar>
                  <w:vAlign w:val="center"/>
                </w:tcPr>
                <w:p w14:paraId="7DAB94B6">
                  <w:pPr>
                    <w:snapToGrid w:val="0"/>
                    <w:spacing w:line="240" w:lineRule="auto"/>
                    <w:jc w:val="center"/>
                    <w:rPr>
                      <w:rFonts w:hint="eastAsia"/>
                      <w:color w:val="000000" w:themeColor="text1"/>
                      <w:sz w:val="21"/>
                      <w:szCs w:val="21"/>
                      <w:highlight w:val="none"/>
                      <w:u w:val="wave"/>
                      <w:lang w:val="en-US" w:eastAsia="zh-CN"/>
                      <w14:textFill>
                        <w14:solidFill>
                          <w14:schemeClr w14:val="tx1"/>
                        </w14:solidFill>
                      </w14:textFill>
                    </w:rPr>
                  </w:pPr>
                  <w:r>
                    <w:rPr>
                      <w:rFonts w:hint="eastAsia"/>
                      <w:color w:val="000000" w:themeColor="text1"/>
                      <w:sz w:val="21"/>
                      <w:szCs w:val="21"/>
                      <w:highlight w:val="none"/>
                      <w:u w:val="wave"/>
                      <w:lang w:val="en-US" w:eastAsia="zh-CN"/>
                      <w14:textFill>
                        <w14:solidFill>
                          <w14:schemeClr w14:val="tx1"/>
                        </w14:solidFill>
                      </w14:textFill>
                    </w:rPr>
                    <w:t>31.32</w:t>
                  </w:r>
                </w:p>
              </w:tc>
              <w:tc>
                <w:tcPr>
                  <w:tcW w:w="616" w:type="dxa"/>
                  <w:tcBorders>
                    <w:tl2br w:val="nil"/>
                    <w:tr2bl w:val="nil"/>
                  </w:tcBorders>
                  <w:tcMar>
                    <w:top w:w="0" w:type="dxa"/>
                    <w:left w:w="0" w:type="dxa"/>
                    <w:bottom w:w="0" w:type="dxa"/>
                    <w:right w:w="0" w:type="dxa"/>
                  </w:tcMar>
                  <w:vAlign w:val="center"/>
                </w:tcPr>
                <w:p w14:paraId="5323552A">
                  <w:pPr>
                    <w:snapToGrid w:val="0"/>
                    <w:spacing w:line="240" w:lineRule="auto"/>
                    <w:jc w:val="center"/>
                    <w:rPr>
                      <w:rFonts w:hint="eastAsia"/>
                      <w:color w:val="000000" w:themeColor="text1"/>
                      <w:sz w:val="21"/>
                      <w:szCs w:val="21"/>
                      <w:highlight w:val="none"/>
                      <w:u w:val="wave"/>
                      <w:lang w:val="en-US" w:eastAsia="zh-CN"/>
                      <w14:textFill>
                        <w14:solidFill>
                          <w14:schemeClr w14:val="tx1"/>
                        </w14:solidFill>
                      </w14:textFill>
                    </w:rPr>
                  </w:pPr>
                  <w:r>
                    <w:rPr>
                      <w:rFonts w:hint="eastAsia"/>
                      <w:color w:val="000000" w:themeColor="text1"/>
                      <w:sz w:val="21"/>
                      <w:szCs w:val="21"/>
                      <w:highlight w:val="none"/>
                      <w:u w:val="wave"/>
                      <w:lang w:val="en-US" w:eastAsia="zh-CN"/>
                      <w14:textFill>
                        <w14:solidFill>
                          <w14:schemeClr w14:val="tx1"/>
                        </w14:solidFill>
                      </w14:textFill>
                    </w:rPr>
                    <w:t>达标</w:t>
                  </w:r>
                </w:p>
              </w:tc>
              <w:tc>
                <w:tcPr>
                  <w:tcW w:w="540" w:type="dxa"/>
                  <w:tcBorders>
                    <w:tl2br w:val="nil"/>
                    <w:tr2bl w:val="nil"/>
                  </w:tcBorders>
                  <w:tcMar>
                    <w:top w:w="0" w:type="dxa"/>
                    <w:left w:w="0" w:type="dxa"/>
                    <w:bottom w:w="0" w:type="dxa"/>
                    <w:right w:w="0" w:type="dxa"/>
                  </w:tcMar>
                  <w:vAlign w:val="center"/>
                </w:tcPr>
                <w:p w14:paraId="31F639DE">
                  <w:pPr>
                    <w:widowControl/>
                    <w:autoSpaceDE w:val="0"/>
                    <w:autoSpaceDN w:val="0"/>
                    <w:adjustRightInd w:val="0"/>
                    <w:snapToGrid w:val="0"/>
                    <w:spacing w:line="240" w:lineRule="auto"/>
                    <w:jc w:val="center"/>
                    <w:textAlignment w:val="bottom"/>
                    <w:rPr>
                      <w:color w:val="000000" w:themeColor="text1"/>
                      <w:sz w:val="21"/>
                      <w:szCs w:val="21"/>
                      <w:highlight w:val="none"/>
                      <w:u w:val="wave"/>
                      <w14:textFill>
                        <w14:solidFill>
                          <w14:schemeClr w14:val="tx1"/>
                        </w14:solidFill>
                      </w14:textFill>
                    </w:rPr>
                  </w:pPr>
                  <w:r>
                    <w:rPr>
                      <w:color w:val="000000" w:themeColor="text1"/>
                      <w:sz w:val="21"/>
                      <w:szCs w:val="21"/>
                      <w:highlight w:val="none"/>
                      <w:u w:val="wave"/>
                      <w14:textFill>
                        <w14:solidFill>
                          <w14:schemeClr w14:val="tx1"/>
                        </w14:solidFill>
                      </w14:textFill>
                    </w:rPr>
                    <w:t>达标</w:t>
                  </w:r>
                </w:p>
              </w:tc>
            </w:tr>
            <w:tr w14:paraId="069D9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9" w:type="dxa"/>
                  <w:tcBorders>
                    <w:tl2br w:val="nil"/>
                    <w:tr2bl w:val="nil"/>
                  </w:tcBorders>
                  <w:tcMar>
                    <w:top w:w="0" w:type="dxa"/>
                    <w:left w:w="0" w:type="dxa"/>
                    <w:bottom w:w="0" w:type="dxa"/>
                    <w:right w:w="0" w:type="dxa"/>
                  </w:tcMar>
                  <w:vAlign w:val="center"/>
                </w:tcPr>
                <w:p w14:paraId="78DF3F4F">
                  <w:pPr>
                    <w:pStyle w:val="70"/>
                    <w:spacing w:before="0" w:after="0"/>
                    <w:rPr>
                      <w:rFonts w:ascii="Times New Roman" w:hAnsi="Times New Roman"/>
                      <w:color w:val="000000" w:themeColor="text1"/>
                      <w:szCs w:val="21"/>
                      <w:highlight w:val="none"/>
                      <w:u w:val="wave"/>
                      <w14:textFill>
                        <w14:solidFill>
                          <w14:schemeClr w14:val="tx1"/>
                        </w14:solidFill>
                      </w14:textFill>
                    </w:rPr>
                  </w:pPr>
                  <w:r>
                    <w:rPr>
                      <w:rFonts w:ascii="Times New Roman" w:hAnsi="Times New Roman"/>
                      <w:color w:val="000000" w:themeColor="text1"/>
                      <w:szCs w:val="21"/>
                      <w:highlight w:val="none"/>
                      <w:u w:val="wave"/>
                      <w14:textFill>
                        <w14:solidFill>
                          <w14:schemeClr w14:val="tx1"/>
                        </w14:solidFill>
                      </w14:textFill>
                    </w:rPr>
                    <w:t>2</w:t>
                  </w:r>
                </w:p>
              </w:tc>
              <w:tc>
                <w:tcPr>
                  <w:tcW w:w="1335" w:type="dxa"/>
                  <w:tcBorders>
                    <w:tl2br w:val="nil"/>
                    <w:tr2bl w:val="nil"/>
                  </w:tcBorders>
                  <w:tcMar>
                    <w:top w:w="0" w:type="dxa"/>
                    <w:left w:w="0" w:type="dxa"/>
                    <w:bottom w:w="0" w:type="dxa"/>
                    <w:right w:w="0" w:type="dxa"/>
                  </w:tcMar>
                  <w:vAlign w:val="center"/>
                </w:tcPr>
                <w:p w14:paraId="329F18FB">
                  <w:pPr>
                    <w:pStyle w:val="70"/>
                    <w:spacing w:before="0" w:after="0"/>
                    <w:rPr>
                      <w:rFonts w:ascii="Times New Roman" w:hAnsi="Times New Roman"/>
                      <w:color w:val="000000" w:themeColor="text1"/>
                      <w:szCs w:val="21"/>
                      <w:highlight w:val="none"/>
                      <w:u w:val="wave"/>
                      <w14:textFill>
                        <w14:solidFill>
                          <w14:schemeClr w14:val="tx1"/>
                        </w14:solidFill>
                      </w14:textFill>
                    </w:rPr>
                  </w:pPr>
                  <w:r>
                    <w:rPr>
                      <w:rFonts w:ascii="Times New Roman" w:hAnsi="Times New Roman"/>
                      <w:color w:val="000000" w:themeColor="text1"/>
                      <w:szCs w:val="21"/>
                      <w:highlight w:val="none"/>
                      <w:u w:val="wave"/>
                      <w14:textFill>
                        <w14:solidFill>
                          <w14:schemeClr w14:val="tx1"/>
                        </w14:solidFill>
                      </w14:textFill>
                    </w:rPr>
                    <w:t>升压站南侧</w:t>
                  </w:r>
                </w:p>
              </w:tc>
              <w:tc>
                <w:tcPr>
                  <w:tcW w:w="514" w:type="dxa"/>
                  <w:tcBorders>
                    <w:tl2br w:val="nil"/>
                    <w:tr2bl w:val="nil"/>
                  </w:tcBorders>
                  <w:tcMar>
                    <w:top w:w="0" w:type="dxa"/>
                    <w:left w:w="0" w:type="dxa"/>
                    <w:bottom w:w="0" w:type="dxa"/>
                    <w:right w:w="0" w:type="dxa"/>
                  </w:tcMar>
                  <w:vAlign w:val="center"/>
                </w:tcPr>
                <w:p w14:paraId="2EF8C651">
                  <w:pPr>
                    <w:snapToGrid w:val="0"/>
                    <w:spacing w:line="240" w:lineRule="auto"/>
                    <w:jc w:val="center"/>
                    <w:rPr>
                      <w:rFonts w:hint="default" w:eastAsia="宋体"/>
                      <w:color w:val="000000" w:themeColor="text1"/>
                      <w:sz w:val="21"/>
                      <w:szCs w:val="21"/>
                      <w:highlight w:val="none"/>
                      <w:u w:val="wave"/>
                      <w:lang w:val="en-US" w:eastAsia="zh-CN"/>
                      <w14:textFill>
                        <w14:solidFill>
                          <w14:schemeClr w14:val="tx1"/>
                        </w14:solidFill>
                      </w14:textFill>
                    </w:rPr>
                  </w:pPr>
                  <w:r>
                    <w:rPr>
                      <w:rFonts w:hint="eastAsia"/>
                      <w:color w:val="000000" w:themeColor="text1"/>
                      <w:sz w:val="21"/>
                      <w:szCs w:val="21"/>
                      <w:highlight w:val="none"/>
                      <w:u w:val="wave"/>
                      <w:lang w:val="en-US" w:eastAsia="zh-CN"/>
                      <w14:textFill>
                        <w14:solidFill>
                          <w14:schemeClr w14:val="tx1"/>
                        </w14:solidFill>
                      </w14:textFill>
                    </w:rPr>
                    <w:t>35</w:t>
                  </w:r>
                </w:p>
              </w:tc>
              <w:tc>
                <w:tcPr>
                  <w:tcW w:w="534" w:type="dxa"/>
                  <w:tcBorders>
                    <w:tl2br w:val="nil"/>
                    <w:tr2bl w:val="nil"/>
                  </w:tcBorders>
                  <w:tcMar>
                    <w:top w:w="0" w:type="dxa"/>
                    <w:left w:w="0" w:type="dxa"/>
                    <w:bottom w:w="0" w:type="dxa"/>
                    <w:right w:w="0" w:type="dxa"/>
                  </w:tcMar>
                  <w:vAlign w:val="center"/>
                </w:tcPr>
                <w:p w14:paraId="5AE62821">
                  <w:pPr>
                    <w:snapToGrid w:val="0"/>
                    <w:spacing w:line="240" w:lineRule="auto"/>
                    <w:jc w:val="center"/>
                    <w:rPr>
                      <w:rFonts w:hint="default" w:eastAsia="宋体"/>
                      <w:color w:val="000000" w:themeColor="text1"/>
                      <w:sz w:val="21"/>
                      <w:szCs w:val="21"/>
                      <w:highlight w:val="none"/>
                      <w:u w:val="wave"/>
                      <w:lang w:val="en-US" w:eastAsia="zh-CN"/>
                      <w14:textFill>
                        <w14:solidFill>
                          <w14:schemeClr w14:val="tx1"/>
                        </w14:solidFill>
                      </w14:textFill>
                    </w:rPr>
                  </w:pPr>
                  <w:r>
                    <w:rPr>
                      <w:rFonts w:hint="eastAsia"/>
                      <w:color w:val="000000" w:themeColor="text1"/>
                      <w:sz w:val="21"/>
                      <w:szCs w:val="21"/>
                      <w:highlight w:val="none"/>
                      <w:u w:val="wave"/>
                      <w:lang w:val="en-US" w:eastAsia="zh-CN"/>
                      <w14:textFill>
                        <w14:solidFill>
                          <w14:schemeClr w14:val="tx1"/>
                        </w14:solidFill>
                      </w14:textFill>
                    </w:rPr>
                    <w:t>33</w:t>
                  </w:r>
                </w:p>
              </w:tc>
              <w:tc>
                <w:tcPr>
                  <w:tcW w:w="473" w:type="dxa"/>
                  <w:tcBorders>
                    <w:tl2br w:val="nil"/>
                    <w:tr2bl w:val="nil"/>
                  </w:tcBorders>
                  <w:tcMar>
                    <w:top w:w="0" w:type="dxa"/>
                    <w:left w:w="0" w:type="dxa"/>
                    <w:bottom w:w="0" w:type="dxa"/>
                    <w:right w:w="0" w:type="dxa"/>
                  </w:tcMar>
                  <w:vAlign w:val="center"/>
                </w:tcPr>
                <w:p w14:paraId="1714266A">
                  <w:pPr>
                    <w:snapToGrid w:val="0"/>
                    <w:spacing w:line="240" w:lineRule="auto"/>
                    <w:jc w:val="center"/>
                    <w:rPr>
                      <w:color w:val="000000" w:themeColor="text1"/>
                      <w:sz w:val="21"/>
                      <w:szCs w:val="21"/>
                      <w:highlight w:val="none"/>
                      <w:u w:val="wave"/>
                      <w14:textFill>
                        <w14:solidFill>
                          <w14:schemeClr w14:val="tx1"/>
                        </w14:solidFill>
                      </w14:textFill>
                    </w:rPr>
                  </w:pPr>
                  <w:r>
                    <w:rPr>
                      <w:rFonts w:hint="eastAsia"/>
                      <w:color w:val="000000" w:themeColor="text1"/>
                      <w:sz w:val="21"/>
                      <w:szCs w:val="21"/>
                      <w:highlight w:val="none"/>
                      <w:u w:val="wave"/>
                      <w14:textFill>
                        <w14:solidFill>
                          <w14:schemeClr w14:val="tx1"/>
                        </w14:solidFill>
                      </w14:textFill>
                    </w:rPr>
                    <w:t>/</w:t>
                  </w:r>
                </w:p>
              </w:tc>
              <w:tc>
                <w:tcPr>
                  <w:tcW w:w="516" w:type="dxa"/>
                  <w:tcBorders>
                    <w:tl2br w:val="nil"/>
                    <w:tr2bl w:val="nil"/>
                  </w:tcBorders>
                  <w:tcMar>
                    <w:top w:w="0" w:type="dxa"/>
                    <w:left w:w="0" w:type="dxa"/>
                    <w:bottom w:w="0" w:type="dxa"/>
                    <w:right w:w="0" w:type="dxa"/>
                  </w:tcMar>
                  <w:vAlign w:val="center"/>
                </w:tcPr>
                <w:p w14:paraId="1E0C48C8">
                  <w:pPr>
                    <w:snapToGrid w:val="0"/>
                    <w:spacing w:line="240" w:lineRule="auto"/>
                    <w:jc w:val="center"/>
                    <w:rPr>
                      <w:color w:val="000000" w:themeColor="text1"/>
                      <w:sz w:val="21"/>
                      <w:szCs w:val="21"/>
                      <w:highlight w:val="none"/>
                      <w:u w:val="wave"/>
                      <w14:textFill>
                        <w14:solidFill>
                          <w14:schemeClr w14:val="tx1"/>
                        </w14:solidFill>
                      </w14:textFill>
                    </w:rPr>
                  </w:pPr>
                  <w:r>
                    <w:rPr>
                      <w:rFonts w:hint="eastAsia"/>
                      <w:color w:val="000000" w:themeColor="text1"/>
                      <w:sz w:val="21"/>
                      <w:szCs w:val="21"/>
                      <w:highlight w:val="none"/>
                      <w:u w:val="wave"/>
                      <w14:textFill>
                        <w14:solidFill>
                          <w14:schemeClr w14:val="tx1"/>
                        </w14:solidFill>
                      </w14:textFill>
                    </w:rPr>
                    <w:t>/</w:t>
                  </w:r>
                </w:p>
              </w:tc>
              <w:tc>
                <w:tcPr>
                  <w:tcW w:w="942" w:type="dxa"/>
                  <w:vMerge w:val="continue"/>
                  <w:tcBorders>
                    <w:tl2br w:val="nil"/>
                    <w:tr2bl w:val="nil"/>
                  </w:tcBorders>
                  <w:tcMar>
                    <w:top w:w="0" w:type="dxa"/>
                    <w:left w:w="0" w:type="dxa"/>
                    <w:bottom w:w="0" w:type="dxa"/>
                    <w:right w:w="0" w:type="dxa"/>
                  </w:tcMar>
                  <w:vAlign w:val="center"/>
                </w:tcPr>
                <w:p w14:paraId="462A3A5D">
                  <w:pPr>
                    <w:pStyle w:val="70"/>
                    <w:spacing w:before="0" w:after="0"/>
                    <w:rPr>
                      <w:rFonts w:ascii="Times New Roman" w:hAnsi="Times New Roman"/>
                      <w:color w:val="000000" w:themeColor="text1"/>
                      <w:szCs w:val="21"/>
                      <w:highlight w:val="none"/>
                      <w:u w:val="wave"/>
                      <w14:textFill>
                        <w14:solidFill>
                          <w14:schemeClr w14:val="tx1"/>
                        </w14:solidFill>
                      </w14:textFill>
                    </w:rPr>
                  </w:pPr>
                </w:p>
              </w:tc>
              <w:tc>
                <w:tcPr>
                  <w:tcW w:w="808" w:type="dxa"/>
                  <w:vMerge w:val="continue"/>
                  <w:tcBorders>
                    <w:tl2br w:val="nil"/>
                    <w:tr2bl w:val="nil"/>
                  </w:tcBorders>
                  <w:tcMar>
                    <w:top w:w="0" w:type="dxa"/>
                    <w:left w:w="0" w:type="dxa"/>
                    <w:bottom w:w="0" w:type="dxa"/>
                    <w:right w:w="0" w:type="dxa"/>
                  </w:tcMar>
                  <w:vAlign w:val="center"/>
                </w:tcPr>
                <w:p w14:paraId="56BC7763">
                  <w:pPr>
                    <w:pStyle w:val="70"/>
                    <w:spacing w:before="0" w:after="0"/>
                    <w:rPr>
                      <w:rFonts w:ascii="Times New Roman" w:hAnsi="Times New Roman"/>
                      <w:color w:val="000000" w:themeColor="text1"/>
                      <w:szCs w:val="21"/>
                      <w:highlight w:val="none"/>
                      <w:u w:val="wave"/>
                      <w14:textFill>
                        <w14:solidFill>
                          <w14:schemeClr w14:val="tx1"/>
                        </w14:solidFill>
                      </w14:textFill>
                    </w:rPr>
                  </w:pPr>
                </w:p>
              </w:tc>
              <w:tc>
                <w:tcPr>
                  <w:tcW w:w="589" w:type="dxa"/>
                  <w:tcBorders>
                    <w:tl2br w:val="nil"/>
                    <w:tr2bl w:val="nil"/>
                  </w:tcBorders>
                  <w:tcMar>
                    <w:top w:w="0" w:type="dxa"/>
                    <w:left w:w="0" w:type="dxa"/>
                    <w:bottom w:w="0" w:type="dxa"/>
                    <w:right w:w="0" w:type="dxa"/>
                  </w:tcMar>
                  <w:vAlign w:val="center"/>
                </w:tcPr>
                <w:p w14:paraId="67BFF93F">
                  <w:pPr>
                    <w:snapToGrid w:val="0"/>
                    <w:spacing w:line="240" w:lineRule="auto"/>
                    <w:jc w:val="center"/>
                    <w:rPr>
                      <w:rFonts w:hint="eastAsia"/>
                      <w:color w:val="000000" w:themeColor="text1"/>
                      <w:sz w:val="21"/>
                      <w:szCs w:val="21"/>
                      <w:highlight w:val="none"/>
                      <w:u w:val="wave"/>
                      <w:lang w:val="en-US" w:eastAsia="zh-CN"/>
                      <w14:textFill>
                        <w14:solidFill>
                          <w14:schemeClr w14:val="tx1"/>
                        </w14:solidFill>
                      </w14:textFill>
                    </w:rPr>
                  </w:pPr>
                  <w:r>
                    <w:rPr>
                      <w:rFonts w:hint="eastAsia"/>
                      <w:color w:val="000000" w:themeColor="text1"/>
                      <w:sz w:val="21"/>
                      <w:szCs w:val="21"/>
                      <w:highlight w:val="none"/>
                      <w:u w:val="wave"/>
                      <w:lang w:val="en-US" w:eastAsia="zh-CN"/>
                      <w14:textFill>
                        <w14:solidFill>
                          <w14:schemeClr w14:val="tx1"/>
                        </w14:solidFill>
                      </w14:textFill>
                    </w:rPr>
                    <w:t>30.61</w:t>
                  </w:r>
                </w:p>
              </w:tc>
              <w:tc>
                <w:tcPr>
                  <w:tcW w:w="564" w:type="dxa"/>
                  <w:tcBorders>
                    <w:tl2br w:val="nil"/>
                    <w:tr2bl w:val="nil"/>
                  </w:tcBorders>
                  <w:tcMar>
                    <w:top w:w="0" w:type="dxa"/>
                    <w:left w:w="0" w:type="dxa"/>
                    <w:bottom w:w="0" w:type="dxa"/>
                    <w:right w:w="0" w:type="dxa"/>
                  </w:tcMar>
                  <w:vAlign w:val="center"/>
                </w:tcPr>
                <w:p w14:paraId="61E318AC">
                  <w:pPr>
                    <w:snapToGrid w:val="0"/>
                    <w:spacing w:line="240" w:lineRule="auto"/>
                    <w:jc w:val="center"/>
                    <w:rPr>
                      <w:rFonts w:hint="eastAsia"/>
                      <w:color w:val="000000" w:themeColor="text1"/>
                      <w:sz w:val="21"/>
                      <w:szCs w:val="21"/>
                      <w:highlight w:val="none"/>
                      <w:u w:val="wave"/>
                      <w:lang w:val="en-US" w:eastAsia="zh-CN"/>
                      <w14:textFill>
                        <w14:solidFill>
                          <w14:schemeClr w14:val="tx1"/>
                        </w14:solidFill>
                      </w14:textFill>
                    </w:rPr>
                  </w:pPr>
                  <w:r>
                    <w:rPr>
                      <w:rFonts w:hint="eastAsia"/>
                      <w:color w:val="000000" w:themeColor="text1"/>
                      <w:sz w:val="21"/>
                      <w:szCs w:val="21"/>
                      <w:highlight w:val="none"/>
                      <w:u w:val="wave"/>
                      <w:lang w:val="en-US" w:eastAsia="zh-CN"/>
                      <w14:textFill>
                        <w14:solidFill>
                          <w14:schemeClr w14:val="tx1"/>
                        </w14:solidFill>
                      </w14:textFill>
                    </w:rPr>
                    <w:t>30.61</w:t>
                  </w:r>
                </w:p>
              </w:tc>
              <w:tc>
                <w:tcPr>
                  <w:tcW w:w="616" w:type="dxa"/>
                  <w:tcBorders>
                    <w:tl2br w:val="nil"/>
                    <w:tr2bl w:val="nil"/>
                  </w:tcBorders>
                  <w:tcMar>
                    <w:top w:w="0" w:type="dxa"/>
                    <w:left w:w="0" w:type="dxa"/>
                    <w:bottom w:w="0" w:type="dxa"/>
                    <w:right w:w="0" w:type="dxa"/>
                  </w:tcMar>
                  <w:vAlign w:val="center"/>
                </w:tcPr>
                <w:p w14:paraId="7D59F5D3">
                  <w:pPr>
                    <w:snapToGrid w:val="0"/>
                    <w:spacing w:line="240" w:lineRule="auto"/>
                    <w:jc w:val="center"/>
                    <w:rPr>
                      <w:rFonts w:hint="eastAsia"/>
                      <w:color w:val="000000" w:themeColor="text1"/>
                      <w:sz w:val="21"/>
                      <w:szCs w:val="21"/>
                      <w:highlight w:val="none"/>
                      <w:u w:val="wave"/>
                      <w:lang w:val="en-US" w:eastAsia="zh-CN"/>
                      <w14:textFill>
                        <w14:solidFill>
                          <w14:schemeClr w14:val="tx1"/>
                        </w14:solidFill>
                      </w14:textFill>
                    </w:rPr>
                  </w:pPr>
                  <w:r>
                    <w:rPr>
                      <w:rFonts w:hint="eastAsia"/>
                      <w:color w:val="000000" w:themeColor="text1"/>
                      <w:sz w:val="21"/>
                      <w:szCs w:val="21"/>
                      <w:highlight w:val="none"/>
                      <w:u w:val="wave"/>
                      <w:lang w:val="en-US" w:eastAsia="zh-CN"/>
                      <w14:textFill>
                        <w14:solidFill>
                          <w14:schemeClr w14:val="tx1"/>
                        </w14:solidFill>
                      </w14:textFill>
                    </w:rPr>
                    <w:t>达标</w:t>
                  </w:r>
                </w:p>
              </w:tc>
              <w:tc>
                <w:tcPr>
                  <w:tcW w:w="540" w:type="dxa"/>
                  <w:tcBorders>
                    <w:tl2br w:val="nil"/>
                    <w:tr2bl w:val="nil"/>
                  </w:tcBorders>
                  <w:tcMar>
                    <w:top w:w="0" w:type="dxa"/>
                    <w:left w:w="0" w:type="dxa"/>
                    <w:bottom w:w="0" w:type="dxa"/>
                    <w:right w:w="0" w:type="dxa"/>
                  </w:tcMar>
                  <w:vAlign w:val="center"/>
                </w:tcPr>
                <w:p w14:paraId="2B88465B">
                  <w:pPr>
                    <w:widowControl/>
                    <w:autoSpaceDE w:val="0"/>
                    <w:autoSpaceDN w:val="0"/>
                    <w:adjustRightInd w:val="0"/>
                    <w:snapToGrid w:val="0"/>
                    <w:spacing w:line="240" w:lineRule="auto"/>
                    <w:jc w:val="center"/>
                    <w:textAlignment w:val="bottom"/>
                    <w:rPr>
                      <w:color w:val="000000" w:themeColor="text1"/>
                      <w:sz w:val="21"/>
                      <w:szCs w:val="21"/>
                      <w:highlight w:val="none"/>
                      <w:u w:val="wave"/>
                      <w14:textFill>
                        <w14:solidFill>
                          <w14:schemeClr w14:val="tx1"/>
                        </w14:solidFill>
                      </w14:textFill>
                    </w:rPr>
                  </w:pPr>
                  <w:r>
                    <w:rPr>
                      <w:color w:val="000000" w:themeColor="text1"/>
                      <w:sz w:val="21"/>
                      <w:szCs w:val="21"/>
                      <w:highlight w:val="none"/>
                      <w:u w:val="wave"/>
                      <w14:textFill>
                        <w14:solidFill>
                          <w14:schemeClr w14:val="tx1"/>
                        </w14:solidFill>
                      </w14:textFill>
                    </w:rPr>
                    <w:t>达标</w:t>
                  </w:r>
                </w:p>
              </w:tc>
            </w:tr>
            <w:tr w14:paraId="6CAA9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9" w:type="dxa"/>
                  <w:tcBorders>
                    <w:tl2br w:val="nil"/>
                    <w:tr2bl w:val="nil"/>
                  </w:tcBorders>
                  <w:tcMar>
                    <w:top w:w="0" w:type="dxa"/>
                    <w:left w:w="0" w:type="dxa"/>
                    <w:bottom w:w="0" w:type="dxa"/>
                    <w:right w:w="0" w:type="dxa"/>
                  </w:tcMar>
                  <w:vAlign w:val="center"/>
                </w:tcPr>
                <w:p w14:paraId="689A98B3">
                  <w:pPr>
                    <w:pStyle w:val="70"/>
                    <w:spacing w:before="0" w:after="0"/>
                    <w:rPr>
                      <w:rFonts w:ascii="Times New Roman" w:hAnsi="Times New Roman"/>
                      <w:color w:val="000000" w:themeColor="text1"/>
                      <w:szCs w:val="21"/>
                      <w:highlight w:val="none"/>
                      <w:u w:val="wave"/>
                      <w14:textFill>
                        <w14:solidFill>
                          <w14:schemeClr w14:val="tx1"/>
                        </w14:solidFill>
                      </w14:textFill>
                    </w:rPr>
                  </w:pPr>
                  <w:r>
                    <w:rPr>
                      <w:rFonts w:ascii="Times New Roman" w:hAnsi="Times New Roman"/>
                      <w:color w:val="000000" w:themeColor="text1"/>
                      <w:szCs w:val="21"/>
                      <w:highlight w:val="none"/>
                      <w:u w:val="wave"/>
                      <w14:textFill>
                        <w14:solidFill>
                          <w14:schemeClr w14:val="tx1"/>
                        </w14:solidFill>
                      </w14:textFill>
                    </w:rPr>
                    <w:t>3</w:t>
                  </w:r>
                </w:p>
              </w:tc>
              <w:tc>
                <w:tcPr>
                  <w:tcW w:w="1335" w:type="dxa"/>
                  <w:tcBorders>
                    <w:tl2br w:val="nil"/>
                    <w:tr2bl w:val="nil"/>
                  </w:tcBorders>
                  <w:tcMar>
                    <w:top w:w="0" w:type="dxa"/>
                    <w:left w:w="0" w:type="dxa"/>
                    <w:bottom w:w="0" w:type="dxa"/>
                    <w:right w:w="0" w:type="dxa"/>
                  </w:tcMar>
                  <w:vAlign w:val="center"/>
                </w:tcPr>
                <w:p w14:paraId="2E6122E6">
                  <w:pPr>
                    <w:pStyle w:val="70"/>
                    <w:spacing w:before="0" w:after="0"/>
                    <w:rPr>
                      <w:rFonts w:ascii="Times New Roman" w:hAnsi="Times New Roman"/>
                      <w:color w:val="000000" w:themeColor="text1"/>
                      <w:szCs w:val="21"/>
                      <w:highlight w:val="none"/>
                      <w:u w:val="wave"/>
                      <w14:textFill>
                        <w14:solidFill>
                          <w14:schemeClr w14:val="tx1"/>
                        </w14:solidFill>
                      </w14:textFill>
                    </w:rPr>
                  </w:pPr>
                  <w:r>
                    <w:rPr>
                      <w:rFonts w:ascii="Times New Roman" w:hAnsi="Times New Roman"/>
                      <w:color w:val="000000" w:themeColor="text1"/>
                      <w:szCs w:val="21"/>
                      <w:highlight w:val="none"/>
                      <w:u w:val="wave"/>
                      <w14:textFill>
                        <w14:solidFill>
                          <w14:schemeClr w14:val="tx1"/>
                        </w14:solidFill>
                      </w14:textFill>
                    </w:rPr>
                    <w:t>升压站西侧</w:t>
                  </w:r>
                </w:p>
              </w:tc>
              <w:tc>
                <w:tcPr>
                  <w:tcW w:w="514" w:type="dxa"/>
                  <w:tcBorders>
                    <w:tl2br w:val="nil"/>
                    <w:tr2bl w:val="nil"/>
                  </w:tcBorders>
                  <w:tcMar>
                    <w:top w:w="0" w:type="dxa"/>
                    <w:left w:w="0" w:type="dxa"/>
                    <w:bottom w:w="0" w:type="dxa"/>
                    <w:right w:w="0" w:type="dxa"/>
                  </w:tcMar>
                  <w:vAlign w:val="center"/>
                </w:tcPr>
                <w:p w14:paraId="09785D92">
                  <w:pPr>
                    <w:snapToGrid w:val="0"/>
                    <w:spacing w:line="240" w:lineRule="auto"/>
                    <w:jc w:val="center"/>
                    <w:rPr>
                      <w:rFonts w:hint="default" w:eastAsia="宋体"/>
                      <w:color w:val="000000" w:themeColor="text1"/>
                      <w:sz w:val="21"/>
                      <w:szCs w:val="21"/>
                      <w:highlight w:val="none"/>
                      <w:u w:val="wave"/>
                      <w:lang w:val="en-US" w:eastAsia="zh-CN"/>
                      <w14:textFill>
                        <w14:solidFill>
                          <w14:schemeClr w14:val="tx1"/>
                        </w14:solidFill>
                      </w14:textFill>
                    </w:rPr>
                  </w:pPr>
                  <w:r>
                    <w:rPr>
                      <w:rFonts w:hint="eastAsia"/>
                      <w:color w:val="000000" w:themeColor="text1"/>
                      <w:sz w:val="21"/>
                      <w:szCs w:val="21"/>
                      <w:highlight w:val="none"/>
                      <w:u w:val="wave"/>
                      <w:lang w:val="en-US" w:eastAsia="zh-CN"/>
                      <w14:textFill>
                        <w14:solidFill>
                          <w14:schemeClr w14:val="tx1"/>
                        </w14:solidFill>
                      </w14:textFill>
                    </w:rPr>
                    <w:t>35</w:t>
                  </w:r>
                </w:p>
              </w:tc>
              <w:tc>
                <w:tcPr>
                  <w:tcW w:w="534" w:type="dxa"/>
                  <w:tcBorders>
                    <w:tl2br w:val="nil"/>
                    <w:tr2bl w:val="nil"/>
                  </w:tcBorders>
                  <w:tcMar>
                    <w:top w:w="0" w:type="dxa"/>
                    <w:left w:w="0" w:type="dxa"/>
                    <w:bottom w:w="0" w:type="dxa"/>
                    <w:right w:w="0" w:type="dxa"/>
                  </w:tcMar>
                  <w:vAlign w:val="center"/>
                </w:tcPr>
                <w:p w14:paraId="2F49BD8F">
                  <w:pPr>
                    <w:snapToGrid w:val="0"/>
                    <w:spacing w:line="240" w:lineRule="auto"/>
                    <w:jc w:val="center"/>
                    <w:rPr>
                      <w:rFonts w:hint="default" w:eastAsia="宋体"/>
                      <w:color w:val="000000" w:themeColor="text1"/>
                      <w:sz w:val="21"/>
                      <w:szCs w:val="21"/>
                      <w:highlight w:val="none"/>
                      <w:u w:val="wave"/>
                      <w:lang w:val="en-US" w:eastAsia="zh-CN"/>
                      <w14:textFill>
                        <w14:solidFill>
                          <w14:schemeClr w14:val="tx1"/>
                        </w14:solidFill>
                      </w14:textFill>
                    </w:rPr>
                  </w:pPr>
                  <w:r>
                    <w:rPr>
                      <w:rFonts w:hint="eastAsia"/>
                      <w:color w:val="000000" w:themeColor="text1"/>
                      <w:sz w:val="21"/>
                      <w:szCs w:val="21"/>
                      <w:highlight w:val="none"/>
                      <w:u w:val="wave"/>
                      <w:lang w:val="en-US" w:eastAsia="zh-CN"/>
                      <w14:textFill>
                        <w14:solidFill>
                          <w14:schemeClr w14:val="tx1"/>
                        </w14:solidFill>
                      </w14:textFill>
                    </w:rPr>
                    <w:t>32</w:t>
                  </w:r>
                </w:p>
              </w:tc>
              <w:tc>
                <w:tcPr>
                  <w:tcW w:w="473" w:type="dxa"/>
                  <w:tcBorders>
                    <w:tl2br w:val="nil"/>
                    <w:tr2bl w:val="nil"/>
                  </w:tcBorders>
                  <w:tcMar>
                    <w:top w:w="0" w:type="dxa"/>
                    <w:left w:w="0" w:type="dxa"/>
                    <w:bottom w:w="0" w:type="dxa"/>
                    <w:right w:w="0" w:type="dxa"/>
                  </w:tcMar>
                  <w:vAlign w:val="center"/>
                </w:tcPr>
                <w:p w14:paraId="06CA2665">
                  <w:pPr>
                    <w:snapToGrid w:val="0"/>
                    <w:spacing w:line="240" w:lineRule="auto"/>
                    <w:jc w:val="center"/>
                    <w:rPr>
                      <w:color w:val="000000" w:themeColor="text1"/>
                      <w:sz w:val="21"/>
                      <w:szCs w:val="21"/>
                      <w:highlight w:val="none"/>
                      <w:u w:val="wave"/>
                      <w14:textFill>
                        <w14:solidFill>
                          <w14:schemeClr w14:val="tx1"/>
                        </w14:solidFill>
                      </w14:textFill>
                    </w:rPr>
                  </w:pPr>
                  <w:r>
                    <w:rPr>
                      <w:rFonts w:hint="eastAsia"/>
                      <w:color w:val="000000" w:themeColor="text1"/>
                      <w:sz w:val="21"/>
                      <w:szCs w:val="21"/>
                      <w:highlight w:val="none"/>
                      <w:u w:val="wave"/>
                      <w14:textFill>
                        <w14:solidFill>
                          <w14:schemeClr w14:val="tx1"/>
                        </w14:solidFill>
                      </w14:textFill>
                    </w:rPr>
                    <w:t>/</w:t>
                  </w:r>
                </w:p>
              </w:tc>
              <w:tc>
                <w:tcPr>
                  <w:tcW w:w="516" w:type="dxa"/>
                  <w:tcBorders>
                    <w:tl2br w:val="nil"/>
                    <w:tr2bl w:val="nil"/>
                  </w:tcBorders>
                  <w:tcMar>
                    <w:top w:w="0" w:type="dxa"/>
                    <w:left w:w="0" w:type="dxa"/>
                    <w:bottom w:w="0" w:type="dxa"/>
                    <w:right w:w="0" w:type="dxa"/>
                  </w:tcMar>
                  <w:vAlign w:val="center"/>
                </w:tcPr>
                <w:p w14:paraId="1388755F">
                  <w:pPr>
                    <w:snapToGrid w:val="0"/>
                    <w:spacing w:line="240" w:lineRule="auto"/>
                    <w:jc w:val="center"/>
                    <w:rPr>
                      <w:color w:val="000000" w:themeColor="text1"/>
                      <w:sz w:val="21"/>
                      <w:szCs w:val="21"/>
                      <w:highlight w:val="none"/>
                      <w:u w:val="wave"/>
                      <w14:textFill>
                        <w14:solidFill>
                          <w14:schemeClr w14:val="tx1"/>
                        </w14:solidFill>
                      </w14:textFill>
                    </w:rPr>
                  </w:pPr>
                  <w:r>
                    <w:rPr>
                      <w:rFonts w:hint="eastAsia"/>
                      <w:color w:val="000000" w:themeColor="text1"/>
                      <w:sz w:val="21"/>
                      <w:szCs w:val="21"/>
                      <w:highlight w:val="none"/>
                      <w:u w:val="wave"/>
                      <w14:textFill>
                        <w14:solidFill>
                          <w14:schemeClr w14:val="tx1"/>
                        </w14:solidFill>
                      </w14:textFill>
                    </w:rPr>
                    <w:t>/</w:t>
                  </w:r>
                </w:p>
              </w:tc>
              <w:tc>
                <w:tcPr>
                  <w:tcW w:w="942" w:type="dxa"/>
                  <w:vMerge w:val="continue"/>
                  <w:tcBorders>
                    <w:tl2br w:val="nil"/>
                    <w:tr2bl w:val="nil"/>
                  </w:tcBorders>
                  <w:tcMar>
                    <w:top w:w="0" w:type="dxa"/>
                    <w:left w:w="0" w:type="dxa"/>
                    <w:bottom w:w="0" w:type="dxa"/>
                    <w:right w:w="0" w:type="dxa"/>
                  </w:tcMar>
                  <w:vAlign w:val="center"/>
                </w:tcPr>
                <w:p w14:paraId="37EF50CD">
                  <w:pPr>
                    <w:pStyle w:val="70"/>
                    <w:spacing w:before="0" w:after="0"/>
                    <w:rPr>
                      <w:rFonts w:ascii="Times New Roman" w:hAnsi="Times New Roman"/>
                      <w:color w:val="000000" w:themeColor="text1"/>
                      <w:szCs w:val="21"/>
                      <w:highlight w:val="none"/>
                      <w:u w:val="wave"/>
                      <w14:textFill>
                        <w14:solidFill>
                          <w14:schemeClr w14:val="tx1"/>
                        </w14:solidFill>
                      </w14:textFill>
                    </w:rPr>
                  </w:pPr>
                </w:p>
              </w:tc>
              <w:tc>
                <w:tcPr>
                  <w:tcW w:w="808" w:type="dxa"/>
                  <w:vMerge w:val="continue"/>
                  <w:tcBorders>
                    <w:tl2br w:val="nil"/>
                    <w:tr2bl w:val="nil"/>
                  </w:tcBorders>
                  <w:tcMar>
                    <w:top w:w="0" w:type="dxa"/>
                    <w:left w:w="0" w:type="dxa"/>
                    <w:bottom w:w="0" w:type="dxa"/>
                    <w:right w:w="0" w:type="dxa"/>
                  </w:tcMar>
                  <w:vAlign w:val="center"/>
                </w:tcPr>
                <w:p w14:paraId="589D9CD0">
                  <w:pPr>
                    <w:pStyle w:val="70"/>
                    <w:spacing w:before="0" w:after="0"/>
                    <w:rPr>
                      <w:rFonts w:ascii="Times New Roman" w:hAnsi="Times New Roman"/>
                      <w:color w:val="000000" w:themeColor="text1"/>
                      <w:szCs w:val="21"/>
                      <w:highlight w:val="none"/>
                      <w:u w:val="wave"/>
                      <w14:textFill>
                        <w14:solidFill>
                          <w14:schemeClr w14:val="tx1"/>
                        </w14:solidFill>
                      </w14:textFill>
                    </w:rPr>
                  </w:pPr>
                </w:p>
              </w:tc>
              <w:tc>
                <w:tcPr>
                  <w:tcW w:w="589" w:type="dxa"/>
                  <w:tcBorders>
                    <w:tl2br w:val="nil"/>
                    <w:tr2bl w:val="nil"/>
                  </w:tcBorders>
                  <w:tcMar>
                    <w:top w:w="0" w:type="dxa"/>
                    <w:left w:w="0" w:type="dxa"/>
                    <w:bottom w:w="0" w:type="dxa"/>
                    <w:right w:w="0" w:type="dxa"/>
                  </w:tcMar>
                  <w:vAlign w:val="center"/>
                </w:tcPr>
                <w:p w14:paraId="73209A68">
                  <w:pPr>
                    <w:snapToGrid w:val="0"/>
                    <w:spacing w:line="240" w:lineRule="auto"/>
                    <w:jc w:val="center"/>
                    <w:rPr>
                      <w:rFonts w:hint="eastAsia"/>
                      <w:color w:val="000000" w:themeColor="text1"/>
                      <w:sz w:val="21"/>
                      <w:szCs w:val="21"/>
                      <w:highlight w:val="none"/>
                      <w:u w:val="wave"/>
                      <w:lang w:val="en-US" w:eastAsia="zh-CN"/>
                      <w14:textFill>
                        <w14:solidFill>
                          <w14:schemeClr w14:val="tx1"/>
                        </w14:solidFill>
                      </w14:textFill>
                    </w:rPr>
                  </w:pPr>
                  <w:r>
                    <w:rPr>
                      <w:rFonts w:hint="eastAsia"/>
                      <w:color w:val="000000" w:themeColor="text1"/>
                      <w:sz w:val="21"/>
                      <w:szCs w:val="21"/>
                      <w:highlight w:val="none"/>
                      <w:u w:val="wave"/>
                      <w:lang w:val="en-US" w:eastAsia="zh-CN"/>
                      <w14:textFill>
                        <w14:solidFill>
                          <w14:schemeClr w14:val="tx1"/>
                        </w14:solidFill>
                      </w14:textFill>
                    </w:rPr>
                    <w:t>32.57</w:t>
                  </w:r>
                </w:p>
              </w:tc>
              <w:tc>
                <w:tcPr>
                  <w:tcW w:w="564" w:type="dxa"/>
                  <w:tcBorders>
                    <w:tl2br w:val="nil"/>
                    <w:tr2bl w:val="nil"/>
                  </w:tcBorders>
                  <w:tcMar>
                    <w:top w:w="0" w:type="dxa"/>
                    <w:left w:w="0" w:type="dxa"/>
                    <w:bottom w:w="0" w:type="dxa"/>
                    <w:right w:w="0" w:type="dxa"/>
                  </w:tcMar>
                  <w:vAlign w:val="center"/>
                </w:tcPr>
                <w:p w14:paraId="525C3F01">
                  <w:pPr>
                    <w:snapToGrid w:val="0"/>
                    <w:spacing w:line="240" w:lineRule="auto"/>
                    <w:jc w:val="center"/>
                    <w:rPr>
                      <w:rFonts w:hint="eastAsia"/>
                      <w:color w:val="000000" w:themeColor="text1"/>
                      <w:sz w:val="21"/>
                      <w:szCs w:val="21"/>
                      <w:highlight w:val="none"/>
                      <w:u w:val="wave"/>
                      <w:lang w:val="en-US" w:eastAsia="zh-CN"/>
                      <w14:textFill>
                        <w14:solidFill>
                          <w14:schemeClr w14:val="tx1"/>
                        </w14:solidFill>
                      </w14:textFill>
                    </w:rPr>
                  </w:pPr>
                  <w:r>
                    <w:rPr>
                      <w:rFonts w:hint="eastAsia"/>
                      <w:color w:val="000000" w:themeColor="text1"/>
                      <w:sz w:val="21"/>
                      <w:szCs w:val="21"/>
                      <w:highlight w:val="none"/>
                      <w:u w:val="wave"/>
                      <w:lang w:val="en-US" w:eastAsia="zh-CN"/>
                      <w14:textFill>
                        <w14:solidFill>
                          <w14:schemeClr w14:val="tx1"/>
                        </w14:solidFill>
                      </w14:textFill>
                    </w:rPr>
                    <w:t>32.57</w:t>
                  </w:r>
                </w:p>
              </w:tc>
              <w:tc>
                <w:tcPr>
                  <w:tcW w:w="616" w:type="dxa"/>
                  <w:tcBorders>
                    <w:tl2br w:val="nil"/>
                    <w:tr2bl w:val="nil"/>
                  </w:tcBorders>
                  <w:tcMar>
                    <w:top w:w="0" w:type="dxa"/>
                    <w:left w:w="0" w:type="dxa"/>
                    <w:bottom w:w="0" w:type="dxa"/>
                    <w:right w:w="0" w:type="dxa"/>
                  </w:tcMar>
                  <w:vAlign w:val="center"/>
                </w:tcPr>
                <w:p w14:paraId="52A4F049">
                  <w:pPr>
                    <w:snapToGrid w:val="0"/>
                    <w:spacing w:line="240" w:lineRule="auto"/>
                    <w:jc w:val="center"/>
                    <w:rPr>
                      <w:rFonts w:hint="eastAsia"/>
                      <w:color w:val="000000" w:themeColor="text1"/>
                      <w:sz w:val="21"/>
                      <w:szCs w:val="21"/>
                      <w:highlight w:val="none"/>
                      <w:u w:val="wave"/>
                      <w:lang w:val="en-US" w:eastAsia="zh-CN"/>
                      <w14:textFill>
                        <w14:solidFill>
                          <w14:schemeClr w14:val="tx1"/>
                        </w14:solidFill>
                      </w14:textFill>
                    </w:rPr>
                  </w:pPr>
                  <w:r>
                    <w:rPr>
                      <w:rFonts w:hint="eastAsia"/>
                      <w:color w:val="000000" w:themeColor="text1"/>
                      <w:sz w:val="21"/>
                      <w:szCs w:val="21"/>
                      <w:highlight w:val="none"/>
                      <w:u w:val="wave"/>
                      <w:lang w:val="en-US" w:eastAsia="zh-CN"/>
                      <w14:textFill>
                        <w14:solidFill>
                          <w14:schemeClr w14:val="tx1"/>
                        </w14:solidFill>
                      </w14:textFill>
                    </w:rPr>
                    <w:t>达标</w:t>
                  </w:r>
                </w:p>
              </w:tc>
              <w:tc>
                <w:tcPr>
                  <w:tcW w:w="540" w:type="dxa"/>
                  <w:tcBorders>
                    <w:tl2br w:val="nil"/>
                    <w:tr2bl w:val="nil"/>
                  </w:tcBorders>
                  <w:tcMar>
                    <w:top w:w="0" w:type="dxa"/>
                    <w:left w:w="0" w:type="dxa"/>
                    <w:bottom w:w="0" w:type="dxa"/>
                    <w:right w:w="0" w:type="dxa"/>
                  </w:tcMar>
                  <w:vAlign w:val="center"/>
                </w:tcPr>
                <w:p w14:paraId="2D45C0FA">
                  <w:pPr>
                    <w:widowControl/>
                    <w:autoSpaceDE w:val="0"/>
                    <w:autoSpaceDN w:val="0"/>
                    <w:adjustRightInd w:val="0"/>
                    <w:snapToGrid w:val="0"/>
                    <w:spacing w:line="240" w:lineRule="auto"/>
                    <w:jc w:val="center"/>
                    <w:textAlignment w:val="bottom"/>
                    <w:rPr>
                      <w:color w:val="000000" w:themeColor="text1"/>
                      <w:sz w:val="21"/>
                      <w:szCs w:val="21"/>
                      <w:highlight w:val="none"/>
                      <w:u w:val="wave"/>
                      <w14:textFill>
                        <w14:solidFill>
                          <w14:schemeClr w14:val="tx1"/>
                        </w14:solidFill>
                      </w14:textFill>
                    </w:rPr>
                  </w:pPr>
                  <w:r>
                    <w:rPr>
                      <w:color w:val="000000" w:themeColor="text1"/>
                      <w:sz w:val="21"/>
                      <w:szCs w:val="21"/>
                      <w:highlight w:val="none"/>
                      <w:u w:val="wave"/>
                      <w14:textFill>
                        <w14:solidFill>
                          <w14:schemeClr w14:val="tx1"/>
                        </w14:solidFill>
                      </w14:textFill>
                    </w:rPr>
                    <w:t>达标</w:t>
                  </w:r>
                </w:p>
              </w:tc>
            </w:tr>
            <w:tr w14:paraId="58735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9" w:type="dxa"/>
                  <w:tcBorders>
                    <w:tl2br w:val="nil"/>
                    <w:tr2bl w:val="nil"/>
                  </w:tcBorders>
                  <w:tcMar>
                    <w:top w:w="0" w:type="dxa"/>
                    <w:left w:w="0" w:type="dxa"/>
                    <w:bottom w:w="0" w:type="dxa"/>
                    <w:right w:w="0" w:type="dxa"/>
                  </w:tcMar>
                  <w:vAlign w:val="center"/>
                </w:tcPr>
                <w:p w14:paraId="74C64C6B">
                  <w:pPr>
                    <w:pStyle w:val="70"/>
                    <w:spacing w:before="0" w:after="0"/>
                    <w:rPr>
                      <w:rFonts w:ascii="Times New Roman" w:hAnsi="Times New Roman"/>
                      <w:color w:val="000000" w:themeColor="text1"/>
                      <w:szCs w:val="21"/>
                      <w:highlight w:val="none"/>
                      <w:u w:val="wave"/>
                      <w14:textFill>
                        <w14:solidFill>
                          <w14:schemeClr w14:val="tx1"/>
                        </w14:solidFill>
                      </w14:textFill>
                    </w:rPr>
                  </w:pPr>
                  <w:r>
                    <w:rPr>
                      <w:rFonts w:ascii="Times New Roman" w:hAnsi="Times New Roman"/>
                      <w:color w:val="000000" w:themeColor="text1"/>
                      <w:szCs w:val="21"/>
                      <w:highlight w:val="none"/>
                      <w:u w:val="wave"/>
                      <w14:textFill>
                        <w14:solidFill>
                          <w14:schemeClr w14:val="tx1"/>
                        </w14:solidFill>
                      </w14:textFill>
                    </w:rPr>
                    <w:t>4</w:t>
                  </w:r>
                </w:p>
              </w:tc>
              <w:tc>
                <w:tcPr>
                  <w:tcW w:w="1335" w:type="dxa"/>
                  <w:tcBorders>
                    <w:tl2br w:val="nil"/>
                    <w:tr2bl w:val="nil"/>
                  </w:tcBorders>
                  <w:tcMar>
                    <w:top w:w="0" w:type="dxa"/>
                    <w:left w:w="0" w:type="dxa"/>
                    <w:bottom w:w="0" w:type="dxa"/>
                    <w:right w:w="0" w:type="dxa"/>
                  </w:tcMar>
                  <w:vAlign w:val="center"/>
                </w:tcPr>
                <w:p w14:paraId="2C511782">
                  <w:pPr>
                    <w:pStyle w:val="70"/>
                    <w:spacing w:before="0" w:after="0"/>
                    <w:rPr>
                      <w:rFonts w:ascii="Times New Roman" w:hAnsi="Times New Roman"/>
                      <w:color w:val="000000" w:themeColor="text1"/>
                      <w:szCs w:val="21"/>
                      <w:highlight w:val="none"/>
                      <w:u w:val="wave"/>
                      <w14:textFill>
                        <w14:solidFill>
                          <w14:schemeClr w14:val="tx1"/>
                        </w14:solidFill>
                      </w14:textFill>
                    </w:rPr>
                  </w:pPr>
                  <w:r>
                    <w:rPr>
                      <w:rFonts w:ascii="Times New Roman" w:hAnsi="Times New Roman"/>
                      <w:color w:val="000000" w:themeColor="text1"/>
                      <w:szCs w:val="21"/>
                      <w:highlight w:val="none"/>
                      <w:u w:val="wave"/>
                      <w14:textFill>
                        <w14:solidFill>
                          <w14:schemeClr w14:val="tx1"/>
                        </w14:solidFill>
                      </w14:textFill>
                    </w:rPr>
                    <w:t>升压站北侧</w:t>
                  </w:r>
                </w:p>
              </w:tc>
              <w:tc>
                <w:tcPr>
                  <w:tcW w:w="514" w:type="dxa"/>
                  <w:tcBorders>
                    <w:tl2br w:val="nil"/>
                    <w:tr2bl w:val="nil"/>
                  </w:tcBorders>
                  <w:tcMar>
                    <w:top w:w="0" w:type="dxa"/>
                    <w:left w:w="0" w:type="dxa"/>
                    <w:bottom w:w="0" w:type="dxa"/>
                    <w:right w:w="0" w:type="dxa"/>
                  </w:tcMar>
                  <w:vAlign w:val="center"/>
                </w:tcPr>
                <w:p w14:paraId="49D438C8">
                  <w:pPr>
                    <w:snapToGrid w:val="0"/>
                    <w:spacing w:line="240" w:lineRule="auto"/>
                    <w:jc w:val="center"/>
                    <w:rPr>
                      <w:rFonts w:hint="default" w:eastAsia="宋体"/>
                      <w:color w:val="000000" w:themeColor="text1"/>
                      <w:sz w:val="21"/>
                      <w:szCs w:val="21"/>
                      <w:highlight w:val="none"/>
                      <w:u w:val="wave"/>
                      <w:lang w:val="en-US" w:eastAsia="zh-CN"/>
                      <w14:textFill>
                        <w14:solidFill>
                          <w14:schemeClr w14:val="tx1"/>
                        </w14:solidFill>
                      </w14:textFill>
                    </w:rPr>
                  </w:pPr>
                  <w:r>
                    <w:rPr>
                      <w:rFonts w:hint="eastAsia"/>
                      <w:color w:val="000000" w:themeColor="text1"/>
                      <w:sz w:val="21"/>
                      <w:szCs w:val="21"/>
                      <w:highlight w:val="none"/>
                      <w:u w:val="wave"/>
                      <w:lang w:val="en-US" w:eastAsia="zh-CN"/>
                      <w14:textFill>
                        <w14:solidFill>
                          <w14:schemeClr w14:val="tx1"/>
                        </w14:solidFill>
                      </w14:textFill>
                    </w:rPr>
                    <w:t>36</w:t>
                  </w:r>
                </w:p>
              </w:tc>
              <w:tc>
                <w:tcPr>
                  <w:tcW w:w="534" w:type="dxa"/>
                  <w:tcBorders>
                    <w:tl2br w:val="nil"/>
                    <w:tr2bl w:val="nil"/>
                  </w:tcBorders>
                  <w:tcMar>
                    <w:top w:w="0" w:type="dxa"/>
                    <w:left w:w="0" w:type="dxa"/>
                    <w:bottom w:w="0" w:type="dxa"/>
                    <w:right w:w="0" w:type="dxa"/>
                  </w:tcMar>
                  <w:vAlign w:val="center"/>
                </w:tcPr>
                <w:p w14:paraId="41471264">
                  <w:pPr>
                    <w:snapToGrid w:val="0"/>
                    <w:spacing w:line="240" w:lineRule="auto"/>
                    <w:jc w:val="center"/>
                    <w:rPr>
                      <w:rFonts w:hint="default" w:eastAsia="宋体"/>
                      <w:color w:val="000000" w:themeColor="text1"/>
                      <w:sz w:val="21"/>
                      <w:szCs w:val="21"/>
                      <w:highlight w:val="none"/>
                      <w:u w:val="wave"/>
                      <w:lang w:val="en-US" w:eastAsia="zh-CN"/>
                      <w14:textFill>
                        <w14:solidFill>
                          <w14:schemeClr w14:val="tx1"/>
                        </w14:solidFill>
                      </w14:textFill>
                    </w:rPr>
                  </w:pPr>
                  <w:r>
                    <w:rPr>
                      <w:rFonts w:hint="eastAsia"/>
                      <w:color w:val="000000" w:themeColor="text1"/>
                      <w:sz w:val="21"/>
                      <w:szCs w:val="21"/>
                      <w:highlight w:val="none"/>
                      <w:u w:val="wave"/>
                      <w:lang w:val="en-US" w:eastAsia="zh-CN"/>
                      <w14:textFill>
                        <w14:solidFill>
                          <w14:schemeClr w14:val="tx1"/>
                        </w14:solidFill>
                      </w14:textFill>
                    </w:rPr>
                    <w:t>33</w:t>
                  </w:r>
                </w:p>
              </w:tc>
              <w:tc>
                <w:tcPr>
                  <w:tcW w:w="473" w:type="dxa"/>
                  <w:tcBorders>
                    <w:tl2br w:val="nil"/>
                    <w:tr2bl w:val="nil"/>
                  </w:tcBorders>
                  <w:tcMar>
                    <w:top w:w="0" w:type="dxa"/>
                    <w:left w:w="0" w:type="dxa"/>
                    <w:bottom w:w="0" w:type="dxa"/>
                    <w:right w:w="0" w:type="dxa"/>
                  </w:tcMar>
                  <w:vAlign w:val="center"/>
                </w:tcPr>
                <w:p w14:paraId="7EE9E8C5">
                  <w:pPr>
                    <w:snapToGrid w:val="0"/>
                    <w:spacing w:line="240" w:lineRule="auto"/>
                    <w:jc w:val="center"/>
                    <w:rPr>
                      <w:color w:val="000000" w:themeColor="text1"/>
                      <w:sz w:val="21"/>
                      <w:szCs w:val="21"/>
                      <w:highlight w:val="none"/>
                      <w:u w:val="wave"/>
                      <w14:textFill>
                        <w14:solidFill>
                          <w14:schemeClr w14:val="tx1"/>
                        </w14:solidFill>
                      </w14:textFill>
                    </w:rPr>
                  </w:pPr>
                  <w:r>
                    <w:rPr>
                      <w:rFonts w:hint="eastAsia"/>
                      <w:color w:val="000000" w:themeColor="text1"/>
                      <w:sz w:val="21"/>
                      <w:szCs w:val="21"/>
                      <w:highlight w:val="none"/>
                      <w:u w:val="wave"/>
                      <w14:textFill>
                        <w14:solidFill>
                          <w14:schemeClr w14:val="tx1"/>
                        </w14:solidFill>
                      </w14:textFill>
                    </w:rPr>
                    <w:t>/</w:t>
                  </w:r>
                </w:p>
              </w:tc>
              <w:tc>
                <w:tcPr>
                  <w:tcW w:w="516" w:type="dxa"/>
                  <w:tcBorders>
                    <w:tl2br w:val="nil"/>
                    <w:tr2bl w:val="nil"/>
                  </w:tcBorders>
                  <w:tcMar>
                    <w:top w:w="0" w:type="dxa"/>
                    <w:left w:w="0" w:type="dxa"/>
                    <w:bottom w:w="0" w:type="dxa"/>
                    <w:right w:w="0" w:type="dxa"/>
                  </w:tcMar>
                  <w:vAlign w:val="center"/>
                </w:tcPr>
                <w:p w14:paraId="2AC04511">
                  <w:pPr>
                    <w:snapToGrid w:val="0"/>
                    <w:spacing w:line="240" w:lineRule="auto"/>
                    <w:jc w:val="center"/>
                    <w:rPr>
                      <w:color w:val="000000" w:themeColor="text1"/>
                      <w:sz w:val="21"/>
                      <w:szCs w:val="21"/>
                      <w:highlight w:val="none"/>
                      <w:u w:val="wave"/>
                      <w14:textFill>
                        <w14:solidFill>
                          <w14:schemeClr w14:val="tx1"/>
                        </w14:solidFill>
                      </w14:textFill>
                    </w:rPr>
                  </w:pPr>
                  <w:r>
                    <w:rPr>
                      <w:rFonts w:hint="eastAsia"/>
                      <w:color w:val="000000" w:themeColor="text1"/>
                      <w:sz w:val="21"/>
                      <w:szCs w:val="21"/>
                      <w:highlight w:val="none"/>
                      <w:u w:val="wave"/>
                      <w14:textFill>
                        <w14:solidFill>
                          <w14:schemeClr w14:val="tx1"/>
                        </w14:solidFill>
                      </w14:textFill>
                    </w:rPr>
                    <w:t>/</w:t>
                  </w:r>
                </w:p>
              </w:tc>
              <w:tc>
                <w:tcPr>
                  <w:tcW w:w="942" w:type="dxa"/>
                  <w:vMerge w:val="continue"/>
                  <w:tcBorders>
                    <w:tl2br w:val="nil"/>
                    <w:tr2bl w:val="nil"/>
                  </w:tcBorders>
                  <w:tcMar>
                    <w:top w:w="0" w:type="dxa"/>
                    <w:left w:w="0" w:type="dxa"/>
                    <w:bottom w:w="0" w:type="dxa"/>
                    <w:right w:w="0" w:type="dxa"/>
                  </w:tcMar>
                  <w:vAlign w:val="center"/>
                </w:tcPr>
                <w:p w14:paraId="229A158F">
                  <w:pPr>
                    <w:pStyle w:val="70"/>
                    <w:spacing w:before="0" w:after="0"/>
                    <w:rPr>
                      <w:rFonts w:ascii="Times New Roman" w:hAnsi="Times New Roman"/>
                      <w:color w:val="000000" w:themeColor="text1"/>
                      <w:szCs w:val="21"/>
                      <w:highlight w:val="none"/>
                      <w:u w:val="wave"/>
                      <w14:textFill>
                        <w14:solidFill>
                          <w14:schemeClr w14:val="tx1"/>
                        </w14:solidFill>
                      </w14:textFill>
                    </w:rPr>
                  </w:pPr>
                </w:p>
              </w:tc>
              <w:tc>
                <w:tcPr>
                  <w:tcW w:w="808" w:type="dxa"/>
                  <w:vMerge w:val="continue"/>
                  <w:tcBorders>
                    <w:tl2br w:val="nil"/>
                    <w:tr2bl w:val="nil"/>
                  </w:tcBorders>
                  <w:tcMar>
                    <w:top w:w="0" w:type="dxa"/>
                    <w:left w:w="0" w:type="dxa"/>
                    <w:bottom w:w="0" w:type="dxa"/>
                    <w:right w:w="0" w:type="dxa"/>
                  </w:tcMar>
                  <w:vAlign w:val="center"/>
                </w:tcPr>
                <w:p w14:paraId="103A35DF">
                  <w:pPr>
                    <w:pStyle w:val="70"/>
                    <w:spacing w:before="0" w:after="0"/>
                    <w:rPr>
                      <w:rFonts w:ascii="Times New Roman" w:hAnsi="Times New Roman"/>
                      <w:color w:val="000000" w:themeColor="text1"/>
                      <w:szCs w:val="21"/>
                      <w:highlight w:val="none"/>
                      <w:u w:val="wave"/>
                      <w14:textFill>
                        <w14:solidFill>
                          <w14:schemeClr w14:val="tx1"/>
                        </w14:solidFill>
                      </w14:textFill>
                    </w:rPr>
                  </w:pPr>
                </w:p>
              </w:tc>
              <w:tc>
                <w:tcPr>
                  <w:tcW w:w="589" w:type="dxa"/>
                  <w:tcBorders>
                    <w:tl2br w:val="nil"/>
                    <w:tr2bl w:val="nil"/>
                  </w:tcBorders>
                  <w:tcMar>
                    <w:top w:w="0" w:type="dxa"/>
                    <w:left w:w="0" w:type="dxa"/>
                    <w:bottom w:w="0" w:type="dxa"/>
                    <w:right w:w="0" w:type="dxa"/>
                  </w:tcMar>
                  <w:vAlign w:val="center"/>
                </w:tcPr>
                <w:p w14:paraId="40B4C4AC">
                  <w:pPr>
                    <w:snapToGrid w:val="0"/>
                    <w:spacing w:line="240" w:lineRule="auto"/>
                    <w:jc w:val="center"/>
                    <w:rPr>
                      <w:rFonts w:hint="eastAsia"/>
                      <w:color w:val="000000" w:themeColor="text1"/>
                      <w:sz w:val="21"/>
                      <w:szCs w:val="21"/>
                      <w:highlight w:val="none"/>
                      <w:u w:val="wave"/>
                      <w:lang w:val="en-US" w:eastAsia="zh-CN"/>
                      <w14:textFill>
                        <w14:solidFill>
                          <w14:schemeClr w14:val="tx1"/>
                        </w14:solidFill>
                      </w14:textFill>
                    </w:rPr>
                  </w:pPr>
                  <w:r>
                    <w:rPr>
                      <w:rFonts w:hint="eastAsia"/>
                      <w:color w:val="000000" w:themeColor="text1"/>
                      <w:sz w:val="21"/>
                      <w:szCs w:val="21"/>
                      <w:highlight w:val="none"/>
                      <w:u w:val="wave"/>
                      <w:lang w:val="en-US" w:eastAsia="zh-CN"/>
                      <w14:textFill>
                        <w14:solidFill>
                          <w14:schemeClr w14:val="tx1"/>
                        </w14:solidFill>
                      </w14:textFill>
                    </w:rPr>
                    <w:t>41.34</w:t>
                  </w:r>
                </w:p>
              </w:tc>
              <w:tc>
                <w:tcPr>
                  <w:tcW w:w="564" w:type="dxa"/>
                  <w:tcBorders>
                    <w:tl2br w:val="nil"/>
                    <w:tr2bl w:val="nil"/>
                  </w:tcBorders>
                  <w:tcMar>
                    <w:top w:w="0" w:type="dxa"/>
                    <w:left w:w="0" w:type="dxa"/>
                    <w:bottom w:w="0" w:type="dxa"/>
                    <w:right w:w="0" w:type="dxa"/>
                  </w:tcMar>
                  <w:vAlign w:val="center"/>
                </w:tcPr>
                <w:p w14:paraId="715BC61D">
                  <w:pPr>
                    <w:snapToGrid w:val="0"/>
                    <w:spacing w:line="240" w:lineRule="auto"/>
                    <w:jc w:val="center"/>
                    <w:rPr>
                      <w:rFonts w:hint="eastAsia"/>
                      <w:color w:val="000000" w:themeColor="text1"/>
                      <w:sz w:val="21"/>
                      <w:szCs w:val="21"/>
                      <w:highlight w:val="none"/>
                      <w:u w:val="wave"/>
                      <w:lang w:val="en-US" w:eastAsia="zh-CN"/>
                      <w14:textFill>
                        <w14:solidFill>
                          <w14:schemeClr w14:val="tx1"/>
                        </w14:solidFill>
                      </w14:textFill>
                    </w:rPr>
                  </w:pPr>
                  <w:r>
                    <w:rPr>
                      <w:rFonts w:hint="eastAsia"/>
                      <w:color w:val="000000" w:themeColor="text1"/>
                      <w:sz w:val="21"/>
                      <w:szCs w:val="21"/>
                      <w:highlight w:val="none"/>
                      <w:u w:val="wave"/>
                      <w:lang w:val="en-US" w:eastAsia="zh-CN"/>
                      <w14:textFill>
                        <w14:solidFill>
                          <w14:schemeClr w14:val="tx1"/>
                        </w14:solidFill>
                      </w14:textFill>
                    </w:rPr>
                    <w:t>41.34</w:t>
                  </w:r>
                </w:p>
              </w:tc>
              <w:tc>
                <w:tcPr>
                  <w:tcW w:w="616" w:type="dxa"/>
                  <w:tcBorders>
                    <w:tl2br w:val="nil"/>
                    <w:tr2bl w:val="nil"/>
                  </w:tcBorders>
                  <w:tcMar>
                    <w:top w:w="0" w:type="dxa"/>
                    <w:left w:w="0" w:type="dxa"/>
                    <w:bottom w:w="0" w:type="dxa"/>
                    <w:right w:w="0" w:type="dxa"/>
                  </w:tcMar>
                  <w:vAlign w:val="center"/>
                </w:tcPr>
                <w:p w14:paraId="4B08125B">
                  <w:pPr>
                    <w:snapToGrid w:val="0"/>
                    <w:spacing w:line="240" w:lineRule="auto"/>
                    <w:jc w:val="center"/>
                    <w:rPr>
                      <w:rFonts w:hint="eastAsia"/>
                      <w:color w:val="000000" w:themeColor="text1"/>
                      <w:sz w:val="21"/>
                      <w:szCs w:val="21"/>
                      <w:highlight w:val="none"/>
                      <w:u w:val="wave"/>
                      <w:lang w:val="en-US" w:eastAsia="zh-CN"/>
                      <w14:textFill>
                        <w14:solidFill>
                          <w14:schemeClr w14:val="tx1"/>
                        </w14:solidFill>
                      </w14:textFill>
                    </w:rPr>
                  </w:pPr>
                  <w:r>
                    <w:rPr>
                      <w:rFonts w:hint="eastAsia"/>
                      <w:color w:val="000000" w:themeColor="text1"/>
                      <w:sz w:val="21"/>
                      <w:szCs w:val="21"/>
                      <w:highlight w:val="none"/>
                      <w:u w:val="wave"/>
                      <w:lang w:val="en-US" w:eastAsia="zh-CN"/>
                      <w14:textFill>
                        <w14:solidFill>
                          <w14:schemeClr w14:val="tx1"/>
                        </w14:solidFill>
                      </w14:textFill>
                    </w:rPr>
                    <w:t>达标</w:t>
                  </w:r>
                </w:p>
              </w:tc>
              <w:tc>
                <w:tcPr>
                  <w:tcW w:w="540" w:type="dxa"/>
                  <w:tcBorders>
                    <w:tl2br w:val="nil"/>
                    <w:tr2bl w:val="nil"/>
                  </w:tcBorders>
                  <w:tcMar>
                    <w:top w:w="0" w:type="dxa"/>
                    <w:left w:w="0" w:type="dxa"/>
                    <w:bottom w:w="0" w:type="dxa"/>
                    <w:right w:w="0" w:type="dxa"/>
                  </w:tcMar>
                  <w:vAlign w:val="center"/>
                </w:tcPr>
                <w:p w14:paraId="331784A8">
                  <w:pPr>
                    <w:widowControl/>
                    <w:autoSpaceDE w:val="0"/>
                    <w:autoSpaceDN w:val="0"/>
                    <w:adjustRightInd w:val="0"/>
                    <w:snapToGrid w:val="0"/>
                    <w:spacing w:line="240" w:lineRule="auto"/>
                    <w:jc w:val="center"/>
                    <w:textAlignment w:val="bottom"/>
                    <w:rPr>
                      <w:color w:val="000000" w:themeColor="text1"/>
                      <w:sz w:val="21"/>
                      <w:szCs w:val="21"/>
                      <w:highlight w:val="none"/>
                      <w:u w:val="wave"/>
                      <w14:textFill>
                        <w14:solidFill>
                          <w14:schemeClr w14:val="tx1"/>
                        </w14:solidFill>
                      </w14:textFill>
                    </w:rPr>
                  </w:pPr>
                  <w:r>
                    <w:rPr>
                      <w:color w:val="000000" w:themeColor="text1"/>
                      <w:sz w:val="21"/>
                      <w:szCs w:val="21"/>
                      <w:highlight w:val="none"/>
                      <w:u w:val="wave"/>
                      <w14:textFill>
                        <w14:solidFill>
                          <w14:schemeClr w14:val="tx1"/>
                        </w14:solidFill>
                      </w14:textFill>
                    </w:rPr>
                    <w:t>达标</w:t>
                  </w:r>
                </w:p>
              </w:tc>
            </w:tr>
          </w:tbl>
          <w:p w14:paraId="4609E7BC">
            <w:pPr>
              <w:pStyle w:val="8"/>
              <w:rPr>
                <w:color w:val="000000" w:themeColor="text1"/>
                <w:u w:val="wave"/>
                <w14:textFill>
                  <w14:solidFill>
                    <w14:schemeClr w14:val="tx1"/>
                  </w14:solidFill>
                </w14:textFill>
              </w:rPr>
            </w:pPr>
          </w:p>
          <w:p w14:paraId="1F17832A">
            <w:pPr>
              <w:pStyle w:val="8"/>
              <w:rPr>
                <w:color w:val="000000" w:themeColor="text1"/>
                <w:sz w:val="24"/>
                <w:u w:val="wave"/>
                <w14:textFill>
                  <w14:solidFill>
                    <w14:schemeClr w14:val="tx1"/>
                  </w14:solidFill>
                </w14:textFill>
              </w:rPr>
            </w:pPr>
            <w:r>
              <w:rPr>
                <w:color w:val="000000" w:themeColor="text1"/>
                <w:u w:val="wave"/>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2316480</wp:posOffset>
                      </wp:positionH>
                      <wp:positionV relativeFrom="paragraph">
                        <wp:posOffset>2000885</wp:posOffset>
                      </wp:positionV>
                      <wp:extent cx="114300" cy="121920"/>
                      <wp:effectExtent l="0" t="0" r="0" b="0"/>
                      <wp:wrapNone/>
                      <wp:docPr id="114" name="椭圆 36"/>
                      <wp:cNvGraphicFramePr/>
                      <a:graphic xmlns:a="http://schemas.openxmlformats.org/drawingml/2006/main">
                        <a:graphicData uri="http://schemas.microsoft.com/office/word/2010/wordprocessingShape">
                          <wps:wsp>
                            <wps:cNvSpPr/>
                            <wps:spPr>
                              <a:xfrm>
                                <a:off x="0" y="0"/>
                                <a:ext cx="114300" cy="121920"/>
                              </a:xfrm>
                              <a:prstGeom prst="ellipse">
                                <a:avLst/>
                              </a:prstGeom>
                              <a:solidFill>
                                <a:srgbClr val="FF0000"/>
                              </a:solidFill>
                              <a:ln w="25400" cap="flat" cmpd="sng" algn="ctr">
                                <a:solidFill>
                                  <a:srgbClr val="FF0000"/>
                                </a:solidFill>
                                <a:prstDash val="solid"/>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椭圆 36" o:spid="_x0000_s1026" o:spt="3" type="#_x0000_t3" style="position:absolute;left:0pt;margin-left:182.4pt;margin-top:157.55pt;height:9.6pt;width:9pt;z-index:251669504;v-text-anchor:middle;mso-width-relative:page;mso-height-relative:page;" fillcolor="#FF0000" filled="t" stroked="t" coordsize="21600,21600" o:gfxdata="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9/Le31wAAAAsBAAAPAAAAAAAAAAEAIAAAACIAAABkcnMvZG93bnJldi54bWxQSwECFAAU&#10;AAAACACHTuJAYYRbeGQCAADiBAAADgAAAAAAAAABACAAAAAmAQAAZHJzL2Uyb0RvYy54bWxQSwUG&#10;AAAAAAYABgBZAQAA/AUAAAAA&#10;">
                      <v:fill on="t" focussize="0,0"/>
                      <v:stroke weight="2pt" color="#FF0000" joinstyle="round"/>
                      <v:imagedata o:title=""/>
                      <o:lock v:ext="edit" aspectratio="f"/>
                    </v:shape>
                  </w:pict>
                </mc:Fallback>
              </mc:AlternateContent>
            </w:r>
            <w:r>
              <w:rPr>
                <w:color w:val="000000" w:themeColor="text1"/>
                <w:u w:val="wave"/>
                <w14:textFill>
                  <w14:solidFill>
                    <w14:schemeClr w14:val="tx1"/>
                  </w14:solidFill>
                </w14:textFill>
              </w:rPr>
              <mc:AlternateContent>
                <mc:Choice Requires="wps">
                  <w:drawing>
                    <wp:anchor distT="0" distB="0" distL="114300" distR="114300" simplePos="0" relativeHeight="251671552" behindDoc="0" locked="0" layoutInCell="1" allowOverlap="1">
                      <wp:simplePos x="0" y="0"/>
                      <wp:positionH relativeFrom="column">
                        <wp:posOffset>3926205</wp:posOffset>
                      </wp:positionH>
                      <wp:positionV relativeFrom="paragraph">
                        <wp:posOffset>4112895</wp:posOffset>
                      </wp:positionV>
                      <wp:extent cx="136525" cy="154305"/>
                      <wp:effectExtent l="0" t="0" r="0" b="0"/>
                      <wp:wrapNone/>
                      <wp:docPr id="116" name="等腰三角形 54"/>
                      <wp:cNvGraphicFramePr/>
                      <a:graphic xmlns:a="http://schemas.openxmlformats.org/drawingml/2006/main">
                        <a:graphicData uri="http://schemas.microsoft.com/office/word/2010/wordprocessingShape">
                          <wps:wsp>
                            <wps:cNvSpPr/>
                            <wps:spPr>
                              <a:xfrm>
                                <a:off x="0" y="0"/>
                                <a:ext cx="136525" cy="154305"/>
                              </a:xfrm>
                              <a:prstGeom prst="triangle">
                                <a:avLst/>
                              </a:prstGeom>
                              <a:solidFill>
                                <a:srgbClr val="000000"/>
                              </a:solidFill>
                              <a:ln w="25400" cap="flat" cmpd="sng" algn="ctr">
                                <a:solidFill>
                                  <a:srgbClr val="000000"/>
                                </a:solidFill>
                                <a:prstDash val="solid"/>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等腰三角形 54" o:spid="_x0000_s1026" o:spt="5" type="#_x0000_t5" style="position:absolute;left:0pt;margin-left:309.15pt;margin-top:323.85pt;height:12.15pt;width:10.75pt;z-index:251671552;v-text-anchor:middle;mso-width-relative:page;mso-height-relative:page;" fillcolor="#000000" filled="t" stroked="t" coordsize="21600,21600" o:gfxdata="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lAnbrtkAAAALAQAADwAAAAAAAAABACAAAAAiAAAAZHJz&#10;L2Rvd25yZXYueG1sUEsBAhQAFAAAAAgAh07iQMBm4uR1AgAA7AQAAA4AAAAAAAAAAQAgAAAAKAEA&#10;AGRycy9lMm9Eb2MueG1sUEsFBgAAAAAGAAYAWQEAAA8GAAAAAA==&#10;" adj="10800">
                      <v:fill on="t" focussize="0,0"/>
                      <v:stroke weight="2pt" color="#000000" joinstyle="round"/>
                      <v:imagedata o:title=""/>
                      <o:lock v:ext="edit" aspectratio="f"/>
                    </v:shape>
                  </w:pict>
                </mc:Fallback>
              </mc:AlternateContent>
            </w:r>
            <w:r>
              <w:rPr>
                <w:color w:val="000000" w:themeColor="text1"/>
                <w:u w:val="wave"/>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column">
                        <wp:posOffset>3937000</wp:posOffset>
                      </wp:positionH>
                      <wp:positionV relativeFrom="paragraph">
                        <wp:posOffset>3860165</wp:posOffset>
                      </wp:positionV>
                      <wp:extent cx="114300" cy="121920"/>
                      <wp:effectExtent l="0" t="0" r="0" b="0"/>
                      <wp:wrapNone/>
                      <wp:docPr id="115" name="椭圆 38"/>
                      <wp:cNvGraphicFramePr/>
                      <a:graphic xmlns:a="http://schemas.openxmlformats.org/drawingml/2006/main">
                        <a:graphicData uri="http://schemas.microsoft.com/office/word/2010/wordprocessingShape">
                          <wps:wsp>
                            <wps:cNvSpPr/>
                            <wps:spPr>
                              <a:xfrm>
                                <a:off x="0" y="0"/>
                                <a:ext cx="114300" cy="121920"/>
                              </a:xfrm>
                              <a:prstGeom prst="ellipse">
                                <a:avLst/>
                              </a:prstGeom>
                              <a:solidFill>
                                <a:srgbClr val="FF0000"/>
                              </a:solidFill>
                              <a:ln w="25400" cap="flat" cmpd="sng" algn="ctr">
                                <a:solidFill>
                                  <a:srgbClr val="FF0000"/>
                                </a:solidFill>
                                <a:prstDash val="solid"/>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椭圆 38" o:spid="_x0000_s1026" o:spt="3" type="#_x0000_t3" style="position:absolute;left:0pt;margin-left:310pt;margin-top:303.95pt;height:9.6pt;width:9pt;z-index:251670528;v-text-anchor:middle;mso-width-relative:page;mso-height-relative:page;" fillcolor="#FF0000" filled="t" stroked="t" coordsize="21600,21600" o:gfxdata="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L9396bVAAAACwEAAA8AAAAAAAAAAQAgAAAAIgAAAGRycy9kb3ducmV2LnhtbFBLAQIUABQA&#10;AAAIAIdO4kDgAa9jZQIAAOIEAAAOAAAAAAAAAAEAIAAAACQBAABkcnMvZTJvRG9jLnhtbFBLBQYA&#10;AAAABgAGAFkBAAD7BQAAAAA=&#10;">
                      <v:fill on="t" focussize="0,0"/>
                      <v:stroke weight="2pt" color="#FF0000" joinstyle="round"/>
                      <v:imagedata o:title=""/>
                      <o:lock v:ext="edit" aspectratio="f"/>
                    </v:shape>
                  </w:pict>
                </mc:Fallback>
              </mc:AlternateContent>
            </w:r>
            <w:r>
              <w:rPr>
                <w:color w:val="000000" w:themeColor="text1"/>
                <w:u w:val="wave"/>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3522345</wp:posOffset>
                      </wp:positionH>
                      <wp:positionV relativeFrom="paragraph">
                        <wp:posOffset>3428365</wp:posOffset>
                      </wp:positionV>
                      <wp:extent cx="1451610" cy="1070610"/>
                      <wp:effectExtent l="0" t="0" r="0" b="0"/>
                      <wp:wrapNone/>
                      <wp:docPr id="136" name="矩形标注 136"/>
                      <wp:cNvGraphicFramePr/>
                      <a:graphic xmlns:a="http://schemas.openxmlformats.org/drawingml/2006/main">
                        <a:graphicData uri="http://schemas.microsoft.com/office/word/2010/wordprocessingShape">
                          <wps:wsp>
                            <wps:cNvSpPr/>
                            <wps:spPr>
                              <a:xfrm>
                                <a:off x="0" y="0"/>
                                <a:ext cx="1451610" cy="1070610"/>
                              </a:xfrm>
                              <a:prstGeom prst="wedgeRectCallout">
                                <a:avLst>
                                  <a:gd name="adj1" fmla="val -22090"/>
                                  <a:gd name="adj2" fmla="val 48102"/>
                                </a:avLst>
                              </a:prstGeom>
                              <a:noFill/>
                              <a:ln w="25400" cap="flat" cmpd="sng" algn="ctr">
                                <a:solidFill>
                                  <a:srgbClr val="000000"/>
                                </a:solidFill>
                                <a:prstDash val="solid"/>
                              </a:ln>
                            </wps:spPr>
                            <wps:txbx>
                              <w:txbxContent>
                                <w:p w14:paraId="7158A8C2">
                                  <w:pPr>
                                    <w:jc w:val="center"/>
                                    <w:rPr>
                                      <w:b/>
                                      <w:bCs/>
                                      <w:color w:val="000000"/>
                                    </w:rPr>
                                  </w:pPr>
                                  <w:r>
                                    <w:rPr>
                                      <w:rFonts w:hint="eastAsia"/>
                                      <w:b/>
                                      <w:bCs/>
                                      <w:color w:val="000000"/>
                                    </w:rPr>
                                    <w:t>图例</w:t>
                                  </w:r>
                                </w:p>
                                <w:p w14:paraId="1D839DCE">
                                  <w:pPr>
                                    <w:jc w:val="center"/>
                                    <w:rPr>
                                      <w:color w:val="000000"/>
                                    </w:rPr>
                                  </w:pPr>
                                  <w:r>
                                    <w:rPr>
                                      <w:rFonts w:hint="eastAsia"/>
                                      <w:color w:val="000000"/>
                                    </w:rPr>
                                    <w:t xml:space="preserve">    噪声源</w:t>
                                  </w:r>
                                </w:p>
                                <w:p w14:paraId="0DB8A67F">
                                  <w:pPr>
                                    <w:jc w:val="center"/>
                                    <w:rPr>
                                      <w:color w:val="000000"/>
                                    </w:rPr>
                                  </w:pPr>
                                  <w:r>
                                    <w:rPr>
                                      <w:rFonts w:hint="eastAsia"/>
                                      <w:color w:val="000000"/>
                                    </w:rPr>
                                    <w:t xml:space="preserve">    预测点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77.35pt;margin-top:269.95pt;height:84.3pt;width:114.3pt;z-index:251663360;v-text-anchor:middle;mso-width-relative:page;mso-height-relative:page;" filled="f" stroked="t" coordsize="21600,21600" o:gfxdata="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CqAGhB2gAAAAsBAAAPAAAAAAAAAAEAIAAAACIAAABkcnMvZG93bnJldi54bWxQSwECFAAU&#10;AAAACACHTuJAGzKVT5oCAAAoBQAADgAAAAAAAAABACAAAAApAQAAZHJzL2Uyb0RvYy54bWxQSwUG&#10;AAAAAAYABgBZAQAANQYAAAAA&#10;" adj="6029,21190">
                      <v:fill on="f" focussize="0,0"/>
                      <v:stroke weight="2pt" color="#000000" joinstyle="round"/>
                      <v:imagedata o:title=""/>
                      <o:lock v:ext="edit" aspectratio="f"/>
                      <v:textbox>
                        <w:txbxContent>
                          <w:p w14:paraId="7158A8C2">
                            <w:pPr>
                              <w:jc w:val="center"/>
                              <w:rPr>
                                <w:b/>
                                <w:bCs/>
                                <w:color w:val="000000"/>
                              </w:rPr>
                            </w:pPr>
                            <w:r>
                              <w:rPr>
                                <w:rFonts w:hint="eastAsia"/>
                                <w:b/>
                                <w:bCs/>
                                <w:color w:val="000000"/>
                              </w:rPr>
                              <w:t>图例</w:t>
                            </w:r>
                          </w:p>
                          <w:p w14:paraId="1D839DCE">
                            <w:pPr>
                              <w:jc w:val="center"/>
                              <w:rPr>
                                <w:color w:val="000000"/>
                              </w:rPr>
                            </w:pPr>
                            <w:r>
                              <w:rPr>
                                <w:rFonts w:hint="eastAsia"/>
                                <w:color w:val="000000"/>
                              </w:rPr>
                              <w:t xml:space="preserve">    噪声源</w:t>
                            </w:r>
                          </w:p>
                          <w:p w14:paraId="0DB8A67F">
                            <w:pPr>
                              <w:jc w:val="center"/>
                              <w:rPr>
                                <w:color w:val="000000"/>
                              </w:rPr>
                            </w:pPr>
                            <w:r>
                              <w:rPr>
                                <w:rFonts w:hint="eastAsia"/>
                                <w:color w:val="000000"/>
                              </w:rPr>
                              <w:t xml:space="preserve">    预测点</w:t>
                            </w:r>
                          </w:p>
                        </w:txbxContent>
                      </v:textbox>
                    </v:shape>
                  </w:pict>
                </mc:Fallback>
              </mc:AlternateContent>
            </w:r>
            <w:r>
              <w:rPr>
                <w:color w:val="000000" w:themeColor="text1"/>
                <w:u w:val="wave"/>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1914525</wp:posOffset>
                      </wp:positionH>
                      <wp:positionV relativeFrom="paragraph">
                        <wp:posOffset>316230</wp:posOffset>
                      </wp:positionV>
                      <wp:extent cx="136525" cy="154305"/>
                      <wp:effectExtent l="0" t="0" r="0" b="0"/>
                      <wp:wrapNone/>
                      <wp:docPr id="113" name="等腰三角形 34"/>
                      <wp:cNvGraphicFramePr/>
                      <a:graphic xmlns:a="http://schemas.openxmlformats.org/drawingml/2006/main">
                        <a:graphicData uri="http://schemas.microsoft.com/office/word/2010/wordprocessingShape">
                          <wps:wsp>
                            <wps:cNvSpPr/>
                            <wps:spPr>
                              <a:xfrm>
                                <a:off x="0" y="0"/>
                                <a:ext cx="136525" cy="154305"/>
                              </a:xfrm>
                              <a:prstGeom prst="triangle">
                                <a:avLst/>
                              </a:prstGeom>
                              <a:solidFill>
                                <a:srgbClr val="000000"/>
                              </a:solidFill>
                              <a:ln w="25400" cap="flat" cmpd="sng" algn="ctr">
                                <a:solidFill>
                                  <a:srgbClr val="000000"/>
                                </a:solidFill>
                                <a:prstDash val="solid"/>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等腰三角形 34" o:spid="_x0000_s1026" o:spt="5" type="#_x0000_t5" style="position:absolute;left:0pt;margin-left:150.75pt;margin-top:24.9pt;height:12.15pt;width:10.75pt;z-index:251668480;v-text-anchor:middle;mso-width-relative:page;mso-height-relative:page;" fillcolor="#000000" filled="t" stroked="t" coordsize="21600,21600" o:gfxdata="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jiLRp1wAAAAkBAAAPAAAAAAAAAAEAIAAAACIAAABkcnMvZG93&#10;bnJldi54bWxQSwECFAAUAAAACACHTuJA3rC2CHMCAADsBAAADgAAAAAAAAABACAAAAAmAQAAZHJz&#10;L2Uyb0RvYy54bWxQSwUGAAAAAAYABgBZAQAACwYAAAAA&#10;" adj="10800">
                      <v:fill on="t" focussize="0,0"/>
                      <v:stroke weight="2pt" color="#000000" joinstyle="round"/>
                      <v:imagedata o:title=""/>
                      <o:lock v:ext="edit" aspectratio="f"/>
                    </v:shape>
                  </w:pict>
                </mc:Fallback>
              </mc:AlternateContent>
            </w:r>
            <w:r>
              <w:rPr>
                <w:color w:val="000000" w:themeColor="text1"/>
                <w:u w:val="wave"/>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512445</wp:posOffset>
                      </wp:positionH>
                      <wp:positionV relativeFrom="paragraph">
                        <wp:posOffset>1520190</wp:posOffset>
                      </wp:positionV>
                      <wp:extent cx="136525" cy="154305"/>
                      <wp:effectExtent l="0" t="0" r="0" b="0"/>
                      <wp:wrapNone/>
                      <wp:docPr id="112" name="等腰三角形 33"/>
                      <wp:cNvGraphicFramePr/>
                      <a:graphic xmlns:a="http://schemas.openxmlformats.org/drawingml/2006/main">
                        <a:graphicData uri="http://schemas.microsoft.com/office/word/2010/wordprocessingShape">
                          <wps:wsp>
                            <wps:cNvSpPr/>
                            <wps:spPr>
                              <a:xfrm>
                                <a:off x="0" y="0"/>
                                <a:ext cx="136525" cy="154305"/>
                              </a:xfrm>
                              <a:prstGeom prst="triangle">
                                <a:avLst/>
                              </a:prstGeom>
                              <a:solidFill>
                                <a:srgbClr val="000000"/>
                              </a:solidFill>
                              <a:ln w="25400" cap="flat" cmpd="sng" algn="ctr">
                                <a:solidFill>
                                  <a:srgbClr val="000000"/>
                                </a:solidFill>
                                <a:prstDash val="solid"/>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等腰三角形 33" o:spid="_x0000_s1026" o:spt="5" type="#_x0000_t5" style="position:absolute;left:0pt;margin-left:40.35pt;margin-top:119.7pt;height:12.15pt;width:10.75pt;z-index:251667456;v-text-anchor:middle;mso-width-relative:page;mso-height-relative:page;" fillcolor="#000000" filled="t" stroked="t" coordsize="21600,21600" o:gfxdata="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zIQsRtgAAAAKAQAADwAAAAAAAAABACAAAAAiAAAAZHJzL2Rv&#10;d25yZXYueG1sUEsBAhQAFAAAAAgAh07iQDtqD11zAgAA7AQAAA4AAAAAAAAAAQAgAAAAJwEAAGRy&#10;cy9lMm9Eb2MueG1sUEsFBgAAAAAGAAYAWQEAAAwGAAAAAA==&#10;" adj="10800">
                      <v:fill on="t" focussize="0,0"/>
                      <v:stroke weight="2pt" color="#000000" joinstyle="round"/>
                      <v:imagedata o:title=""/>
                      <o:lock v:ext="edit" aspectratio="f"/>
                    </v:shape>
                  </w:pict>
                </mc:Fallback>
              </mc:AlternateContent>
            </w:r>
            <w:r>
              <w:rPr>
                <w:color w:val="000000" w:themeColor="text1"/>
                <w:u w:val="wave"/>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1922145</wp:posOffset>
                      </wp:positionH>
                      <wp:positionV relativeFrom="paragraph">
                        <wp:posOffset>3844290</wp:posOffset>
                      </wp:positionV>
                      <wp:extent cx="136525" cy="154305"/>
                      <wp:effectExtent l="0" t="0" r="0" b="0"/>
                      <wp:wrapNone/>
                      <wp:docPr id="111" name="等腰三角形 32"/>
                      <wp:cNvGraphicFramePr/>
                      <a:graphic xmlns:a="http://schemas.openxmlformats.org/drawingml/2006/main">
                        <a:graphicData uri="http://schemas.microsoft.com/office/word/2010/wordprocessingShape">
                          <wps:wsp>
                            <wps:cNvSpPr/>
                            <wps:spPr>
                              <a:xfrm>
                                <a:off x="0" y="0"/>
                                <a:ext cx="136525" cy="154305"/>
                              </a:xfrm>
                              <a:prstGeom prst="triangle">
                                <a:avLst/>
                              </a:prstGeom>
                              <a:solidFill>
                                <a:srgbClr val="000000"/>
                              </a:solidFill>
                              <a:ln w="25400" cap="flat" cmpd="sng" algn="ctr">
                                <a:solidFill>
                                  <a:srgbClr val="000000"/>
                                </a:solidFill>
                                <a:prstDash val="solid"/>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等腰三角形 32" o:spid="_x0000_s1026" o:spt="5" type="#_x0000_t5" style="position:absolute;left:0pt;margin-left:151.35pt;margin-top:302.7pt;height:12.15pt;width:10.75pt;z-index:251666432;v-text-anchor:middle;mso-width-relative:page;mso-height-relative:page;" fillcolor="#000000" filled="t" stroked="t" coordsize="21600,21600" o:gfxdata="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t+wcVNkAAAALAQAADwAAAAAAAAABACAAAAAiAAAAZHJzL2Rv&#10;d25yZXYueG1sUEsBAhQAFAAAAAgAh07iQGUbDYZyAgAA7AQAAA4AAAAAAAAAAQAgAAAAKAEAAGRy&#10;cy9lMm9Eb2MueG1sUEsFBgAAAAAGAAYAWQEAAAwGAAAAAA==&#10;" adj="10800">
                      <v:fill on="t" focussize="0,0"/>
                      <v:stroke weight="2pt" color="#000000" joinstyle="round"/>
                      <v:imagedata o:title=""/>
                      <o:lock v:ext="edit" aspectratio="f"/>
                    </v:shape>
                  </w:pict>
                </mc:Fallback>
              </mc:AlternateContent>
            </w:r>
            <w:r>
              <w:rPr>
                <w:color w:val="000000" w:themeColor="text1"/>
                <w:u w:val="wave"/>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3446145</wp:posOffset>
                      </wp:positionH>
                      <wp:positionV relativeFrom="paragraph">
                        <wp:posOffset>2023110</wp:posOffset>
                      </wp:positionV>
                      <wp:extent cx="136525" cy="154305"/>
                      <wp:effectExtent l="0" t="0" r="0" b="0"/>
                      <wp:wrapNone/>
                      <wp:docPr id="110" name="等腰三角形 31"/>
                      <wp:cNvGraphicFramePr/>
                      <a:graphic xmlns:a="http://schemas.openxmlformats.org/drawingml/2006/main">
                        <a:graphicData uri="http://schemas.microsoft.com/office/word/2010/wordprocessingShape">
                          <wps:wsp>
                            <wps:cNvSpPr/>
                            <wps:spPr>
                              <a:xfrm>
                                <a:off x="0" y="0"/>
                                <a:ext cx="136525" cy="154305"/>
                              </a:xfrm>
                              <a:prstGeom prst="triangle">
                                <a:avLst/>
                              </a:prstGeom>
                              <a:solidFill>
                                <a:srgbClr val="000000"/>
                              </a:solidFill>
                              <a:ln w="25400" cap="flat" cmpd="sng" algn="ctr">
                                <a:solidFill>
                                  <a:srgbClr val="000000"/>
                                </a:solidFill>
                                <a:prstDash val="solid"/>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等腰三角形 31" o:spid="_x0000_s1026" o:spt="5" type="#_x0000_t5" style="position:absolute;left:0pt;margin-left:271.35pt;margin-top:159.3pt;height:12.15pt;width:10.75pt;z-index:251665408;v-text-anchor:middle;mso-width-relative:page;mso-height-relative:page;" fillcolor="#000000" filled="t" stroked="t" coordsize="21600,21600" o:gfxdata="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HA4BXHZAAAACwEAAA8AAAAAAAAAAQAgAAAAIgAAAGRycy9k&#10;b3ducmV2LnhtbFBLAQIUABQAAAAIAIdO4kCYTegscwIAAOwEAAAOAAAAAAAAAAEAIAAAACgBAABk&#10;cnMvZTJvRG9jLnhtbFBLBQYAAAAABgAGAFkBAAANBgAAAAA=&#10;" adj="10800">
                      <v:fill on="t" focussize="0,0"/>
                      <v:stroke weight="2pt" color="#000000" joinstyle="round"/>
                      <v:imagedata o:title=""/>
                      <o:lock v:ext="edit" aspectratio="f"/>
                    </v:shape>
                  </w:pict>
                </mc:Fallback>
              </mc:AlternateContent>
            </w:r>
            <w:r>
              <w:rPr>
                <w:color w:val="000000" w:themeColor="text1"/>
                <w:szCs w:val="21"/>
                <w:u w:val="wave"/>
                <w14:textFill>
                  <w14:solidFill>
                    <w14:schemeClr w14:val="tx1"/>
                  </w14:solidFill>
                </w14:textFill>
              </w:rPr>
              <w:drawing>
                <wp:anchor distT="0" distB="0" distL="114935" distR="114935" simplePos="0" relativeHeight="251664384" behindDoc="0" locked="0" layoutInCell="1" allowOverlap="1">
                  <wp:simplePos x="0" y="0"/>
                  <wp:positionH relativeFrom="column">
                    <wp:posOffset>227965</wp:posOffset>
                  </wp:positionH>
                  <wp:positionV relativeFrom="paragraph">
                    <wp:posOffset>-168910</wp:posOffset>
                  </wp:positionV>
                  <wp:extent cx="374015" cy="786130"/>
                  <wp:effectExtent l="0" t="0" r="13970" b="6985"/>
                  <wp:wrapNone/>
                  <wp:docPr id="109" name="图片 732" descr="C:/Users/230zz/AppData/Local/Temp/picturecompress_20211115115827/output_3.pngoutput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732" descr="C:/Users/230zz/AppData/Local/Temp/picturecompress_20211115115827/output_3.pngoutput_3"/>
                          <pic:cNvPicPr>
                            <a:picLocks noChangeAspect="1" noChangeArrowheads="1"/>
                          </pic:cNvPicPr>
                        </pic:nvPicPr>
                        <pic:blipFill>
                          <a:blip r:embed="rId24"/>
                          <a:srcRect/>
                          <a:stretch>
                            <a:fillRect/>
                          </a:stretch>
                        </pic:blipFill>
                        <pic:spPr>
                          <a:xfrm rot="5400000">
                            <a:off x="0" y="0"/>
                            <a:ext cx="374015" cy="786130"/>
                          </a:xfrm>
                          <a:prstGeom prst="rect">
                            <a:avLst/>
                          </a:prstGeom>
                          <a:noFill/>
                          <a:ln>
                            <a:noFill/>
                          </a:ln>
                        </pic:spPr>
                      </pic:pic>
                    </a:graphicData>
                  </a:graphic>
                </wp:anchor>
              </w:drawing>
            </w:r>
            <w:r>
              <w:rPr>
                <w:color w:val="000000" w:themeColor="text1"/>
                <w:u w:val="wave"/>
                <w14:textFill>
                  <w14:solidFill>
                    <w14:schemeClr w14:val="tx1"/>
                  </w14:solidFill>
                </w14:textFill>
              </w:rPr>
              <w:drawing>
                <wp:inline distT="0" distB="0" distL="114300" distR="114300">
                  <wp:extent cx="4982845" cy="4493895"/>
                  <wp:effectExtent l="0" t="0" r="8255" b="1905"/>
                  <wp:docPr id="1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8"/>
                          <pic:cNvPicPr>
                            <a:picLocks noChangeAspect="1"/>
                          </pic:cNvPicPr>
                        </pic:nvPicPr>
                        <pic:blipFill>
                          <a:blip r:embed="rId70"/>
                          <a:stretch>
                            <a:fillRect/>
                          </a:stretch>
                        </pic:blipFill>
                        <pic:spPr>
                          <a:xfrm>
                            <a:off x="0" y="0"/>
                            <a:ext cx="4982845" cy="4493895"/>
                          </a:xfrm>
                          <a:prstGeom prst="rect">
                            <a:avLst/>
                          </a:prstGeom>
                          <a:noFill/>
                          <a:ln>
                            <a:noFill/>
                          </a:ln>
                        </pic:spPr>
                      </pic:pic>
                    </a:graphicData>
                  </a:graphic>
                </wp:inline>
              </w:drawing>
            </w:r>
          </w:p>
          <w:p w14:paraId="150DED7E">
            <w:pPr>
              <w:pStyle w:val="8"/>
              <w:rPr>
                <w:color w:val="000000" w:themeColor="text1"/>
                <w:u w:val="wave"/>
                <w14:textFill>
                  <w14:solidFill>
                    <w14:schemeClr w14:val="tx1"/>
                  </w14:solidFill>
                </w14:textFill>
              </w:rPr>
            </w:pPr>
            <w:r>
              <w:rPr>
                <w:rFonts w:hint="eastAsia"/>
                <w:color w:val="000000" w:themeColor="text1"/>
                <w:u w:val="wave"/>
                <w14:textFill>
                  <w14:solidFill>
                    <w14:schemeClr w14:val="tx1"/>
                  </w14:solidFill>
                </w14:textFill>
              </w:rPr>
              <w:t>图4.9 升压站</w:t>
            </w:r>
            <w:r>
              <w:rPr>
                <w:color w:val="000000" w:themeColor="text1"/>
                <w:u w:val="wave"/>
                <w14:textFill>
                  <w14:solidFill>
                    <w14:schemeClr w14:val="tx1"/>
                  </w14:solidFill>
                </w14:textFill>
              </w:rPr>
              <w:t>运行期厂界噪声</w:t>
            </w:r>
            <w:r>
              <w:rPr>
                <w:rFonts w:hint="eastAsia"/>
                <w:color w:val="000000" w:themeColor="text1"/>
                <w:u w:val="wave"/>
                <w14:textFill>
                  <w14:solidFill>
                    <w14:schemeClr w14:val="tx1"/>
                  </w14:solidFill>
                </w14:textFill>
              </w:rPr>
              <w:t>贡献值等值线图</w:t>
            </w:r>
          </w:p>
          <w:p w14:paraId="4CE50D78">
            <w:pPr>
              <w:spacing w:before="120" w:beforeLines="50"/>
              <w:ind w:firstLine="420"/>
              <w:rPr>
                <w:color w:val="000000" w:themeColor="text1"/>
                <w:u w:val="none"/>
                <w14:textFill>
                  <w14:solidFill>
                    <w14:schemeClr w14:val="tx1"/>
                  </w14:solidFill>
                </w14:textFill>
              </w:rPr>
            </w:pPr>
            <w:r>
              <w:rPr>
                <w:color w:val="000000" w:themeColor="text1"/>
                <w:u w:val="none"/>
                <w14:textFill>
                  <w14:solidFill>
                    <w14:schemeClr w14:val="tx1"/>
                  </w14:solidFill>
                </w14:textFill>
              </w:rPr>
              <w:t>从上表结果可以看出，升压站变压器场界处噪声预测值满足《工业企业厂界环境噪声排放标准》(GB12348-2008)中的2类声环境功能区（昼间60dB</w:t>
            </w:r>
            <w:r>
              <w:rPr>
                <w:rFonts w:hint="eastAsia"/>
                <w:color w:val="000000" w:themeColor="text1"/>
                <w:u w:val="none"/>
                <w:lang w:val="en-US" w:eastAsia="zh-CN"/>
                <w14:textFill>
                  <w14:solidFill>
                    <w14:schemeClr w14:val="tx1"/>
                  </w14:solidFill>
                </w14:textFill>
              </w:rPr>
              <w:t>(</w:t>
            </w:r>
            <w:r>
              <w:rPr>
                <w:color w:val="000000" w:themeColor="text1"/>
                <w:u w:val="none"/>
                <w14:textFill>
                  <w14:solidFill>
                    <w14:schemeClr w14:val="tx1"/>
                  </w14:solidFill>
                </w14:textFill>
              </w:rPr>
              <w:t>A)，夜间50dB(A)）标准限值要求。</w:t>
            </w:r>
            <w:r>
              <w:rPr>
                <w:rFonts w:hint="eastAsia"/>
                <w:color w:val="000000" w:themeColor="text1"/>
                <w:u w:val="none"/>
                <w14:textFill>
                  <w14:solidFill>
                    <w14:schemeClr w14:val="tx1"/>
                  </w14:solidFill>
                </w14:textFill>
              </w:rPr>
              <w:t>升压站周边200m范围内无声环境敏感目标</w:t>
            </w:r>
            <w:r>
              <w:rPr>
                <w:rFonts w:hint="eastAsia"/>
                <w:color w:val="000000" w:themeColor="text1"/>
                <w:u w:val="none"/>
                <w:lang w:eastAsia="zh-CN"/>
                <w14:textFill>
                  <w14:solidFill>
                    <w14:schemeClr w14:val="tx1"/>
                  </w14:solidFill>
                </w14:textFill>
              </w:rPr>
              <w:t>，</w:t>
            </w:r>
            <w:r>
              <w:rPr>
                <w:color w:val="000000" w:themeColor="text1"/>
                <w:u w:val="none"/>
                <w14:textFill>
                  <w14:solidFill>
                    <w14:schemeClr w14:val="tx1"/>
                  </w14:solidFill>
                </w14:textFill>
              </w:rPr>
              <w:t>因此升压站主变压器噪声对周边居民无影响。</w:t>
            </w:r>
          </w:p>
          <w:bookmarkEnd w:id="165"/>
          <w:p w14:paraId="46D5897F">
            <w:pPr>
              <w:pStyle w:val="3"/>
              <w:numPr>
                <w:ilvl w:val="0"/>
                <w:numId w:val="0"/>
              </w:numPr>
              <w:tabs>
                <w:tab w:val="left" w:pos="425"/>
                <w:tab w:val="clear" w:pos="420"/>
              </w:tabs>
              <w:rPr>
                <w:rFonts w:cs="Times New Roman"/>
                <w:color w:val="000000" w:themeColor="text1"/>
                <w:szCs w:val="21"/>
                <w:u w:val="none"/>
                <w14:textFill>
                  <w14:solidFill>
                    <w14:schemeClr w14:val="tx1"/>
                  </w14:solidFill>
                </w14:textFill>
              </w:rPr>
            </w:pPr>
            <w:bookmarkStart w:id="166" w:name="_Toc22845"/>
            <w:bookmarkStart w:id="167" w:name="_Toc23229"/>
            <w:bookmarkStart w:id="168" w:name="_Toc390424271"/>
            <w:bookmarkStart w:id="169" w:name="_Toc277062630"/>
            <w:bookmarkStart w:id="170" w:name="_Toc276993009"/>
            <w:bookmarkStart w:id="171" w:name="_Toc281294631"/>
            <w:bookmarkStart w:id="172" w:name="_Toc288747670"/>
            <w:bookmarkStart w:id="173" w:name="_Toc393308320"/>
            <w:bookmarkStart w:id="174" w:name="_Toc288736203"/>
            <w:bookmarkStart w:id="175" w:name="_Toc281494603"/>
            <w:r>
              <w:rPr>
                <w:rFonts w:cs="Times New Roman"/>
                <w:color w:val="000000" w:themeColor="text1"/>
                <w:szCs w:val="21"/>
                <w:u w:val="none"/>
                <w14:textFill>
                  <w14:solidFill>
                    <w14:schemeClr w14:val="tx1"/>
                  </w14:solidFill>
                </w14:textFill>
              </w:rPr>
              <w:t>4.10 运营期地表水环境影响分析</w:t>
            </w:r>
            <w:bookmarkEnd w:id="166"/>
            <w:bookmarkEnd w:id="167"/>
          </w:p>
          <w:bookmarkEnd w:id="168"/>
          <w:bookmarkEnd w:id="169"/>
          <w:bookmarkEnd w:id="170"/>
          <w:bookmarkEnd w:id="171"/>
          <w:bookmarkEnd w:id="172"/>
          <w:bookmarkEnd w:id="173"/>
          <w:bookmarkEnd w:id="174"/>
          <w:bookmarkEnd w:id="175"/>
          <w:p w14:paraId="20C1E1C8">
            <w:pPr>
              <w:ind w:firstLine="420"/>
              <w:rPr>
                <w:color w:val="000000" w:themeColor="text1"/>
                <w:u w:val="none"/>
                <w14:textFill>
                  <w14:solidFill>
                    <w14:schemeClr w14:val="tx1"/>
                  </w14:solidFill>
                </w14:textFill>
              </w:rPr>
            </w:pPr>
            <w:r>
              <w:rPr>
                <w:color w:val="000000" w:themeColor="text1"/>
                <w:u w:val="none"/>
                <w14:textFill>
                  <w14:solidFill>
                    <w14:schemeClr w14:val="tx1"/>
                  </w14:solidFill>
                </w14:textFill>
              </w:rPr>
              <w:t>（1）生产废水</w:t>
            </w:r>
          </w:p>
          <w:p w14:paraId="65E25AD9">
            <w:pPr>
              <w:ind w:firstLine="420"/>
              <w:rPr>
                <w:color w:val="000000" w:themeColor="text1"/>
                <w:u w:val="none"/>
                <w14:textFill>
                  <w14:solidFill>
                    <w14:schemeClr w14:val="tx1"/>
                  </w14:solidFill>
                </w14:textFill>
              </w:rPr>
            </w:pPr>
            <w:r>
              <w:rPr>
                <w:color w:val="000000" w:themeColor="text1"/>
                <w:u w:val="none"/>
                <w14:textFill>
                  <w14:solidFill>
                    <w14:schemeClr w14:val="tx1"/>
                  </w14:solidFill>
                </w14:textFill>
              </w:rPr>
              <w:t>运行期正常情况下无废水排放，只有变压器检修或发生事故时有少量含油废水排放。变压器配备有事故油池，发生漏油时，集油池收集的漏油单独外运处置，废水进入一体式生活污水处理系统处理达标后用于绿化。因此，运行期生产废水排放对环境无影响。</w:t>
            </w:r>
          </w:p>
          <w:p w14:paraId="1DE2523B">
            <w:pPr>
              <w:ind w:firstLine="420"/>
              <w:rPr>
                <w:color w:val="000000" w:themeColor="text1"/>
                <w:u w:val="none"/>
                <w14:textFill>
                  <w14:solidFill>
                    <w14:schemeClr w14:val="tx1"/>
                  </w14:solidFill>
                </w14:textFill>
              </w:rPr>
            </w:pPr>
            <w:r>
              <w:rPr>
                <w:color w:val="000000" w:themeColor="text1"/>
                <w:u w:val="none"/>
                <w14:textFill>
                  <w14:solidFill>
                    <w14:schemeClr w14:val="tx1"/>
                  </w14:solidFill>
                </w14:textFill>
              </w:rPr>
              <w:t>（2）生活污水</w:t>
            </w:r>
          </w:p>
          <w:p w14:paraId="09D6E92C">
            <w:pPr>
              <w:ind w:firstLine="420"/>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由于升压站附近没有可直接利用的供水设施，</w:t>
            </w:r>
            <w:r>
              <w:rPr>
                <w:rFonts w:hint="eastAsia"/>
                <w:color w:val="000000" w:themeColor="text1"/>
                <w:u w:val="none"/>
                <w:lang w:val="en-US" w:eastAsia="zh-CN"/>
                <w14:textFill>
                  <w14:solidFill>
                    <w14:schemeClr w14:val="tx1"/>
                  </w14:solidFill>
                </w14:textFill>
              </w:rPr>
              <w:t>可研设计阶段</w:t>
            </w:r>
            <w:r>
              <w:rPr>
                <w:rFonts w:hint="eastAsia"/>
                <w:color w:val="000000" w:themeColor="text1"/>
                <w:u w:val="none"/>
                <w14:textFill>
                  <w14:solidFill>
                    <w14:schemeClr w14:val="tx1"/>
                  </w14:solidFill>
                </w14:textFill>
              </w:rPr>
              <w:t>初步考虑升压站用水水源采用地下水，升压站附近打一口深井，地下水通过潜水泵加压经给水管道送至升压站生活水箱。</w:t>
            </w:r>
          </w:p>
          <w:p w14:paraId="6B3DDCCB">
            <w:pPr>
              <w:ind w:firstLine="420"/>
              <w:rPr>
                <w:color w:val="000000" w:themeColor="text1"/>
                <w:u w:val="none"/>
                <w14:textFill>
                  <w14:solidFill>
                    <w14:schemeClr w14:val="tx1"/>
                  </w14:solidFill>
                </w14:textFill>
              </w:rPr>
            </w:pPr>
            <w:r>
              <w:rPr>
                <w:color w:val="000000" w:themeColor="text1"/>
                <w:u w:val="none"/>
                <w14:textFill>
                  <w14:solidFill>
                    <w14:schemeClr w14:val="tx1"/>
                  </w14:solidFill>
                </w14:textFill>
              </w:rPr>
              <w:t>本工程营运期职工</w:t>
            </w:r>
            <w:r>
              <w:rPr>
                <w:rFonts w:hint="eastAsia"/>
                <w:color w:val="000000" w:themeColor="text1"/>
                <w:u w:val="none"/>
                <w14:textFill>
                  <w14:solidFill>
                    <w14:schemeClr w14:val="tx1"/>
                  </w14:solidFill>
                </w14:textFill>
              </w:rPr>
              <w:t>5人</w:t>
            </w:r>
            <w:r>
              <w:rPr>
                <w:color w:val="000000" w:themeColor="text1"/>
                <w:u w:val="none"/>
                <w14:textFill>
                  <w14:solidFill>
                    <w14:schemeClr w14:val="tx1"/>
                  </w14:solidFill>
                </w14:textFill>
              </w:rPr>
              <w:t>，人均用水量150L/d计，则生活用水量</w:t>
            </w:r>
            <w:r>
              <w:rPr>
                <w:rFonts w:hint="eastAsia"/>
                <w:color w:val="000000" w:themeColor="text1"/>
                <w:u w:val="none"/>
                <w14:textFill>
                  <w14:solidFill>
                    <w14:schemeClr w14:val="tx1"/>
                  </w14:solidFill>
                </w14:textFill>
              </w:rPr>
              <w:t>0.75 m</w:t>
            </w:r>
            <w:r>
              <w:rPr>
                <w:color w:val="000000" w:themeColor="text1"/>
                <w:u w:val="none"/>
                <w:vertAlign w:val="superscript"/>
                <w14:textFill>
                  <w14:solidFill>
                    <w14:schemeClr w14:val="tx1"/>
                  </w14:solidFill>
                </w14:textFill>
              </w:rPr>
              <w:t>3</w:t>
            </w:r>
            <w:r>
              <w:rPr>
                <w:color w:val="000000" w:themeColor="text1"/>
                <w:u w:val="none"/>
                <w14:textFill>
                  <w14:solidFill>
                    <w14:schemeClr w14:val="tx1"/>
                  </w14:solidFill>
                </w14:textFill>
              </w:rPr>
              <w:t>/d。生活污水排放系数取0.8，则运行期生活污水日排放量约为</w:t>
            </w:r>
            <w:r>
              <w:rPr>
                <w:rFonts w:hint="eastAsia"/>
                <w:color w:val="000000" w:themeColor="text1"/>
                <w:u w:val="none"/>
                <w14:textFill>
                  <w14:solidFill>
                    <w14:schemeClr w14:val="tx1"/>
                  </w14:solidFill>
                </w14:textFill>
              </w:rPr>
              <w:t>0.6m</w:t>
            </w:r>
            <w:r>
              <w:rPr>
                <w:color w:val="000000" w:themeColor="text1"/>
                <w:u w:val="none"/>
                <w:vertAlign w:val="superscript"/>
                <w14:textFill>
                  <w14:solidFill>
                    <w14:schemeClr w14:val="tx1"/>
                  </w14:solidFill>
                </w14:textFill>
              </w:rPr>
              <w:t>3</w:t>
            </w:r>
            <w:r>
              <w:rPr>
                <w:color w:val="000000" w:themeColor="text1"/>
                <w:u w:val="none"/>
                <w14:textFill>
                  <w14:solidFill>
                    <w14:schemeClr w14:val="tx1"/>
                  </w14:solidFill>
                </w14:textFill>
              </w:rPr>
              <w:t>/d，主要包括食堂废水、粪便污水、洗涤污水、淋浴污水等，所含污染物主要为氨氮、COD、悬浮物等。生活污水排入升压站设置的化粪池+生活污水一体化处理系统内处理后用于升压站周边绿化灌溉</w:t>
            </w:r>
            <w:r>
              <w:rPr>
                <w:rFonts w:hint="eastAsia"/>
                <w:color w:val="000000" w:themeColor="text1"/>
                <w:u w:val="none"/>
                <w:lang w:eastAsia="zh-CN"/>
                <w14:textFill>
                  <w14:solidFill>
                    <w14:schemeClr w14:val="tx1"/>
                  </w14:solidFill>
                </w14:textFill>
              </w:rPr>
              <w:t>，</w:t>
            </w:r>
            <w:r>
              <w:rPr>
                <w:rFonts w:hint="eastAsia"/>
                <w:color w:val="000000" w:themeColor="text1"/>
                <w:u w:val="none"/>
                <w:lang w:val="en-US" w:eastAsia="zh-CN"/>
                <w14:textFill>
                  <w14:solidFill>
                    <w14:schemeClr w14:val="tx1"/>
                  </w14:solidFill>
                </w14:textFill>
              </w:rPr>
              <w:t>不外排</w:t>
            </w:r>
            <w:r>
              <w:rPr>
                <w:color w:val="000000" w:themeColor="text1"/>
                <w:u w:val="none"/>
                <w14:textFill>
                  <w14:solidFill>
                    <w14:schemeClr w14:val="tx1"/>
                  </w14:solidFill>
                </w14:textFill>
              </w:rPr>
              <w:t>。</w:t>
            </w:r>
          </w:p>
          <w:p w14:paraId="7D30C0D7">
            <w:pPr>
              <w:pStyle w:val="3"/>
              <w:numPr>
                <w:ilvl w:val="0"/>
                <w:numId w:val="0"/>
              </w:numPr>
              <w:tabs>
                <w:tab w:val="left" w:pos="425"/>
                <w:tab w:val="clear" w:pos="420"/>
              </w:tabs>
              <w:rPr>
                <w:rFonts w:cs="Times New Roman"/>
                <w:color w:val="000000" w:themeColor="text1"/>
                <w:szCs w:val="21"/>
                <w:u w:val="none"/>
                <w14:textFill>
                  <w14:solidFill>
                    <w14:schemeClr w14:val="tx1"/>
                  </w14:solidFill>
                </w14:textFill>
              </w:rPr>
            </w:pPr>
            <w:bookmarkStart w:id="176" w:name="_Toc20232"/>
            <w:bookmarkStart w:id="177" w:name="_Toc26975"/>
            <w:r>
              <w:rPr>
                <w:rFonts w:cs="Times New Roman"/>
                <w:color w:val="000000" w:themeColor="text1"/>
                <w:szCs w:val="21"/>
                <w:u w:val="none"/>
                <w14:textFill>
                  <w14:solidFill>
                    <w14:schemeClr w14:val="tx1"/>
                  </w14:solidFill>
                </w14:textFill>
              </w:rPr>
              <w:t>4.11 运营期地下水环境影响分析</w:t>
            </w:r>
            <w:bookmarkEnd w:id="176"/>
            <w:bookmarkEnd w:id="177"/>
          </w:p>
          <w:p w14:paraId="06793693">
            <w:pPr>
              <w:ind w:firstLine="420"/>
              <w:rPr>
                <w:color w:val="000000" w:themeColor="text1"/>
                <w:u w:val="none"/>
                <w14:textFill>
                  <w14:solidFill>
                    <w14:schemeClr w14:val="tx1"/>
                  </w14:solidFill>
                </w14:textFill>
              </w:rPr>
            </w:pPr>
            <w:r>
              <w:rPr>
                <w:color w:val="000000" w:themeColor="text1"/>
                <w:u w:val="none"/>
                <w14:textFill>
                  <w14:solidFill>
                    <w14:schemeClr w14:val="tx1"/>
                  </w14:solidFill>
                </w14:textFill>
              </w:rPr>
              <w:t>运行期污水主要是管理人员的生活污水，由于现场工作人员不多，生活污水产生量较小，排入升压站设有的化粪池+生活污水一体化处理系统内处理后用于升压站周边绿化灌溉。因此，在采取以上措施后，本项目运行期不会对地下水环境产生污染。</w:t>
            </w:r>
          </w:p>
          <w:p w14:paraId="1FCF7B03">
            <w:pPr>
              <w:pStyle w:val="3"/>
              <w:numPr>
                <w:ilvl w:val="0"/>
                <w:numId w:val="0"/>
              </w:numPr>
              <w:tabs>
                <w:tab w:val="left" w:pos="425"/>
                <w:tab w:val="clear" w:pos="420"/>
              </w:tabs>
              <w:rPr>
                <w:rFonts w:cs="Times New Roman"/>
                <w:color w:val="000000" w:themeColor="text1"/>
                <w:szCs w:val="21"/>
                <w:u w:val="none"/>
                <w14:textFill>
                  <w14:solidFill>
                    <w14:schemeClr w14:val="tx1"/>
                  </w14:solidFill>
                </w14:textFill>
              </w:rPr>
            </w:pPr>
            <w:bookmarkStart w:id="178" w:name="_Toc4525"/>
            <w:bookmarkStart w:id="179" w:name="_Toc16556"/>
            <w:r>
              <w:rPr>
                <w:rFonts w:cs="Times New Roman"/>
                <w:color w:val="000000" w:themeColor="text1"/>
                <w:szCs w:val="21"/>
                <w:u w:val="none"/>
                <w14:textFill>
                  <w14:solidFill>
                    <w14:schemeClr w14:val="tx1"/>
                  </w14:solidFill>
                </w14:textFill>
              </w:rPr>
              <w:t>4.12 运营期大气环境影响分析</w:t>
            </w:r>
            <w:bookmarkEnd w:id="178"/>
            <w:bookmarkEnd w:id="179"/>
          </w:p>
          <w:p w14:paraId="70F8D090">
            <w:pPr>
              <w:ind w:firstLine="420"/>
              <w:rPr>
                <w:color w:val="000000" w:themeColor="text1"/>
                <w:szCs w:val="21"/>
                <w:u w:val="none"/>
                <w14:textFill>
                  <w14:solidFill>
                    <w14:schemeClr w14:val="tx1"/>
                  </w14:solidFill>
                </w14:textFill>
              </w:rPr>
            </w:pPr>
            <w:r>
              <w:rPr>
                <w:color w:val="000000" w:themeColor="text1"/>
                <w:szCs w:val="21"/>
                <w:u w:val="none"/>
                <w14:textFill>
                  <w14:solidFill>
                    <w14:schemeClr w14:val="tx1"/>
                  </w14:solidFill>
                </w14:textFill>
              </w:rPr>
              <w:t>本项目运行期职工日常生活所需能源均采用电能，产生的大气污染物主要为食堂烹饪过程中产生的油烟。</w:t>
            </w:r>
          </w:p>
          <w:p w14:paraId="5898F36D">
            <w:pPr>
              <w:ind w:firstLine="420"/>
              <w:rPr>
                <w:color w:val="000000" w:themeColor="text1"/>
                <w:szCs w:val="21"/>
                <w:u w:val="none"/>
                <w14:textFill>
                  <w14:solidFill>
                    <w14:schemeClr w14:val="tx1"/>
                  </w14:solidFill>
                </w14:textFill>
              </w:rPr>
            </w:pPr>
            <w:r>
              <w:rPr>
                <w:color w:val="000000" w:themeColor="text1"/>
                <w:szCs w:val="21"/>
                <w:u w:val="none"/>
                <w14:textFill>
                  <w14:solidFill>
                    <w14:schemeClr w14:val="tx1"/>
                  </w14:solidFill>
                </w14:textFill>
              </w:rPr>
              <w:t>本项目运行期劳动定员</w:t>
            </w:r>
            <w:r>
              <w:rPr>
                <w:rFonts w:hint="eastAsia"/>
                <w:color w:val="000000" w:themeColor="text1"/>
                <w:szCs w:val="21"/>
                <w:u w:val="none"/>
                <w14:textFill>
                  <w14:solidFill>
                    <w14:schemeClr w14:val="tx1"/>
                  </w14:solidFill>
                </w14:textFill>
              </w:rPr>
              <w:t>5人</w:t>
            </w:r>
            <w:r>
              <w:rPr>
                <w:color w:val="000000" w:themeColor="text1"/>
                <w:szCs w:val="21"/>
                <w:u w:val="none"/>
                <w14:textFill>
                  <w14:solidFill>
                    <w14:schemeClr w14:val="tx1"/>
                  </w14:solidFill>
                </w14:textFill>
              </w:rPr>
              <w:t>，油烟经处理后</w:t>
            </w:r>
            <w:r>
              <w:rPr>
                <w:rFonts w:hint="eastAsia"/>
                <w:color w:val="000000" w:themeColor="text1"/>
                <w:szCs w:val="21"/>
                <w:u w:val="none"/>
                <w:lang w:val="en-US" w:eastAsia="zh-CN"/>
                <w14:textFill>
                  <w14:solidFill>
                    <w14:schemeClr w14:val="tx1"/>
                  </w14:solidFill>
                </w14:textFill>
              </w:rPr>
              <w:t>于屋顶排放</w:t>
            </w:r>
            <w:r>
              <w:rPr>
                <w:color w:val="000000" w:themeColor="text1"/>
                <w:szCs w:val="21"/>
                <w:u w:val="none"/>
                <w14:textFill>
                  <w14:solidFill>
                    <w14:schemeClr w14:val="tx1"/>
                  </w14:solidFill>
                </w14:textFill>
              </w:rPr>
              <w:t>，对大气环境的影响很小。</w:t>
            </w:r>
          </w:p>
          <w:p w14:paraId="4F38F410">
            <w:pPr>
              <w:pStyle w:val="3"/>
              <w:numPr>
                <w:ilvl w:val="0"/>
                <w:numId w:val="0"/>
              </w:numPr>
              <w:tabs>
                <w:tab w:val="left" w:pos="425"/>
                <w:tab w:val="clear" w:pos="420"/>
              </w:tabs>
              <w:rPr>
                <w:rFonts w:cs="Times New Roman"/>
                <w:color w:val="000000" w:themeColor="text1"/>
                <w:szCs w:val="21"/>
                <w:u w:val="none"/>
                <w14:textFill>
                  <w14:solidFill>
                    <w14:schemeClr w14:val="tx1"/>
                  </w14:solidFill>
                </w14:textFill>
              </w:rPr>
            </w:pPr>
            <w:bookmarkStart w:id="180" w:name="_Toc29021"/>
            <w:bookmarkStart w:id="181" w:name="_Toc2017"/>
            <w:r>
              <w:rPr>
                <w:rFonts w:cs="Times New Roman"/>
                <w:color w:val="000000" w:themeColor="text1"/>
                <w:szCs w:val="21"/>
                <w:u w:val="none"/>
                <w14:textFill>
                  <w14:solidFill>
                    <w14:schemeClr w14:val="tx1"/>
                  </w14:solidFill>
                </w14:textFill>
              </w:rPr>
              <w:t>4.13 运营期固体废弃物影响分析</w:t>
            </w:r>
            <w:bookmarkEnd w:id="180"/>
            <w:bookmarkEnd w:id="181"/>
          </w:p>
          <w:p w14:paraId="381CA483">
            <w:pPr>
              <w:ind w:firstLine="420"/>
              <w:rPr>
                <w:color w:val="000000" w:themeColor="text1"/>
                <w:u w:val="none"/>
                <w14:textFill>
                  <w14:solidFill>
                    <w14:schemeClr w14:val="tx1"/>
                  </w14:solidFill>
                </w14:textFill>
              </w:rPr>
            </w:pPr>
            <w:r>
              <w:rPr>
                <w:color w:val="000000" w:themeColor="text1"/>
                <w:u w:val="none"/>
                <w14:textFill>
                  <w14:solidFill>
                    <w14:schemeClr w14:val="tx1"/>
                  </w14:solidFill>
                </w14:textFill>
              </w:rPr>
              <w:t>（1）生活垃圾</w:t>
            </w:r>
          </w:p>
          <w:p w14:paraId="5EA3532D">
            <w:pPr>
              <w:ind w:firstLine="420"/>
              <w:rPr>
                <w:color w:val="000000" w:themeColor="text1"/>
                <w:u w:val="none"/>
                <w14:textFill>
                  <w14:solidFill>
                    <w14:schemeClr w14:val="tx1"/>
                  </w14:solidFill>
                </w14:textFill>
              </w:rPr>
            </w:pPr>
            <w:r>
              <w:rPr>
                <w:color w:val="000000" w:themeColor="text1"/>
                <w:u w:val="none"/>
                <w14:textFill>
                  <w14:solidFill>
                    <w14:schemeClr w14:val="tx1"/>
                  </w14:solidFill>
                </w14:textFill>
              </w:rPr>
              <w:t>运行期风电场管理人员产生生活垃圾</w:t>
            </w:r>
            <w:r>
              <w:rPr>
                <w:rFonts w:hint="eastAsia"/>
                <w:color w:val="000000" w:themeColor="text1"/>
                <w:u w:val="none"/>
                <w14:textFill>
                  <w14:solidFill>
                    <w14:schemeClr w14:val="tx1"/>
                  </w14:solidFill>
                </w14:textFill>
              </w:rPr>
              <w:t>2.5kg/d</w:t>
            </w:r>
            <w:r>
              <w:rPr>
                <w:color w:val="000000" w:themeColor="text1"/>
                <w:u w:val="none"/>
                <w14:textFill>
                  <w14:solidFill>
                    <w14:schemeClr w14:val="tx1"/>
                  </w14:solidFill>
                </w14:textFill>
              </w:rPr>
              <w:t>，营运期由于生活垃圾产生量小，可在升压站设置垃圾箱，将生活垃圾进行分类收集后，交由乡镇环卫部门统一收集后进行卫生填埋。污水处理过程中产生的污泥将自行堆肥，主要用于场区的绿化和生态恢复。因此，本项目固废处理后能实现无害化要求，从处置途径和处置方式上看可行。</w:t>
            </w:r>
          </w:p>
          <w:p w14:paraId="7BE1BAE5">
            <w:pPr>
              <w:ind w:firstLine="420"/>
              <w:rPr>
                <w:color w:val="000000" w:themeColor="text1"/>
                <w:u w:val="none"/>
                <w14:textFill>
                  <w14:solidFill>
                    <w14:schemeClr w14:val="tx1"/>
                  </w14:solidFill>
                </w14:textFill>
              </w:rPr>
            </w:pPr>
            <w:r>
              <w:rPr>
                <w:color w:val="000000" w:themeColor="text1"/>
                <w:u w:val="none"/>
                <w14:textFill>
                  <w14:solidFill>
                    <w14:schemeClr w14:val="tx1"/>
                  </w14:solidFill>
                </w14:textFill>
              </w:rPr>
              <w:t>（2）废机油</w:t>
            </w:r>
          </w:p>
          <w:p w14:paraId="355EDFD3">
            <w:pPr>
              <w:ind w:firstLine="420"/>
              <w:rPr>
                <w:color w:val="000000" w:themeColor="text1"/>
                <w:u w:val="none"/>
                <w14:textFill>
                  <w14:solidFill>
                    <w14:schemeClr w14:val="tx1"/>
                  </w14:solidFill>
                </w14:textFill>
              </w:rPr>
            </w:pPr>
            <w:r>
              <w:rPr>
                <w:color w:val="000000" w:themeColor="text1"/>
                <w:u w:val="none"/>
                <w14:textFill>
                  <w14:solidFill>
                    <w14:schemeClr w14:val="tx1"/>
                  </w14:solidFill>
                </w14:textFill>
              </w:rPr>
              <w:t>风力发电机组变速箱使用机油进行润滑。根据建设单位提供的资料，由于风电组机转速小，机油用量使用量少，每台发电机组机油用量为50kg左右，风电场机油用量合计为</w:t>
            </w:r>
            <w:r>
              <w:rPr>
                <w:rFonts w:hint="eastAsia"/>
                <w:color w:val="000000" w:themeColor="text1"/>
                <w:u w:val="none"/>
                <w:lang w:val="en-US" w:eastAsia="zh-CN"/>
                <w14:textFill>
                  <w14:solidFill>
                    <w14:schemeClr w14:val="tx1"/>
                  </w14:solidFill>
                </w14:textFill>
              </w:rPr>
              <w:t>4</w:t>
            </w:r>
            <w:r>
              <w:rPr>
                <w:color w:val="000000" w:themeColor="text1"/>
                <w:u w:val="none"/>
                <w14:textFill>
                  <w14:solidFill>
                    <w14:schemeClr w14:val="tx1"/>
                  </w14:solidFill>
                </w14:textFill>
              </w:rPr>
              <w:t>00kg。机油使用过程中若出现氧化现象则需更换。一般情况下，机油约5年~10年更换一次，按更换率50%考虑，风电场废机油最大产生量为</w:t>
            </w:r>
            <w:r>
              <w:rPr>
                <w:rFonts w:hint="eastAsia"/>
                <w:color w:val="000000" w:themeColor="text1"/>
                <w:u w:val="none"/>
                <w14:textFill>
                  <w14:solidFill>
                    <w14:schemeClr w14:val="tx1"/>
                  </w14:solidFill>
                </w14:textFill>
              </w:rPr>
              <w:t>2</w:t>
            </w:r>
            <w:r>
              <w:rPr>
                <w:rFonts w:hint="eastAsia"/>
                <w:color w:val="000000" w:themeColor="text1"/>
                <w:u w:val="none"/>
                <w:lang w:val="en-US" w:eastAsia="zh-CN"/>
                <w14:textFill>
                  <w14:solidFill>
                    <w14:schemeClr w14:val="tx1"/>
                  </w14:solidFill>
                </w14:textFill>
              </w:rPr>
              <w:t>0</w:t>
            </w:r>
            <w:r>
              <w:rPr>
                <w:color w:val="000000" w:themeColor="text1"/>
                <w:u w:val="none"/>
                <w14:textFill>
                  <w14:solidFill>
                    <w14:schemeClr w14:val="tx1"/>
                  </w14:solidFill>
                </w14:textFill>
              </w:rPr>
              <w:t>0kg/次，平均产生量</w:t>
            </w:r>
            <w:r>
              <w:rPr>
                <w:rFonts w:hint="eastAsia"/>
                <w:color w:val="000000" w:themeColor="text1"/>
                <w:u w:val="none"/>
                <w:lang w:val="en-US" w:eastAsia="zh-CN"/>
                <w14:textFill>
                  <w14:solidFill>
                    <w14:schemeClr w14:val="tx1"/>
                  </w14:solidFill>
                </w14:textFill>
              </w:rPr>
              <w:t>4</w:t>
            </w:r>
            <w:r>
              <w:rPr>
                <w:rFonts w:hint="eastAsia"/>
                <w:color w:val="000000" w:themeColor="text1"/>
                <w:u w:val="none"/>
                <w14:textFill>
                  <w14:solidFill>
                    <w14:schemeClr w14:val="tx1"/>
                  </w14:solidFill>
                </w14:textFill>
              </w:rPr>
              <w:t>0</w:t>
            </w:r>
            <w:r>
              <w:rPr>
                <w:color w:val="000000" w:themeColor="text1"/>
                <w:u w:val="none"/>
                <w14:textFill>
                  <w14:solidFill>
                    <w14:schemeClr w14:val="tx1"/>
                  </w14:solidFill>
                </w14:textFill>
              </w:rPr>
              <w:t>kg/年。更换的废机油</w:t>
            </w:r>
            <w:r>
              <w:rPr>
                <w:rFonts w:hint="eastAsia"/>
                <w:color w:val="000000" w:themeColor="text1"/>
                <w:u w:val="none"/>
                <w:lang w:val="en-US" w:eastAsia="zh-CN"/>
                <w14:textFill>
                  <w14:solidFill>
                    <w14:schemeClr w14:val="tx1"/>
                  </w14:solidFill>
                </w14:textFill>
              </w:rPr>
              <w:t>由厂家直接带走，不在厂内存储</w:t>
            </w:r>
            <w:r>
              <w:rPr>
                <w:color w:val="000000" w:themeColor="text1"/>
                <w:u w:val="none"/>
                <w14:textFill>
                  <w14:solidFill>
                    <w14:schemeClr w14:val="tx1"/>
                  </w14:solidFill>
                </w14:textFill>
              </w:rPr>
              <w:t>。</w:t>
            </w:r>
          </w:p>
          <w:p w14:paraId="385B61F8">
            <w:pPr>
              <w:ind w:firstLine="420"/>
              <w:rPr>
                <w:color w:val="000000" w:themeColor="text1"/>
                <w:u w:val="none"/>
                <w14:textFill>
                  <w14:solidFill>
                    <w14:schemeClr w14:val="tx1"/>
                  </w14:solidFill>
                </w14:textFill>
              </w:rPr>
            </w:pPr>
            <w:r>
              <w:rPr>
                <w:color w:val="000000" w:themeColor="text1"/>
                <w:u w:val="none"/>
                <w14:textFill>
                  <w14:solidFill>
                    <w14:schemeClr w14:val="tx1"/>
                  </w14:solidFill>
                </w14:textFill>
              </w:rPr>
              <w:t>（3）废蓄电池</w:t>
            </w:r>
          </w:p>
          <w:p w14:paraId="16548BB5">
            <w:pPr>
              <w:ind w:firstLine="420"/>
              <w:rPr>
                <w:color w:val="000000" w:themeColor="text1"/>
                <w:u w:val="none"/>
                <w14:textFill>
                  <w14:solidFill>
                    <w14:schemeClr w14:val="tx1"/>
                  </w14:solidFill>
                </w14:textFill>
              </w:rPr>
            </w:pPr>
            <w:r>
              <w:rPr>
                <w:color w:val="000000" w:themeColor="text1"/>
                <w:u w:val="none"/>
                <w14:textFill>
                  <w14:solidFill>
                    <w14:schemeClr w14:val="tx1"/>
                  </w14:solidFill>
                </w14:textFill>
              </w:rPr>
              <w:t>本项目变电站直流系统的蓄电池采用2组阀控式铅酸免维护蓄电池，单体2V，容量300Ah，电池104只/组。蓄电池使用一段时间后，会因活性物质脱落、板栅腐蚀或极板变形、硫化等因素，使容量降低直至失效。变电站铅酸蓄电池使用年限不一，一般浮充寿命为8～10年左右，退役的蓄电池属于危险废物</w:t>
            </w:r>
            <w:r>
              <w:rPr>
                <w:rFonts w:hint="eastAsia"/>
                <w:color w:val="000000" w:themeColor="text1"/>
                <w:u w:val="none"/>
                <w:lang w:eastAsia="zh-CN"/>
                <w14:textFill>
                  <w14:solidFill>
                    <w14:schemeClr w14:val="tx1"/>
                  </w14:solidFill>
                </w14:textFill>
              </w:rPr>
              <w:t>，</w:t>
            </w:r>
            <w:r>
              <w:rPr>
                <w:rFonts w:hint="eastAsia"/>
                <w:color w:val="000000" w:themeColor="text1"/>
                <w:u w:val="none"/>
                <w:lang w:val="en-US" w:eastAsia="zh-CN"/>
                <w14:textFill>
                  <w14:solidFill>
                    <w14:schemeClr w14:val="tx1"/>
                  </w14:solidFill>
                </w14:textFill>
              </w:rPr>
              <w:t>由厂家进行回收</w:t>
            </w:r>
            <w:r>
              <w:rPr>
                <w:color w:val="000000" w:themeColor="text1"/>
                <w:u w:val="none"/>
                <w14:textFill>
                  <w14:solidFill>
                    <w14:schemeClr w14:val="tx1"/>
                  </w14:solidFill>
                </w14:textFill>
              </w:rPr>
              <w:t>。因此，建设方须严格按照国家危废转移、处置有关规定对变压器废油和退役的蓄电池进行转移、处置，从而确保退役的蓄电池按国家有关规定进行转移、处置。</w:t>
            </w:r>
          </w:p>
          <w:p w14:paraId="72339848">
            <w:pPr>
              <w:ind w:firstLine="420"/>
              <w:rPr>
                <w:color w:val="000000" w:themeColor="text1"/>
                <w:u w:val="none"/>
                <w14:textFill>
                  <w14:solidFill>
                    <w14:schemeClr w14:val="tx1"/>
                  </w14:solidFill>
                </w14:textFill>
              </w:rPr>
            </w:pPr>
            <w:r>
              <w:rPr>
                <w:color w:val="000000" w:themeColor="text1"/>
                <w:u w:val="none"/>
                <w14:textFill>
                  <w14:solidFill>
                    <w14:schemeClr w14:val="tx1"/>
                  </w14:solidFill>
                </w14:textFill>
              </w:rPr>
              <w:t>（4）废变压器油</w:t>
            </w:r>
          </w:p>
          <w:p w14:paraId="70B70731">
            <w:pPr>
              <w:ind w:firstLine="420"/>
              <w:rPr>
                <w:color w:val="000000" w:themeColor="text1"/>
                <w:u w:val="none"/>
                <w14:textFill>
                  <w14:solidFill>
                    <w14:schemeClr w14:val="tx1"/>
                  </w14:solidFill>
                </w14:textFill>
              </w:rPr>
            </w:pPr>
            <w:r>
              <w:rPr>
                <w:color w:val="000000" w:themeColor="text1"/>
                <w:u w:val="none"/>
                <w14:textFill>
                  <w14:solidFill>
                    <w14:schemeClr w14:val="tx1"/>
                  </w14:solidFill>
                </w14:textFill>
              </w:rPr>
              <w:t>升压站变压器使用变压器油，事故发生时会发生变压器油外泄。</w:t>
            </w:r>
            <w:r>
              <w:rPr>
                <w:rFonts w:hint="eastAsia"/>
                <w:color w:val="000000" w:themeColor="text1"/>
                <w:u w:val="none"/>
                <w14:textFill>
                  <w14:solidFill>
                    <w14:schemeClr w14:val="tx1"/>
                  </w14:solidFill>
                </w14:textFill>
              </w:rPr>
              <w:t>根据本项目可研设计</w:t>
            </w:r>
            <w:r>
              <w:rPr>
                <w:color w:val="000000" w:themeColor="text1"/>
                <w:u w:val="none"/>
                <w14:textFill>
                  <w14:solidFill>
                    <w14:schemeClr w14:val="tx1"/>
                  </w14:solidFill>
                </w14:textFill>
              </w:rPr>
              <w:t>变电站内设置污油排蓄系统，即按最大一台主变压器的油量，设一座事故油池，有效容积</w:t>
            </w:r>
            <w:r>
              <w:rPr>
                <w:rFonts w:hint="eastAsia"/>
                <w:color w:val="000000" w:themeColor="text1"/>
                <w:u w:val="none"/>
                <w:lang w:val="en-US" w:eastAsia="zh-CN"/>
                <w14:textFill>
                  <w14:solidFill>
                    <w14:schemeClr w14:val="tx1"/>
                  </w14:solidFill>
                </w14:textFill>
              </w:rPr>
              <w:t>48</w:t>
            </w:r>
            <w:r>
              <w:rPr>
                <w:color w:val="000000" w:themeColor="text1"/>
                <w:u w:val="none"/>
                <w14:textFill>
                  <w14:solidFill>
                    <w14:schemeClr w14:val="tx1"/>
                  </w14:solidFill>
                </w14:textFill>
              </w:rPr>
              <w:t>m</w:t>
            </w:r>
            <w:r>
              <w:rPr>
                <w:color w:val="000000" w:themeColor="text1"/>
                <w:u w:val="none"/>
                <w:vertAlign w:val="superscript"/>
                <w14:textFill>
                  <w14:solidFill>
                    <w14:schemeClr w14:val="tx1"/>
                  </w14:solidFill>
                </w14:textFill>
              </w:rPr>
              <w:t>3</w:t>
            </w:r>
            <w:r>
              <w:rPr>
                <w:color w:val="000000" w:themeColor="text1"/>
                <w:u w:val="none"/>
                <w14:textFill>
                  <w14:solidFill>
                    <w14:schemeClr w14:val="tx1"/>
                  </w14:solidFill>
                </w14:textFill>
              </w:rPr>
              <w:t>，事故油池应加盖防雨。一旦变压器事故时排油或漏油，所有的油水混合物将渗过卵石层并通过排油槽到达事故油池，在此过程中卵石层起到冷却油的作用，不易发生火灾。然后经过真空净油机将油水进行分离。废变压器油属于危险废物，集中收集后委托有危险废物处理资质的单位妥善处理。升压站泄漏的变压器油可以得到妥善处置，不会对周边环境造成影响。</w:t>
            </w:r>
          </w:p>
          <w:p w14:paraId="7DF21294">
            <w:pPr>
              <w:ind w:firstLine="420"/>
              <w:rPr>
                <w:rFonts w:ascii="Times New Roman" w:hAnsi="Times New Roman" w:eastAsia="宋体" w:cs="Times New Roman"/>
                <w:color w:val="000000" w:themeColor="text1"/>
                <w:u w:val="none"/>
                <w14:textFill>
                  <w14:solidFill>
                    <w14:schemeClr w14:val="tx1"/>
                  </w14:solidFill>
                </w14:textFill>
              </w:rPr>
            </w:pPr>
            <w:r>
              <w:rPr>
                <w:rFonts w:ascii="Times New Roman" w:hAnsi="Times New Roman" w:eastAsia="宋体" w:cs="Times New Roman"/>
                <w:color w:val="000000" w:themeColor="text1"/>
                <w:u w:val="none"/>
                <w14:textFill>
                  <w14:solidFill>
                    <w14:schemeClr w14:val="tx1"/>
                  </w14:solidFill>
                </w14:textFill>
              </w:rPr>
              <w:t>（5）废矿物油</w:t>
            </w:r>
          </w:p>
          <w:p w14:paraId="6DFCCF30">
            <w:pPr>
              <w:ind w:firstLine="420"/>
              <w:rPr>
                <w:color w:val="000000" w:themeColor="text1"/>
                <w:u w:val="none"/>
                <w14:textFill>
                  <w14:solidFill>
                    <w14:schemeClr w14:val="tx1"/>
                  </w14:solidFill>
                </w14:textFill>
              </w:rPr>
            </w:pPr>
            <w:r>
              <w:rPr>
                <w:color w:val="000000" w:themeColor="text1"/>
                <w:u w:val="none"/>
                <w14:textFill>
                  <w14:solidFill>
                    <w14:schemeClr w14:val="tx1"/>
                  </w14:solidFill>
                </w14:textFill>
              </w:rPr>
              <w:t>本项目风机叶片转动采用液压调节，根据建设单位提供的资料，液压油更换周期较长，一般6~10年更换一次，该废液压油属于危险废物，类比其他风电场项目估算，该油产生量约2t/次，应按《危险废物贮存污染控制标准》（GB18597-20</w:t>
            </w:r>
            <w:r>
              <w:rPr>
                <w:rFonts w:hint="eastAsia"/>
                <w:color w:val="000000" w:themeColor="text1"/>
                <w:u w:val="none"/>
                <w:lang w:val="en-US" w:eastAsia="zh-CN"/>
                <w14:textFill>
                  <w14:solidFill>
                    <w14:schemeClr w14:val="tx1"/>
                  </w14:solidFill>
                </w14:textFill>
              </w:rPr>
              <w:t>23</w:t>
            </w:r>
            <w:r>
              <w:rPr>
                <w:color w:val="000000" w:themeColor="text1"/>
                <w:u w:val="none"/>
                <w14:textFill>
                  <w14:solidFill>
                    <w14:schemeClr w14:val="tx1"/>
                  </w14:solidFill>
                </w14:textFill>
              </w:rPr>
              <w:t>）中的要求进行临时贮存，并定期及时交给有资质的单位进行处理，不会对周边环境造成影响。</w:t>
            </w:r>
          </w:p>
          <w:p w14:paraId="12CFF7A3">
            <w:pPr>
              <w:pStyle w:val="89"/>
              <w:rPr>
                <w:color w:val="000000" w:themeColor="text1"/>
                <w:kern w:val="2"/>
                <w:u w:val="none"/>
                <w14:textFill>
                  <w14:solidFill>
                    <w14:schemeClr w14:val="tx1"/>
                  </w14:solidFill>
                </w14:textFill>
              </w:rPr>
            </w:pPr>
            <w:r>
              <w:rPr>
                <w:color w:val="000000" w:themeColor="text1"/>
                <w:kern w:val="2"/>
                <w:u w:val="none"/>
                <w14:textFill>
                  <w14:solidFill>
                    <w14:schemeClr w14:val="tx1"/>
                  </w14:solidFill>
                </w14:textFill>
              </w:rPr>
              <w:t>表4</w:t>
            </w:r>
            <w:r>
              <w:rPr>
                <w:rFonts w:hint="eastAsia"/>
                <w:color w:val="000000" w:themeColor="text1"/>
                <w:kern w:val="2"/>
                <w:u w:val="none"/>
                <w14:textFill>
                  <w14:solidFill>
                    <w14:schemeClr w14:val="tx1"/>
                  </w14:solidFill>
                </w14:textFill>
              </w:rPr>
              <w:t>.13</w:t>
            </w:r>
            <w:r>
              <w:rPr>
                <w:rFonts w:hint="eastAsia"/>
                <w:color w:val="000000" w:themeColor="text1"/>
                <w:kern w:val="2"/>
                <w:u w:val="none"/>
                <w:lang w:val="en-US" w:eastAsia="zh-CN"/>
                <w14:textFill>
                  <w14:solidFill>
                    <w14:schemeClr w14:val="tx1"/>
                  </w14:solidFill>
                </w14:textFill>
              </w:rPr>
              <w:t>-1</w:t>
            </w:r>
            <w:r>
              <w:rPr>
                <w:color w:val="000000" w:themeColor="text1"/>
                <w:kern w:val="2"/>
                <w:u w:val="none"/>
                <w14:textFill>
                  <w14:solidFill>
                    <w14:schemeClr w14:val="tx1"/>
                  </w14:solidFill>
                </w14:textFill>
              </w:rPr>
              <w:t xml:space="preserve">  危险废物产生情况一览表</w:t>
            </w:r>
          </w:p>
          <w:tbl>
            <w:tblPr>
              <w:tblStyle w:val="26"/>
              <w:tblW w:w="77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
            <w:tblGrid>
              <w:gridCol w:w="576"/>
              <w:gridCol w:w="1346"/>
              <w:gridCol w:w="1346"/>
              <w:gridCol w:w="1445"/>
              <w:gridCol w:w="1175"/>
              <w:gridCol w:w="1029"/>
              <w:gridCol w:w="840"/>
            </w:tblGrid>
            <w:tr w14:paraId="0434D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97" w:hRule="atLeast"/>
              </w:trPr>
              <w:tc>
                <w:tcPr>
                  <w:tcW w:w="576" w:type="dxa"/>
                  <w:tcBorders>
                    <w:tl2br w:val="nil"/>
                    <w:tr2bl w:val="nil"/>
                  </w:tcBorders>
                  <w:vAlign w:val="center"/>
                </w:tcPr>
                <w:p w14:paraId="59CCB41F">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序号</w:t>
                  </w:r>
                </w:p>
              </w:tc>
              <w:tc>
                <w:tcPr>
                  <w:tcW w:w="1346" w:type="dxa"/>
                  <w:tcBorders>
                    <w:tl2br w:val="nil"/>
                    <w:tr2bl w:val="nil"/>
                  </w:tcBorders>
                  <w:vAlign w:val="center"/>
                </w:tcPr>
                <w:p w14:paraId="7C45D77D">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危废名称</w:t>
                  </w:r>
                </w:p>
              </w:tc>
              <w:tc>
                <w:tcPr>
                  <w:tcW w:w="1346" w:type="dxa"/>
                  <w:tcBorders>
                    <w:tl2br w:val="nil"/>
                    <w:tr2bl w:val="nil"/>
                  </w:tcBorders>
                  <w:vAlign w:val="center"/>
                </w:tcPr>
                <w:p w14:paraId="71097F6F">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来源</w:t>
                  </w:r>
                </w:p>
              </w:tc>
              <w:tc>
                <w:tcPr>
                  <w:tcW w:w="1445" w:type="dxa"/>
                  <w:tcBorders>
                    <w:tl2br w:val="nil"/>
                    <w:tr2bl w:val="nil"/>
                  </w:tcBorders>
                  <w:vAlign w:val="center"/>
                </w:tcPr>
                <w:p w14:paraId="2CC8C355">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产生量</w:t>
                  </w:r>
                </w:p>
              </w:tc>
              <w:tc>
                <w:tcPr>
                  <w:tcW w:w="1175" w:type="dxa"/>
                  <w:tcBorders>
                    <w:tl2br w:val="nil"/>
                    <w:tr2bl w:val="nil"/>
                  </w:tcBorders>
                  <w:vAlign w:val="center"/>
                </w:tcPr>
                <w:p w14:paraId="562F1126">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危废代码</w:t>
                  </w:r>
                </w:p>
              </w:tc>
              <w:tc>
                <w:tcPr>
                  <w:tcW w:w="1029" w:type="dxa"/>
                  <w:tcBorders>
                    <w:tl2br w:val="nil"/>
                    <w:tr2bl w:val="nil"/>
                  </w:tcBorders>
                  <w:vAlign w:val="center"/>
                </w:tcPr>
                <w:p w14:paraId="2B284859">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收集方式</w:t>
                  </w:r>
                </w:p>
              </w:tc>
              <w:tc>
                <w:tcPr>
                  <w:tcW w:w="840" w:type="dxa"/>
                  <w:tcBorders>
                    <w:tl2br w:val="nil"/>
                    <w:tr2bl w:val="nil"/>
                  </w:tcBorders>
                  <w:vAlign w:val="center"/>
                </w:tcPr>
                <w:p w14:paraId="252A4271">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去向</w:t>
                  </w:r>
                </w:p>
              </w:tc>
            </w:tr>
            <w:tr w14:paraId="3682F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97" w:hRule="atLeast"/>
              </w:trPr>
              <w:tc>
                <w:tcPr>
                  <w:tcW w:w="576" w:type="dxa"/>
                  <w:tcBorders>
                    <w:tl2br w:val="nil"/>
                    <w:tr2bl w:val="nil"/>
                  </w:tcBorders>
                  <w:vAlign w:val="center"/>
                </w:tcPr>
                <w:p w14:paraId="30B5DCD2">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1</w:t>
                  </w:r>
                </w:p>
              </w:tc>
              <w:tc>
                <w:tcPr>
                  <w:tcW w:w="1346" w:type="dxa"/>
                  <w:tcBorders>
                    <w:tl2br w:val="nil"/>
                    <w:tr2bl w:val="nil"/>
                  </w:tcBorders>
                  <w:vAlign w:val="center"/>
                </w:tcPr>
                <w:p w14:paraId="3BD2EA7D">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废机油</w:t>
                  </w:r>
                </w:p>
              </w:tc>
              <w:tc>
                <w:tcPr>
                  <w:tcW w:w="1346" w:type="dxa"/>
                  <w:tcBorders>
                    <w:tl2br w:val="nil"/>
                    <w:tr2bl w:val="nil"/>
                  </w:tcBorders>
                  <w:vAlign w:val="center"/>
                </w:tcPr>
                <w:p w14:paraId="585712BB">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风机机组</w:t>
                  </w:r>
                </w:p>
              </w:tc>
              <w:tc>
                <w:tcPr>
                  <w:tcW w:w="1445" w:type="dxa"/>
                  <w:tcBorders>
                    <w:tl2br w:val="nil"/>
                    <w:tr2bl w:val="nil"/>
                  </w:tcBorders>
                  <w:vAlign w:val="center"/>
                </w:tcPr>
                <w:p w14:paraId="5D9FA54A">
                  <w:pPr>
                    <w:pStyle w:val="63"/>
                    <w:spacing w:before="24" w:after="24"/>
                    <w:rPr>
                      <w:rFonts w:ascii="Times New Roman" w:hAnsi="Times New Roman"/>
                      <w:color w:val="000000" w:themeColor="text1"/>
                      <w:sz w:val="21"/>
                      <w:u w:val="none"/>
                      <w14:textFill>
                        <w14:solidFill>
                          <w14:schemeClr w14:val="tx1"/>
                        </w14:solidFill>
                      </w14:textFill>
                    </w:rPr>
                  </w:pPr>
                  <w:r>
                    <w:rPr>
                      <w:rFonts w:hint="eastAsia" w:ascii="Times New Roman" w:hAnsi="Times New Roman"/>
                      <w:color w:val="000000" w:themeColor="text1"/>
                      <w:sz w:val="21"/>
                      <w:u w:val="none"/>
                      <w:lang w:val="en-US" w:eastAsia="zh-CN"/>
                      <w14:textFill>
                        <w14:solidFill>
                          <w14:schemeClr w14:val="tx1"/>
                        </w14:solidFill>
                      </w14:textFill>
                    </w:rPr>
                    <w:t>4</w:t>
                  </w:r>
                  <w:r>
                    <w:rPr>
                      <w:rFonts w:ascii="Times New Roman" w:hAnsi="Times New Roman"/>
                      <w:color w:val="000000" w:themeColor="text1"/>
                      <w:sz w:val="21"/>
                      <w:u w:val="none"/>
                      <w14:textFill>
                        <w14:solidFill>
                          <w14:schemeClr w14:val="tx1"/>
                        </w14:solidFill>
                      </w14:textFill>
                    </w:rPr>
                    <w:t>0kg/a</w:t>
                  </w:r>
                </w:p>
              </w:tc>
              <w:tc>
                <w:tcPr>
                  <w:tcW w:w="1175" w:type="dxa"/>
                  <w:tcBorders>
                    <w:tl2br w:val="nil"/>
                    <w:tr2bl w:val="nil"/>
                  </w:tcBorders>
                  <w:vAlign w:val="center"/>
                </w:tcPr>
                <w:p w14:paraId="1148ECBA">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900-2</w:t>
                  </w:r>
                  <w:r>
                    <w:rPr>
                      <w:rFonts w:hint="eastAsia" w:ascii="Times New Roman" w:hAnsi="Times New Roman"/>
                      <w:color w:val="000000" w:themeColor="text1"/>
                      <w:sz w:val="21"/>
                      <w:u w:val="none"/>
                      <w14:textFill>
                        <w14:solidFill>
                          <w14:schemeClr w14:val="tx1"/>
                        </w14:solidFill>
                      </w14:textFill>
                    </w:rPr>
                    <w:t>14</w:t>
                  </w:r>
                  <w:r>
                    <w:rPr>
                      <w:rFonts w:ascii="Times New Roman" w:hAnsi="Times New Roman"/>
                      <w:color w:val="000000" w:themeColor="text1"/>
                      <w:sz w:val="21"/>
                      <w:u w:val="none"/>
                      <w14:textFill>
                        <w14:solidFill>
                          <w14:schemeClr w14:val="tx1"/>
                        </w14:solidFill>
                      </w14:textFill>
                    </w:rPr>
                    <w:t>-08</w:t>
                  </w:r>
                </w:p>
              </w:tc>
              <w:tc>
                <w:tcPr>
                  <w:tcW w:w="1869" w:type="dxa"/>
                  <w:gridSpan w:val="2"/>
                  <w:tcBorders>
                    <w:tl2br w:val="nil"/>
                    <w:tr2bl w:val="nil"/>
                  </w:tcBorders>
                  <w:vAlign w:val="center"/>
                </w:tcPr>
                <w:p w14:paraId="58FCC58A">
                  <w:pPr>
                    <w:pStyle w:val="63"/>
                    <w:spacing w:before="24" w:after="24"/>
                    <w:rPr>
                      <w:rFonts w:hint="default" w:ascii="Times New Roman" w:hAnsi="Times New Roman"/>
                      <w:color w:val="000000" w:themeColor="text1"/>
                      <w:sz w:val="21"/>
                      <w:u w:val="none"/>
                      <w:lang w:val="en-US"/>
                      <w14:textFill>
                        <w14:solidFill>
                          <w14:schemeClr w14:val="tx1"/>
                        </w14:solidFill>
                      </w14:textFill>
                    </w:rPr>
                  </w:pPr>
                  <w:r>
                    <w:rPr>
                      <w:rFonts w:hint="eastAsia" w:ascii="Times New Roman" w:hAnsi="Times New Roman"/>
                      <w:color w:val="000000" w:themeColor="text1"/>
                      <w:sz w:val="21"/>
                      <w:u w:val="none"/>
                      <w:lang w:eastAsia="zh-CN"/>
                      <w14:textFill>
                        <w14:solidFill>
                          <w14:schemeClr w14:val="tx1"/>
                        </w14:solidFill>
                      </w14:textFill>
                    </w:rPr>
                    <w:t>由厂家带走，不在厂内存储</w:t>
                  </w:r>
                </w:p>
              </w:tc>
            </w:tr>
            <w:tr w14:paraId="1103E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97" w:hRule="atLeast"/>
              </w:trPr>
              <w:tc>
                <w:tcPr>
                  <w:tcW w:w="576" w:type="dxa"/>
                  <w:tcBorders>
                    <w:tl2br w:val="nil"/>
                    <w:tr2bl w:val="nil"/>
                  </w:tcBorders>
                  <w:vAlign w:val="center"/>
                </w:tcPr>
                <w:p w14:paraId="3FC5B2A5">
                  <w:pPr>
                    <w:pStyle w:val="63"/>
                    <w:spacing w:before="24" w:after="24"/>
                    <w:rPr>
                      <w:rFonts w:hint="eastAsia" w:ascii="Times New Roman" w:hAnsi="Times New Roman" w:eastAsia="宋体"/>
                      <w:color w:val="000000" w:themeColor="text1"/>
                      <w:sz w:val="21"/>
                      <w:u w:val="none"/>
                      <w:lang w:eastAsia="zh-CN"/>
                      <w14:textFill>
                        <w14:solidFill>
                          <w14:schemeClr w14:val="tx1"/>
                        </w14:solidFill>
                      </w14:textFill>
                    </w:rPr>
                  </w:pPr>
                  <w:r>
                    <w:rPr>
                      <w:rFonts w:hint="eastAsia" w:ascii="Times New Roman" w:hAnsi="Times New Roman"/>
                      <w:color w:val="000000" w:themeColor="text1"/>
                      <w:sz w:val="21"/>
                      <w:u w:val="none"/>
                      <w:lang w:val="en-US" w:eastAsia="zh-CN"/>
                      <w14:textFill>
                        <w14:solidFill>
                          <w14:schemeClr w14:val="tx1"/>
                        </w14:solidFill>
                      </w14:textFill>
                    </w:rPr>
                    <w:t>2</w:t>
                  </w:r>
                </w:p>
              </w:tc>
              <w:tc>
                <w:tcPr>
                  <w:tcW w:w="1346" w:type="dxa"/>
                  <w:tcBorders>
                    <w:tl2br w:val="nil"/>
                    <w:tr2bl w:val="nil"/>
                  </w:tcBorders>
                  <w:vAlign w:val="center"/>
                </w:tcPr>
                <w:p w14:paraId="1810AE76">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废变压器油</w:t>
                  </w:r>
                </w:p>
              </w:tc>
              <w:tc>
                <w:tcPr>
                  <w:tcW w:w="1346" w:type="dxa"/>
                  <w:tcBorders>
                    <w:tl2br w:val="nil"/>
                    <w:tr2bl w:val="nil"/>
                  </w:tcBorders>
                  <w:vAlign w:val="center"/>
                </w:tcPr>
                <w:p w14:paraId="456D2300">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升压站变压器</w:t>
                  </w:r>
                </w:p>
              </w:tc>
              <w:tc>
                <w:tcPr>
                  <w:tcW w:w="1445" w:type="dxa"/>
                  <w:tcBorders>
                    <w:tl2br w:val="nil"/>
                    <w:tr2bl w:val="nil"/>
                  </w:tcBorders>
                  <w:vAlign w:val="center"/>
                </w:tcPr>
                <w:p w14:paraId="2E00997F">
                  <w:pPr>
                    <w:pStyle w:val="63"/>
                    <w:spacing w:before="24" w:after="24"/>
                    <w:rPr>
                      <w:rFonts w:hint="eastAsia" w:ascii="Times New Roman" w:hAnsi="Times New Roman" w:eastAsia="宋体"/>
                      <w:color w:val="000000" w:themeColor="text1"/>
                      <w:sz w:val="21"/>
                      <w:u w:val="none"/>
                      <w:lang w:eastAsia="zh-CN"/>
                      <w14:textFill>
                        <w14:solidFill>
                          <w14:schemeClr w14:val="tx1"/>
                        </w14:solidFill>
                      </w14:textFill>
                    </w:rPr>
                  </w:pPr>
                  <w:r>
                    <w:rPr>
                      <w:rFonts w:hint="eastAsia" w:ascii="Times New Roman" w:hAnsi="Times New Roman"/>
                      <w:color w:val="FF0000"/>
                      <w:sz w:val="21"/>
                      <w:u w:val="none"/>
                      <w:lang w:val="en-US" w:eastAsia="zh-CN"/>
                    </w:rPr>
                    <w:t>/</w:t>
                  </w:r>
                </w:p>
              </w:tc>
              <w:tc>
                <w:tcPr>
                  <w:tcW w:w="1175" w:type="dxa"/>
                  <w:tcBorders>
                    <w:tl2br w:val="nil"/>
                    <w:tr2bl w:val="nil"/>
                  </w:tcBorders>
                  <w:vAlign w:val="center"/>
                </w:tcPr>
                <w:p w14:paraId="7C08AC46">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900-2</w:t>
                  </w:r>
                  <w:r>
                    <w:rPr>
                      <w:rFonts w:hint="eastAsia" w:ascii="Times New Roman" w:hAnsi="Times New Roman"/>
                      <w:color w:val="000000" w:themeColor="text1"/>
                      <w:sz w:val="21"/>
                      <w:u w:val="none"/>
                      <w14:textFill>
                        <w14:solidFill>
                          <w14:schemeClr w14:val="tx1"/>
                        </w14:solidFill>
                      </w14:textFill>
                    </w:rPr>
                    <w:t>20</w:t>
                  </w:r>
                  <w:r>
                    <w:rPr>
                      <w:rFonts w:ascii="Times New Roman" w:hAnsi="Times New Roman"/>
                      <w:color w:val="000000" w:themeColor="text1"/>
                      <w:sz w:val="21"/>
                      <w:u w:val="none"/>
                      <w14:textFill>
                        <w14:solidFill>
                          <w14:schemeClr w14:val="tx1"/>
                        </w14:solidFill>
                      </w14:textFill>
                    </w:rPr>
                    <w:t>-08</w:t>
                  </w:r>
                </w:p>
              </w:tc>
              <w:tc>
                <w:tcPr>
                  <w:tcW w:w="1029" w:type="dxa"/>
                  <w:vMerge w:val="restart"/>
                  <w:tcBorders>
                    <w:tl2br w:val="nil"/>
                    <w:tr2bl w:val="nil"/>
                  </w:tcBorders>
                  <w:vAlign w:val="center"/>
                </w:tcPr>
                <w:p w14:paraId="4995DA21">
                  <w:pPr>
                    <w:pStyle w:val="63"/>
                    <w:spacing w:before="24" w:after="24"/>
                    <w:ind w:left="0" w:leftChars="0" w:firstLine="0" w:firstLineChars="0"/>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收集后暂存于升压站的危废暂存间</w:t>
                  </w:r>
                </w:p>
              </w:tc>
              <w:tc>
                <w:tcPr>
                  <w:tcW w:w="840" w:type="dxa"/>
                  <w:vMerge w:val="restart"/>
                  <w:tcBorders>
                    <w:tl2br w:val="nil"/>
                    <w:tr2bl w:val="nil"/>
                  </w:tcBorders>
                  <w:vAlign w:val="center"/>
                </w:tcPr>
                <w:p w14:paraId="30FFAB1C">
                  <w:pPr>
                    <w:pStyle w:val="63"/>
                    <w:spacing w:before="24" w:after="24"/>
                    <w:ind w:left="0" w:leftChars="0" w:firstLine="0" w:firstLineChars="0"/>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交由有资质的单位处理</w:t>
                  </w:r>
                </w:p>
              </w:tc>
            </w:tr>
            <w:tr w14:paraId="244C0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97" w:hRule="atLeast"/>
              </w:trPr>
              <w:tc>
                <w:tcPr>
                  <w:tcW w:w="576" w:type="dxa"/>
                  <w:tcBorders>
                    <w:tl2br w:val="nil"/>
                    <w:tr2bl w:val="nil"/>
                  </w:tcBorders>
                  <w:vAlign w:val="center"/>
                </w:tcPr>
                <w:p w14:paraId="645902F2">
                  <w:pPr>
                    <w:pStyle w:val="63"/>
                    <w:spacing w:before="24" w:after="24"/>
                    <w:rPr>
                      <w:rFonts w:hint="eastAsia" w:ascii="Times New Roman" w:hAnsi="Times New Roman" w:eastAsia="宋体"/>
                      <w:color w:val="000000" w:themeColor="text1"/>
                      <w:sz w:val="21"/>
                      <w:u w:val="none"/>
                      <w:lang w:eastAsia="zh-CN"/>
                      <w14:textFill>
                        <w14:solidFill>
                          <w14:schemeClr w14:val="tx1"/>
                        </w14:solidFill>
                      </w14:textFill>
                    </w:rPr>
                  </w:pPr>
                  <w:r>
                    <w:rPr>
                      <w:rFonts w:hint="eastAsia" w:ascii="Times New Roman" w:hAnsi="Times New Roman"/>
                      <w:color w:val="000000" w:themeColor="text1"/>
                      <w:sz w:val="21"/>
                      <w:u w:val="none"/>
                      <w:lang w:val="en-US" w:eastAsia="zh-CN"/>
                      <w14:textFill>
                        <w14:solidFill>
                          <w14:schemeClr w14:val="tx1"/>
                        </w14:solidFill>
                      </w14:textFill>
                    </w:rPr>
                    <w:t>3</w:t>
                  </w:r>
                </w:p>
              </w:tc>
              <w:tc>
                <w:tcPr>
                  <w:tcW w:w="1346" w:type="dxa"/>
                  <w:tcBorders>
                    <w:tl2br w:val="nil"/>
                    <w:tr2bl w:val="nil"/>
                  </w:tcBorders>
                  <w:vAlign w:val="center"/>
                </w:tcPr>
                <w:p w14:paraId="5B66E9DB">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废矿物油</w:t>
                  </w:r>
                </w:p>
              </w:tc>
              <w:tc>
                <w:tcPr>
                  <w:tcW w:w="1346" w:type="dxa"/>
                  <w:tcBorders>
                    <w:tl2br w:val="nil"/>
                    <w:tr2bl w:val="nil"/>
                  </w:tcBorders>
                  <w:vAlign w:val="center"/>
                </w:tcPr>
                <w:p w14:paraId="4988DD68">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风机机组</w:t>
                  </w:r>
                </w:p>
              </w:tc>
              <w:tc>
                <w:tcPr>
                  <w:tcW w:w="1445" w:type="dxa"/>
                  <w:tcBorders>
                    <w:tl2br w:val="nil"/>
                    <w:tr2bl w:val="nil"/>
                  </w:tcBorders>
                  <w:vAlign w:val="center"/>
                </w:tcPr>
                <w:p w14:paraId="0E00EDE7">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2t/次，6~10年1次</w:t>
                  </w:r>
                </w:p>
              </w:tc>
              <w:tc>
                <w:tcPr>
                  <w:tcW w:w="1175" w:type="dxa"/>
                  <w:tcBorders>
                    <w:tl2br w:val="nil"/>
                    <w:tr2bl w:val="nil"/>
                  </w:tcBorders>
                  <w:vAlign w:val="center"/>
                </w:tcPr>
                <w:p w14:paraId="2AECF2B3">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900-2</w:t>
                  </w:r>
                  <w:r>
                    <w:rPr>
                      <w:rFonts w:hint="eastAsia" w:ascii="Times New Roman" w:hAnsi="Times New Roman"/>
                      <w:color w:val="000000" w:themeColor="text1"/>
                      <w:sz w:val="21"/>
                      <w:u w:val="none"/>
                      <w14:textFill>
                        <w14:solidFill>
                          <w14:schemeClr w14:val="tx1"/>
                        </w14:solidFill>
                      </w14:textFill>
                    </w:rPr>
                    <w:t>18</w:t>
                  </w:r>
                  <w:r>
                    <w:rPr>
                      <w:rFonts w:ascii="Times New Roman" w:hAnsi="Times New Roman"/>
                      <w:color w:val="000000" w:themeColor="text1"/>
                      <w:sz w:val="21"/>
                      <w:u w:val="none"/>
                      <w14:textFill>
                        <w14:solidFill>
                          <w14:schemeClr w14:val="tx1"/>
                        </w14:solidFill>
                      </w14:textFill>
                    </w:rPr>
                    <w:t>-08</w:t>
                  </w:r>
                </w:p>
              </w:tc>
              <w:tc>
                <w:tcPr>
                  <w:tcW w:w="1029" w:type="dxa"/>
                  <w:vMerge w:val="continue"/>
                  <w:tcBorders>
                    <w:tl2br w:val="nil"/>
                    <w:tr2bl w:val="nil"/>
                  </w:tcBorders>
                  <w:vAlign w:val="center"/>
                </w:tcPr>
                <w:p w14:paraId="08DFDE0C">
                  <w:pPr>
                    <w:pStyle w:val="63"/>
                    <w:spacing w:before="24" w:after="24"/>
                    <w:rPr>
                      <w:rFonts w:ascii="Times New Roman" w:hAnsi="Times New Roman"/>
                      <w:color w:val="000000" w:themeColor="text1"/>
                      <w:sz w:val="21"/>
                      <w:u w:val="none"/>
                      <w14:textFill>
                        <w14:solidFill>
                          <w14:schemeClr w14:val="tx1"/>
                        </w14:solidFill>
                      </w14:textFill>
                    </w:rPr>
                  </w:pPr>
                </w:p>
              </w:tc>
              <w:tc>
                <w:tcPr>
                  <w:tcW w:w="840" w:type="dxa"/>
                  <w:vMerge w:val="continue"/>
                  <w:tcBorders>
                    <w:tl2br w:val="nil"/>
                    <w:tr2bl w:val="nil"/>
                  </w:tcBorders>
                  <w:vAlign w:val="center"/>
                </w:tcPr>
                <w:p w14:paraId="27E1BAB9">
                  <w:pPr>
                    <w:pStyle w:val="63"/>
                    <w:spacing w:before="24" w:after="24"/>
                    <w:rPr>
                      <w:rFonts w:ascii="Times New Roman" w:hAnsi="Times New Roman"/>
                      <w:color w:val="000000" w:themeColor="text1"/>
                      <w:sz w:val="21"/>
                      <w:u w:val="none"/>
                      <w14:textFill>
                        <w14:solidFill>
                          <w14:schemeClr w14:val="tx1"/>
                        </w14:solidFill>
                      </w14:textFill>
                    </w:rPr>
                  </w:pPr>
                </w:p>
              </w:tc>
            </w:tr>
            <w:tr w14:paraId="633A1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97" w:hRule="atLeast"/>
              </w:trPr>
              <w:tc>
                <w:tcPr>
                  <w:tcW w:w="576" w:type="dxa"/>
                  <w:tcBorders>
                    <w:tl2br w:val="nil"/>
                    <w:tr2bl w:val="nil"/>
                  </w:tcBorders>
                  <w:vAlign w:val="center"/>
                </w:tcPr>
                <w:p w14:paraId="183CCA94">
                  <w:pPr>
                    <w:pStyle w:val="63"/>
                    <w:spacing w:before="24" w:after="24"/>
                    <w:ind w:left="0" w:leftChars="0" w:firstLine="0" w:firstLineChars="0"/>
                    <w:rPr>
                      <w:rFonts w:hint="eastAsia" w:ascii="Times New Roman" w:hAnsi="Times New Roman" w:eastAsia="宋体"/>
                      <w:color w:val="000000" w:themeColor="text1"/>
                      <w:sz w:val="21"/>
                      <w:u w:val="none"/>
                      <w:lang w:eastAsia="zh-CN"/>
                      <w14:textFill>
                        <w14:solidFill>
                          <w14:schemeClr w14:val="tx1"/>
                        </w14:solidFill>
                      </w14:textFill>
                    </w:rPr>
                  </w:pPr>
                  <w:bookmarkStart w:id="182" w:name="_Toc469994055"/>
                  <w:bookmarkStart w:id="183" w:name="_Toc15086"/>
                  <w:bookmarkStart w:id="184" w:name="_Toc429411590"/>
                  <w:bookmarkStart w:id="185" w:name="_Toc30532242"/>
                  <w:bookmarkStart w:id="186" w:name="_Toc11344"/>
                  <w:r>
                    <w:rPr>
                      <w:rFonts w:hint="eastAsia" w:ascii="Times New Roman" w:hAnsi="Times New Roman"/>
                      <w:color w:val="000000" w:themeColor="text1"/>
                      <w:sz w:val="21"/>
                      <w:u w:val="none"/>
                      <w:lang w:val="en-US" w:eastAsia="zh-CN"/>
                      <w14:textFill>
                        <w14:solidFill>
                          <w14:schemeClr w14:val="tx1"/>
                        </w14:solidFill>
                      </w14:textFill>
                    </w:rPr>
                    <w:t>4</w:t>
                  </w:r>
                </w:p>
              </w:tc>
              <w:tc>
                <w:tcPr>
                  <w:tcW w:w="1346" w:type="dxa"/>
                  <w:tcBorders>
                    <w:tl2br w:val="nil"/>
                    <w:tr2bl w:val="nil"/>
                  </w:tcBorders>
                  <w:vAlign w:val="center"/>
                </w:tcPr>
                <w:p w14:paraId="5F540BE4">
                  <w:pPr>
                    <w:pStyle w:val="63"/>
                    <w:spacing w:before="24" w:after="24"/>
                    <w:ind w:left="0" w:leftChars="0" w:firstLine="0" w:firstLineChars="0"/>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废旧蓄电池</w:t>
                  </w:r>
                </w:p>
              </w:tc>
              <w:tc>
                <w:tcPr>
                  <w:tcW w:w="1346" w:type="dxa"/>
                  <w:tcBorders>
                    <w:tl2br w:val="nil"/>
                    <w:tr2bl w:val="nil"/>
                  </w:tcBorders>
                  <w:vAlign w:val="center"/>
                </w:tcPr>
                <w:p w14:paraId="443BB5E0">
                  <w:pPr>
                    <w:pStyle w:val="63"/>
                    <w:spacing w:before="24" w:after="24"/>
                    <w:ind w:left="0" w:leftChars="0" w:firstLine="0" w:firstLineChars="0"/>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升压站电源系统</w:t>
                  </w:r>
                </w:p>
              </w:tc>
              <w:tc>
                <w:tcPr>
                  <w:tcW w:w="1445" w:type="dxa"/>
                  <w:tcBorders>
                    <w:tl2br w:val="nil"/>
                    <w:tr2bl w:val="nil"/>
                  </w:tcBorders>
                  <w:vAlign w:val="center"/>
                </w:tcPr>
                <w:p w14:paraId="66AB73A7">
                  <w:pPr>
                    <w:pStyle w:val="63"/>
                    <w:spacing w:before="24" w:after="24"/>
                    <w:ind w:left="0" w:leftChars="0" w:firstLine="0" w:firstLineChars="0"/>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208只/次，8～10年1次</w:t>
                  </w:r>
                </w:p>
              </w:tc>
              <w:tc>
                <w:tcPr>
                  <w:tcW w:w="1175" w:type="dxa"/>
                  <w:tcBorders>
                    <w:tl2br w:val="nil"/>
                    <w:tr2bl w:val="nil"/>
                  </w:tcBorders>
                  <w:vAlign w:val="center"/>
                </w:tcPr>
                <w:p w14:paraId="3600C8D4">
                  <w:pPr>
                    <w:pStyle w:val="63"/>
                    <w:spacing w:before="24" w:after="24"/>
                    <w:ind w:left="0" w:leftChars="0" w:firstLine="0" w:firstLineChars="0"/>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900-0</w:t>
                  </w:r>
                  <w:r>
                    <w:rPr>
                      <w:rFonts w:hint="eastAsia" w:ascii="Times New Roman" w:hAnsi="Times New Roman"/>
                      <w:color w:val="000000" w:themeColor="text1"/>
                      <w:sz w:val="21"/>
                      <w:u w:val="none"/>
                      <w:lang w:val="en-US" w:eastAsia="zh-CN"/>
                      <w14:textFill>
                        <w14:solidFill>
                          <w14:schemeClr w14:val="tx1"/>
                        </w14:solidFill>
                      </w14:textFill>
                    </w:rPr>
                    <w:t>52</w:t>
                  </w:r>
                  <w:r>
                    <w:rPr>
                      <w:rFonts w:ascii="Times New Roman" w:hAnsi="Times New Roman"/>
                      <w:color w:val="000000" w:themeColor="text1"/>
                      <w:sz w:val="21"/>
                      <w:u w:val="none"/>
                      <w14:textFill>
                        <w14:solidFill>
                          <w14:schemeClr w14:val="tx1"/>
                        </w14:solidFill>
                      </w14:textFill>
                    </w:rPr>
                    <w:t>-</w:t>
                  </w:r>
                  <w:r>
                    <w:rPr>
                      <w:rFonts w:hint="eastAsia" w:ascii="Times New Roman" w:hAnsi="Times New Roman"/>
                      <w:color w:val="000000" w:themeColor="text1"/>
                      <w:sz w:val="21"/>
                      <w:u w:val="none"/>
                      <w:lang w:val="en-US" w:eastAsia="zh-CN"/>
                      <w14:textFill>
                        <w14:solidFill>
                          <w14:schemeClr w14:val="tx1"/>
                        </w14:solidFill>
                      </w14:textFill>
                    </w:rPr>
                    <w:t>31</w:t>
                  </w:r>
                </w:p>
              </w:tc>
              <w:tc>
                <w:tcPr>
                  <w:tcW w:w="1869" w:type="dxa"/>
                  <w:gridSpan w:val="2"/>
                  <w:tcBorders>
                    <w:tl2br w:val="nil"/>
                    <w:tr2bl w:val="nil"/>
                  </w:tcBorders>
                  <w:vAlign w:val="center"/>
                </w:tcPr>
                <w:p w14:paraId="29C1011B">
                  <w:pPr>
                    <w:pStyle w:val="63"/>
                    <w:spacing w:before="24" w:after="24"/>
                    <w:rPr>
                      <w:rFonts w:hint="default" w:ascii="Times New Roman" w:hAnsi="Times New Roman" w:eastAsia="宋体"/>
                      <w:color w:val="000000" w:themeColor="text1"/>
                      <w:sz w:val="21"/>
                      <w:u w:val="none"/>
                      <w:lang w:val="en-US" w:eastAsia="zh-CN"/>
                      <w14:textFill>
                        <w14:solidFill>
                          <w14:schemeClr w14:val="tx1"/>
                        </w14:solidFill>
                      </w14:textFill>
                    </w:rPr>
                  </w:pPr>
                  <w:r>
                    <w:rPr>
                      <w:rFonts w:hint="eastAsia" w:ascii="Times New Roman" w:hAnsi="Times New Roman"/>
                      <w:color w:val="000000" w:themeColor="text1"/>
                      <w:sz w:val="21"/>
                      <w:u w:val="none"/>
                      <w:lang w:val="en-US" w:eastAsia="zh-CN"/>
                      <w14:textFill>
                        <w14:solidFill>
                          <w14:schemeClr w14:val="tx1"/>
                        </w14:solidFill>
                      </w14:textFill>
                    </w:rPr>
                    <w:t>由生产厂家进行更换，换后的电池由厂家回收利用</w:t>
                  </w:r>
                </w:p>
              </w:tc>
            </w:tr>
            <w:tr w14:paraId="27E00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97" w:hRule="atLeast"/>
              </w:trPr>
              <w:tc>
                <w:tcPr>
                  <w:tcW w:w="576" w:type="dxa"/>
                  <w:tcBorders>
                    <w:tl2br w:val="nil"/>
                    <w:tr2bl w:val="nil"/>
                  </w:tcBorders>
                  <w:vAlign w:val="center"/>
                </w:tcPr>
                <w:p w14:paraId="05676DE9">
                  <w:pPr>
                    <w:pStyle w:val="63"/>
                    <w:spacing w:before="24" w:after="24"/>
                    <w:ind w:left="0" w:leftChars="0" w:firstLine="0" w:firstLineChars="0"/>
                    <w:rPr>
                      <w:rFonts w:hint="default" w:ascii="Times New Roman" w:hAnsi="Times New Roman"/>
                      <w:color w:val="000000" w:themeColor="text1"/>
                      <w:sz w:val="21"/>
                      <w:u w:val="none"/>
                      <w:lang w:val="en-US" w:eastAsia="zh-CN"/>
                      <w14:textFill>
                        <w14:solidFill>
                          <w14:schemeClr w14:val="tx1"/>
                        </w14:solidFill>
                      </w14:textFill>
                    </w:rPr>
                  </w:pPr>
                  <w:r>
                    <w:rPr>
                      <w:rFonts w:hint="eastAsia" w:ascii="Times New Roman" w:hAnsi="Times New Roman"/>
                      <w:color w:val="000000" w:themeColor="text1"/>
                      <w:sz w:val="21"/>
                      <w:u w:val="none"/>
                      <w:lang w:val="en-US" w:eastAsia="zh-CN"/>
                      <w14:textFill>
                        <w14:solidFill>
                          <w14:schemeClr w14:val="tx1"/>
                        </w14:solidFill>
                      </w14:textFill>
                    </w:rPr>
                    <w:t>5</w:t>
                  </w:r>
                </w:p>
              </w:tc>
              <w:tc>
                <w:tcPr>
                  <w:tcW w:w="1346" w:type="dxa"/>
                  <w:tcBorders>
                    <w:tl2br w:val="nil"/>
                    <w:tr2bl w:val="nil"/>
                  </w:tcBorders>
                  <w:vAlign w:val="center"/>
                </w:tcPr>
                <w:p w14:paraId="4BA61BFE">
                  <w:pPr>
                    <w:pStyle w:val="63"/>
                    <w:spacing w:before="24" w:after="24"/>
                    <w:ind w:left="0" w:leftChars="0" w:firstLine="0" w:firstLineChars="0"/>
                    <w:rPr>
                      <w:rFonts w:ascii="Times New Roman" w:hAnsi="Times New Roman"/>
                      <w:color w:val="000000" w:themeColor="text1"/>
                      <w:sz w:val="21"/>
                      <w:u w:val="none"/>
                      <w14:textFill>
                        <w14:solidFill>
                          <w14:schemeClr w14:val="tx1"/>
                        </w14:solidFill>
                      </w14:textFill>
                    </w:rPr>
                  </w:pPr>
                  <w:r>
                    <w:rPr>
                      <w:rFonts w:hint="eastAsia" w:ascii="Times New Roman" w:hAnsi="Times New Roman"/>
                      <w:color w:val="000000" w:themeColor="text1"/>
                      <w:sz w:val="21"/>
                      <w:u w:val="none"/>
                      <w14:textFill>
                        <w14:solidFill>
                          <w14:schemeClr w14:val="tx1"/>
                        </w14:solidFill>
                      </w14:textFill>
                    </w:rPr>
                    <w:t xml:space="preserve">含油检修垃圾及含油废抹布 </w:t>
                  </w:r>
                </w:p>
              </w:tc>
              <w:tc>
                <w:tcPr>
                  <w:tcW w:w="1346" w:type="dxa"/>
                  <w:tcBorders>
                    <w:tl2br w:val="nil"/>
                    <w:tr2bl w:val="nil"/>
                  </w:tcBorders>
                  <w:vAlign w:val="center"/>
                </w:tcPr>
                <w:p w14:paraId="0ECCD285">
                  <w:pPr>
                    <w:pStyle w:val="63"/>
                    <w:spacing w:before="24" w:after="24"/>
                    <w:ind w:left="0" w:leftChars="0" w:firstLine="0" w:firstLineChars="0"/>
                    <w:rPr>
                      <w:rFonts w:ascii="Times New Roman" w:hAnsi="Times New Roman"/>
                      <w:color w:val="000000" w:themeColor="text1"/>
                      <w:sz w:val="21"/>
                      <w:u w:val="none"/>
                      <w14:textFill>
                        <w14:solidFill>
                          <w14:schemeClr w14:val="tx1"/>
                        </w14:solidFill>
                      </w14:textFill>
                    </w:rPr>
                  </w:pPr>
                  <w:r>
                    <w:rPr>
                      <w:rFonts w:hint="eastAsia" w:ascii="Times New Roman" w:hAnsi="Times New Roman"/>
                      <w:color w:val="000000" w:themeColor="text1"/>
                      <w:sz w:val="21"/>
                      <w:u w:val="none"/>
                      <w:lang w:val="en-US" w:eastAsia="zh-CN"/>
                      <w14:textFill>
                        <w14:solidFill>
                          <w14:schemeClr w14:val="tx1"/>
                        </w14:solidFill>
                      </w14:textFill>
                    </w:rPr>
                    <w:t>检修</w:t>
                  </w:r>
                </w:p>
              </w:tc>
              <w:tc>
                <w:tcPr>
                  <w:tcW w:w="1445" w:type="dxa"/>
                  <w:tcBorders>
                    <w:tl2br w:val="nil"/>
                    <w:tr2bl w:val="nil"/>
                  </w:tcBorders>
                  <w:vAlign w:val="center"/>
                </w:tcPr>
                <w:p w14:paraId="652977C8">
                  <w:pPr>
                    <w:pStyle w:val="63"/>
                    <w:spacing w:before="24" w:after="24"/>
                    <w:ind w:left="0" w:leftChars="0" w:firstLine="0" w:firstLineChars="0"/>
                    <w:rPr>
                      <w:rFonts w:ascii="Times New Roman" w:hAnsi="Times New Roman"/>
                      <w:color w:val="000000" w:themeColor="text1"/>
                      <w:sz w:val="21"/>
                      <w:u w:val="none"/>
                      <w14:textFill>
                        <w14:solidFill>
                          <w14:schemeClr w14:val="tx1"/>
                        </w14:solidFill>
                      </w14:textFill>
                    </w:rPr>
                  </w:pPr>
                  <w:r>
                    <w:rPr>
                      <w:rFonts w:hint="default" w:ascii="Times New Roman" w:hAnsi="Times New Roman" w:cs="Times New Roman"/>
                      <w:color w:val="000000" w:themeColor="text1"/>
                      <w:sz w:val="21"/>
                      <w:u w:val="none"/>
                      <w:lang w:val="en-US" w:eastAsia="zh-CN"/>
                      <w14:textFill>
                        <w14:solidFill>
                          <w14:schemeClr w14:val="tx1"/>
                        </w14:solidFill>
                      </w14:textFill>
                    </w:rPr>
                    <w:t>0.1t/a</w:t>
                  </w:r>
                </w:p>
              </w:tc>
              <w:tc>
                <w:tcPr>
                  <w:tcW w:w="1175" w:type="dxa"/>
                  <w:tcBorders>
                    <w:tl2br w:val="nil"/>
                    <w:tr2bl w:val="nil"/>
                  </w:tcBorders>
                  <w:vAlign w:val="center"/>
                </w:tcPr>
                <w:p w14:paraId="3B196B02">
                  <w:pPr>
                    <w:pStyle w:val="63"/>
                    <w:spacing w:before="24" w:after="24"/>
                    <w:ind w:left="0" w:leftChars="0" w:firstLine="0" w:firstLineChars="0"/>
                    <w:rPr>
                      <w:rFonts w:ascii="Times New Roman" w:hAnsi="Times New Roman"/>
                      <w:color w:val="000000" w:themeColor="text1"/>
                      <w:sz w:val="21"/>
                      <w:u w:val="none"/>
                      <w14:textFill>
                        <w14:solidFill>
                          <w14:schemeClr w14:val="tx1"/>
                        </w14:solidFill>
                      </w14:textFill>
                    </w:rPr>
                  </w:pPr>
                  <w:r>
                    <w:rPr>
                      <w:rFonts w:hint="eastAsia" w:ascii="Times New Roman" w:hAnsi="Times New Roman"/>
                      <w:color w:val="000000" w:themeColor="text1"/>
                      <w:sz w:val="21"/>
                      <w:u w:val="none"/>
                      <w14:textFill>
                        <w14:solidFill>
                          <w14:schemeClr w14:val="tx1"/>
                        </w14:solidFill>
                      </w14:textFill>
                    </w:rPr>
                    <w:t>900-041-49</w:t>
                  </w:r>
                </w:p>
              </w:tc>
              <w:tc>
                <w:tcPr>
                  <w:tcW w:w="1869" w:type="dxa"/>
                  <w:gridSpan w:val="2"/>
                  <w:tcBorders>
                    <w:tl2br w:val="nil"/>
                    <w:tr2bl w:val="nil"/>
                  </w:tcBorders>
                  <w:vAlign w:val="center"/>
                </w:tcPr>
                <w:p w14:paraId="66EA089D">
                  <w:pPr>
                    <w:pStyle w:val="63"/>
                    <w:spacing w:before="24" w:after="24"/>
                    <w:rPr>
                      <w:rFonts w:hint="eastAsia" w:ascii="Times New Roman" w:hAnsi="Times New Roman" w:eastAsia="宋体"/>
                      <w:color w:val="000000" w:themeColor="text1"/>
                      <w:sz w:val="21"/>
                      <w:u w:val="none"/>
                      <w:lang w:val="en-US" w:eastAsia="zh-CN"/>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收集后暂存于升压站的危废暂存间</w:t>
                  </w:r>
                  <w:r>
                    <w:rPr>
                      <w:rFonts w:hint="eastAsia" w:ascii="Times New Roman" w:hAnsi="Times New Roman"/>
                      <w:color w:val="000000" w:themeColor="text1"/>
                      <w:sz w:val="21"/>
                      <w:u w:val="none"/>
                      <w:lang w:eastAsia="zh-CN"/>
                      <w14:textFill>
                        <w14:solidFill>
                          <w14:schemeClr w14:val="tx1"/>
                        </w14:solidFill>
                      </w14:textFill>
                    </w:rPr>
                    <w:t>，</w:t>
                  </w:r>
                  <w:r>
                    <w:rPr>
                      <w:rFonts w:ascii="Times New Roman" w:hAnsi="Times New Roman"/>
                      <w:color w:val="000000" w:themeColor="text1"/>
                      <w:sz w:val="21"/>
                      <w:u w:val="none"/>
                      <w14:textFill>
                        <w14:solidFill>
                          <w14:schemeClr w14:val="tx1"/>
                        </w14:solidFill>
                      </w14:textFill>
                    </w:rPr>
                    <w:t>交由有资质的单位处理</w:t>
                  </w:r>
                </w:p>
              </w:tc>
            </w:tr>
          </w:tbl>
          <w:p w14:paraId="32F1F14D">
            <w:pPr>
              <w:pStyle w:val="3"/>
              <w:numPr>
                <w:ilvl w:val="0"/>
                <w:numId w:val="0"/>
              </w:numPr>
              <w:tabs>
                <w:tab w:val="left" w:pos="425"/>
                <w:tab w:val="clear" w:pos="420"/>
              </w:tabs>
              <w:spacing w:before="120" w:beforeLines="50"/>
              <w:rPr>
                <w:rFonts w:cs="Times New Roman"/>
                <w:color w:val="000000" w:themeColor="text1"/>
                <w:szCs w:val="21"/>
                <w:u w:val="none"/>
                <w14:textFill>
                  <w14:solidFill>
                    <w14:schemeClr w14:val="tx1"/>
                  </w14:solidFill>
                </w14:textFill>
              </w:rPr>
            </w:pPr>
            <w:r>
              <w:rPr>
                <w:rFonts w:cs="Times New Roman"/>
                <w:color w:val="000000" w:themeColor="text1"/>
                <w:szCs w:val="21"/>
                <w:u w:val="none"/>
                <w14:textFill>
                  <w14:solidFill>
                    <w14:schemeClr w14:val="tx1"/>
                  </w14:solidFill>
                </w14:textFill>
              </w:rPr>
              <w:t>4.14运营期电磁环境影响分析</w:t>
            </w:r>
            <w:bookmarkEnd w:id="182"/>
            <w:bookmarkEnd w:id="183"/>
            <w:bookmarkEnd w:id="184"/>
            <w:bookmarkEnd w:id="185"/>
            <w:bookmarkEnd w:id="186"/>
          </w:p>
          <w:p w14:paraId="0C03F6D8">
            <w:pPr>
              <w:ind w:firstLine="480" w:firstLineChars="200"/>
              <w:rPr>
                <w:color w:val="000000" w:themeColor="text1"/>
                <w:u w:val="none"/>
                <w14:textFill>
                  <w14:solidFill>
                    <w14:schemeClr w14:val="tx1"/>
                  </w14:solidFill>
                </w14:textFill>
              </w:rPr>
            </w:pPr>
            <w:bookmarkStart w:id="187" w:name="_Toc467060352"/>
            <w:r>
              <w:rPr>
                <w:color w:val="000000" w:themeColor="text1"/>
                <w:u w:val="none"/>
                <w14:textFill>
                  <w14:solidFill>
                    <w14:schemeClr w14:val="tx1"/>
                  </w14:solidFill>
                </w14:textFill>
              </w:rPr>
              <w:t>本工程电磁环境影响分析详见电磁环境影响专题评价，此处引用该专题评价结论：</w:t>
            </w:r>
          </w:p>
          <w:p w14:paraId="6E3A166F">
            <w:pPr>
              <w:ind w:firstLine="480" w:firstLineChars="200"/>
              <w:rPr>
                <w:color w:val="000000" w:themeColor="text1"/>
                <w:u w:val="none"/>
                <w14:textFill>
                  <w14:solidFill>
                    <w14:schemeClr w14:val="tx1"/>
                  </w14:solidFill>
                </w14:textFill>
              </w:rPr>
            </w:pPr>
            <w:r>
              <w:rPr>
                <w:color w:val="000000" w:themeColor="text1"/>
                <w:u w:val="none"/>
                <w14:textFill>
                  <w14:solidFill>
                    <w14:schemeClr w14:val="tx1"/>
                  </w14:solidFill>
                </w14:textFill>
              </w:rPr>
              <w:t>通过类比分析预测，本工程投运后，升压站站界四周及评价范围内的电磁环境水平均能满足《电磁环境控制限值》（GB8702-2014）中4000V/m、100μT的标准限值要求。</w:t>
            </w:r>
          </w:p>
          <w:bookmarkEnd w:id="187"/>
          <w:p w14:paraId="600E06F8">
            <w:pPr>
              <w:pStyle w:val="3"/>
              <w:numPr>
                <w:ilvl w:val="0"/>
                <w:numId w:val="0"/>
              </w:numPr>
              <w:tabs>
                <w:tab w:val="left" w:pos="425"/>
                <w:tab w:val="clear" w:pos="420"/>
              </w:tabs>
              <w:rPr>
                <w:rFonts w:cs="Times New Roman"/>
                <w:color w:val="000000" w:themeColor="text1"/>
                <w:szCs w:val="21"/>
                <w:u w:val="none"/>
                <w14:textFill>
                  <w14:solidFill>
                    <w14:schemeClr w14:val="tx1"/>
                  </w14:solidFill>
                </w14:textFill>
              </w:rPr>
            </w:pPr>
            <w:bookmarkStart w:id="188" w:name="_Toc9617"/>
            <w:bookmarkStart w:id="189" w:name="_Toc3326"/>
            <w:r>
              <w:rPr>
                <w:rFonts w:cs="Times New Roman"/>
                <w:color w:val="000000" w:themeColor="text1"/>
                <w:szCs w:val="21"/>
                <w:u w:val="none"/>
                <w14:textFill>
                  <w14:solidFill>
                    <w14:schemeClr w14:val="tx1"/>
                  </w14:solidFill>
                </w14:textFill>
              </w:rPr>
              <w:t>4.15 运营期环境风险影响分析</w:t>
            </w:r>
            <w:bookmarkEnd w:id="188"/>
            <w:bookmarkEnd w:id="189"/>
          </w:p>
          <w:p w14:paraId="11C0C439">
            <w:pPr>
              <w:ind w:firstLine="420"/>
              <w:rPr>
                <w:color w:val="000000" w:themeColor="text1"/>
                <w:u w:val="none"/>
                <w14:textFill>
                  <w14:solidFill>
                    <w14:schemeClr w14:val="tx1"/>
                  </w14:solidFill>
                </w14:textFill>
              </w:rPr>
            </w:pPr>
            <w:r>
              <w:rPr>
                <w:color w:val="000000" w:themeColor="text1"/>
                <w:u w:val="none"/>
                <w14:textFill>
                  <w14:solidFill>
                    <w14:schemeClr w14:val="tx1"/>
                  </w14:solidFill>
                </w14:textFill>
              </w:rPr>
              <w:t>运营期的主要环境风险为事故情况下检修产生的废油对环境的影响。</w:t>
            </w:r>
          </w:p>
          <w:p w14:paraId="4876E54C">
            <w:pPr>
              <w:ind w:firstLine="420"/>
              <w:rPr>
                <w:color w:val="000000" w:themeColor="text1"/>
                <w:u w:val="none"/>
                <w14:textFill>
                  <w14:solidFill>
                    <w14:schemeClr w14:val="tx1"/>
                  </w14:solidFill>
                </w14:textFill>
              </w:rPr>
            </w:pPr>
            <w:r>
              <w:rPr>
                <w:color w:val="000000" w:themeColor="text1"/>
                <w:u w:val="none"/>
                <w14:textFill>
                  <w14:solidFill>
                    <w14:schemeClr w14:val="tx1"/>
                  </w14:solidFill>
                </w14:textFill>
              </w:rPr>
              <w:t>风电发电机组等设备，在事故情况下检修，需要将发电机油排出检修，若操作不当将可能使机油泄露，从而污染项目区及附近的土壤。</w:t>
            </w:r>
          </w:p>
          <w:p w14:paraId="6FDF3997">
            <w:pPr>
              <w:pStyle w:val="4"/>
              <w:tabs>
                <w:tab w:val="left" w:pos="425"/>
              </w:tabs>
              <w:rPr>
                <w:color w:val="000000" w:themeColor="text1"/>
                <w:szCs w:val="24"/>
                <w:u w:val="none"/>
                <w14:textFill>
                  <w14:solidFill>
                    <w14:schemeClr w14:val="tx1"/>
                  </w14:solidFill>
                </w14:textFill>
              </w:rPr>
            </w:pPr>
            <w:bookmarkStart w:id="190" w:name="_Toc1398"/>
            <w:r>
              <w:rPr>
                <w:color w:val="000000" w:themeColor="text1"/>
                <w:szCs w:val="24"/>
                <w:u w:val="none"/>
                <w14:textFill>
                  <w14:solidFill>
                    <w14:schemeClr w14:val="tx1"/>
                  </w14:solidFill>
                </w14:textFill>
              </w:rPr>
              <w:t>4.15.1 运营期风险防范措施</w:t>
            </w:r>
            <w:bookmarkEnd w:id="190"/>
          </w:p>
          <w:p w14:paraId="3CBAB83A">
            <w:pPr>
              <w:ind w:firstLine="420"/>
              <w:rPr>
                <w:color w:val="FF0000"/>
                <w:u w:val="wave"/>
              </w:rPr>
            </w:pPr>
            <w:r>
              <w:rPr>
                <w:rFonts w:hint="eastAsia"/>
                <w:color w:val="FF0000"/>
                <w:u w:val="wave"/>
              </w:rPr>
              <w:t>升压站运行期正常情况下，在正常工况的情况下，主变和箱变无漏油情况。</w:t>
            </w:r>
            <w:r>
              <w:rPr>
                <w:color w:val="FF0000"/>
                <w:u w:val="wave"/>
              </w:rPr>
              <w:t>升压站运营期的主要环境风险为事故情况下主变压器产生的废油对环境的影响。变压器油使用电力用油，这些冷却油或绝缘油装在电气设备外壳内，平时无废油排出，不会造成对环境的危害，一般只有事故发生时才会发生变压器油外泄。</w:t>
            </w:r>
          </w:p>
          <w:p w14:paraId="6ACD4121">
            <w:pPr>
              <w:ind w:firstLine="420"/>
              <w:rPr>
                <w:color w:val="000000" w:themeColor="text1"/>
                <w:u w:val="wave"/>
                <w14:textFill>
                  <w14:solidFill>
                    <w14:schemeClr w14:val="tx1"/>
                  </w14:solidFill>
                </w14:textFill>
              </w:rPr>
            </w:pPr>
            <w:r>
              <w:rPr>
                <w:color w:val="000000" w:themeColor="text1"/>
                <w:u w:val="wave"/>
                <w14:textFill>
                  <w14:solidFill>
                    <w14:schemeClr w14:val="tx1"/>
                  </w14:solidFill>
                </w14:textFill>
              </w:rPr>
              <w:t>变电站内设置污油排蓄系统，即按最大一台主变压器的油量，设一座事故油池（</w:t>
            </w:r>
            <w:r>
              <w:rPr>
                <w:rFonts w:hint="eastAsia"/>
                <w:color w:val="000000" w:themeColor="text1"/>
                <w:u w:val="wave"/>
                <w:lang w:val="en-US" w:eastAsia="zh-CN"/>
                <w14:textFill>
                  <w14:solidFill>
                    <w14:schemeClr w14:val="tx1"/>
                  </w14:solidFill>
                </w14:textFill>
              </w:rPr>
              <w:t>48</w:t>
            </w:r>
            <w:r>
              <w:rPr>
                <w:color w:val="000000" w:themeColor="text1"/>
                <w:u w:val="wave"/>
                <w14:textFill>
                  <w14:solidFill>
                    <w14:schemeClr w14:val="tx1"/>
                  </w14:solidFill>
                </w14:textFill>
              </w:rPr>
              <w:t>m</w:t>
            </w:r>
            <w:r>
              <w:rPr>
                <w:color w:val="000000" w:themeColor="text1"/>
                <w:u w:val="wave"/>
                <w:vertAlign w:val="superscript"/>
                <w14:textFill>
                  <w14:solidFill>
                    <w14:schemeClr w14:val="tx1"/>
                  </w14:solidFill>
                </w14:textFill>
              </w:rPr>
              <w:t>3</w:t>
            </w:r>
            <w:r>
              <w:rPr>
                <w:color w:val="000000" w:themeColor="text1"/>
                <w:u w:val="wave"/>
                <w14:textFill>
                  <w14:solidFill>
                    <w14:schemeClr w14:val="tx1"/>
                  </w14:solidFill>
                </w14:textFill>
              </w:rPr>
              <w:t>），</w:t>
            </w:r>
            <w:r>
              <w:rPr>
                <w:rFonts w:hint="eastAsia"/>
                <w:color w:val="000000" w:themeColor="text1"/>
                <w:u w:val="wave"/>
                <w:lang w:val="en-US" w:eastAsia="zh-CN"/>
                <w14:textFill>
                  <w14:solidFill>
                    <w14:schemeClr w14:val="tx1"/>
                  </w14:solidFill>
                </w14:textFill>
              </w:rPr>
              <w:t>每个</w:t>
            </w:r>
            <w:r>
              <w:rPr>
                <w:rFonts w:hint="eastAsia"/>
                <w:color w:val="000000" w:themeColor="text1"/>
                <w:u w:val="wave"/>
                <w14:textFill>
                  <w14:solidFill>
                    <w14:schemeClr w14:val="tx1"/>
                  </w14:solidFill>
                </w14:textFill>
              </w:rPr>
              <w:t>箱变处设置1个2.0m</w:t>
            </w:r>
            <w:r>
              <w:rPr>
                <w:rFonts w:hint="eastAsia"/>
                <w:color w:val="000000" w:themeColor="text1"/>
                <w:u w:val="wave"/>
                <w:vertAlign w:val="superscript"/>
                <w14:textFill>
                  <w14:solidFill>
                    <w14:schemeClr w14:val="tx1"/>
                  </w14:solidFill>
                </w14:textFill>
              </w:rPr>
              <w:t>3</w:t>
            </w:r>
            <w:r>
              <w:rPr>
                <w:rFonts w:hint="eastAsia"/>
                <w:color w:val="000000" w:themeColor="text1"/>
                <w:u w:val="wave"/>
                <w14:textFill>
                  <w14:solidFill>
                    <w14:schemeClr w14:val="tx1"/>
                  </w14:solidFill>
                </w14:textFill>
              </w:rPr>
              <w:t>事故油池</w:t>
            </w:r>
            <w:r>
              <w:rPr>
                <w:rFonts w:hint="eastAsia"/>
                <w:color w:val="000000" w:themeColor="text1"/>
                <w:u w:val="wave"/>
                <w:lang w:eastAsia="zh-CN"/>
                <w14:textFill>
                  <w14:solidFill>
                    <w14:schemeClr w14:val="tx1"/>
                  </w14:solidFill>
                </w14:textFill>
              </w:rPr>
              <w:t>，</w:t>
            </w:r>
            <w:r>
              <w:rPr>
                <w:color w:val="000000" w:themeColor="text1"/>
                <w:u w:val="wave"/>
                <w14:textFill>
                  <w14:solidFill>
                    <w14:schemeClr w14:val="tx1"/>
                  </w14:solidFill>
                </w14:textFill>
              </w:rPr>
              <w:t>变压器下铺设一卵石层，四周设有排油槽并与集油池相连。一旦变压器事故时排油或漏油，所有的油水混合物将渗过卵石层并通过排油槽到达集油池，集油池收集的漏油单独外运处置。</w:t>
            </w:r>
          </w:p>
          <w:p w14:paraId="446625B8">
            <w:pPr>
              <w:ind w:firstLine="420"/>
              <w:rPr>
                <w:rFonts w:hint="eastAsia" w:eastAsia="宋体"/>
                <w:color w:val="000000" w:themeColor="text1"/>
                <w:u w:val="wave"/>
                <w:lang w:eastAsia="zh-CN"/>
                <w14:textFill>
                  <w14:solidFill>
                    <w14:schemeClr w14:val="tx1"/>
                  </w14:solidFill>
                </w14:textFill>
              </w:rPr>
            </w:pPr>
            <w:r>
              <w:rPr>
                <w:rFonts w:hint="eastAsia"/>
                <w:color w:val="000000" w:themeColor="text1"/>
                <w:u w:val="wave"/>
                <w14:textFill>
                  <w14:solidFill>
                    <w14:schemeClr w14:val="tx1"/>
                  </w14:solidFill>
                </w14:textFill>
              </w:rPr>
              <w:t>变压器油只在事故时排放，当含油废水汇入排油沟槽进入事故集油池后可回收利用，其余的少量废油渣及检修产生的废抹油布一并委托有相应资质的单位进行处置。事故油池必须具有应急功能，平时保持空置状态，雨季事故油池内含油雨水须抽干。事故集油池需保证事故油的贮存不外排，不对周边水环境产生不良影响。在变电站发生事故时，变压器油排入事故油池，再由有资质的电力运营维护专业公司收集后交由有资质的危险废物处置单位进行处置，严格禁止变压器油在事故后排出站外。升压站事故油池必须有耐腐蚀的硬化地面和基础防渗层，地面无裂隙；设施底部必须高于地下水最高水位。同时加强升压站场地内用油管理，制定环境风险防范措施，严防升压站漏油事故影响区域地表水水质</w:t>
            </w:r>
            <w:r>
              <w:rPr>
                <w:rFonts w:hint="eastAsia"/>
                <w:color w:val="000000" w:themeColor="text1"/>
                <w:u w:val="wave"/>
                <w:lang w:eastAsia="zh-CN"/>
                <w14:textFill>
                  <w14:solidFill>
                    <w14:schemeClr w14:val="tx1"/>
                  </w14:solidFill>
                </w14:textFill>
              </w:rPr>
              <w:t>。</w:t>
            </w:r>
          </w:p>
          <w:p w14:paraId="1A758D5A">
            <w:pPr>
              <w:pStyle w:val="4"/>
              <w:tabs>
                <w:tab w:val="left" w:pos="425"/>
              </w:tabs>
              <w:rPr>
                <w:color w:val="000000" w:themeColor="text1"/>
                <w:szCs w:val="24"/>
                <w:u w:val="wave"/>
                <w14:textFill>
                  <w14:solidFill>
                    <w14:schemeClr w14:val="tx1"/>
                  </w14:solidFill>
                </w14:textFill>
              </w:rPr>
            </w:pPr>
            <w:bookmarkStart w:id="191" w:name="_Toc8000"/>
            <w:r>
              <w:rPr>
                <w:color w:val="000000" w:themeColor="text1"/>
                <w:szCs w:val="24"/>
                <w:u w:val="wave"/>
                <w14:textFill>
                  <w14:solidFill>
                    <w14:schemeClr w14:val="tx1"/>
                  </w14:solidFill>
                </w14:textFill>
              </w:rPr>
              <w:t>4.15.2 应急措施</w:t>
            </w:r>
            <w:bookmarkEnd w:id="191"/>
          </w:p>
          <w:p w14:paraId="12B7C153">
            <w:pPr>
              <w:ind w:firstLine="420"/>
              <w:rPr>
                <w:color w:val="000000" w:themeColor="text1"/>
                <w:u w:val="wave"/>
                <w14:textFill>
                  <w14:solidFill>
                    <w14:schemeClr w14:val="tx1"/>
                  </w14:solidFill>
                </w14:textFill>
              </w:rPr>
            </w:pPr>
            <w:r>
              <w:rPr>
                <w:color w:val="000000" w:themeColor="text1"/>
                <w:u w:val="wave"/>
                <w14:textFill>
                  <w14:solidFill>
                    <w14:schemeClr w14:val="tx1"/>
                  </w14:solidFill>
                </w14:textFill>
              </w:rPr>
              <w:t>（1）制定应急计划，成立事故应急指挥机构，全权负责本工程施工期和运营期的突发性污染事件的处理和处置。应急指挥部应设24小时值班电话，并向社会公布。</w:t>
            </w:r>
          </w:p>
          <w:p w14:paraId="43B62E80">
            <w:pPr>
              <w:ind w:firstLine="420"/>
              <w:rPr>
                <w:color w:val="000000" w:themeColor="text1"/>
                <w:u w:val="wave"/>
                <w14:textFill>
                  <w14:solidFill>
                    <w14:schemeClr w14:val="tx1"/>
                  </w14:solidFill>
                </w14:textFill>
              </w:rPr>
            </w:pPr>
            <w:r>
              <w:rPr>
                <w:color w:val="000000" w:themeColor="text1"/>
                <w:u w:val="wave"/>
                <w14:textFill>
                  <w14:solidFill>
                    <w14:schemeClr w14:val="tx1"/>
                  </w14:solidFill>
                </w14:textFill>
              </w:rPr>
              <w:t>（2）污染事故一旦发生，应急指挥机构必须快速出击、赶赴现场，现场判断出污染事故影响波及的范围及程度，并在最短时间内确定污染控制方案。</w:t>
            </w:r>
          </w:p>
          <w:p w14:paraId="68E357BD">
            <w:pPr>
              <w:pStyle w:val="4"/>
              <w:tabs>
                <w:tab w:val="left" w:pos="425"/>
              </w:tabs>
              <w:rPr>
                <w:color w:val="000000" w:themeColor="text1"/>
                <w:szCs w:val="24"/>
                <w:u w:val="wave"/>
                <w14:textFill>
                  <w14:solidFill>
                    <w14:schemeClr w14:val="tx1"/>
                  </w14:solidFill>
                </w14:textFill>
              </w:rPr>
            </w:pPr>
            <w:bookmarkStart w:id="192" w:name="_Toc6845"/>
            <w:bookmarkStart w:id="193" w:name="_Toc487702573"/>
            <w:r>
              <w:rPr>
                <w:color w:val="000000" w:themeColor="text1"/>
                <w:szCs w:val="24"/>
                <w:u w:val="wave"/>
                <w14:textFill>
                  <w14:solidFill>
                    <w14:schemeClr w14:val="tx1"/>
                  </w14:solidFill>
                </w14:textFill>
              </w:rPr>
              <w:t>4.15.3 环境风险应急预案</w:t>
            </w:r>
            <w:bookmarkEnd w:id="192"/>
            <w:bookmarkEnd w:id="193"/>
          </w:p>
          <w:p w14:paraId="2093C82B">
            <w:pPr>
              <w:pStyle w:val="5"/>
              <w:rPr>
                <w:color w:val="000000" w:themeColor="text1"/>
                <w:u w:val="wave"/>
                <w14:textFill>
                  <w14:solidFill>
                    <w14:schemeClr w14:val="tx1"/>
                  </w14:solidFill>
                </w14:textFill>
              </w:rPr>
            </w:pPr>
            <w:r>
              <w:rPr>
                <w:color w:val="000000" w:themeColor="text1"/>
                <w:u w:val="wave"/>
                <w14:textFill>
                  <w14:solidFill>
                    <w14:schemeClr w14:val="tx1"/>
                  </w14:solidFill>
                </w14:textFill>
              </w:rPr>
              <w:t>4.15.3.1应急组织机构与人员</w:t>
            </w:r>
          </w:p>
          <w:p w14:paraId="3022A9A3">
            <w:pPr>
              <w:ind w:firstLine="420"/>
              <w:rPr>
                <w:color w:val="000000" w:themeColor="text1"/>
                <w:u w:val="wave"/>
                <w14:textFill>
                  <w14:solidFill>
                    <w14:schemeClr w14:val="tx1"/>
                  </w14:solidFill>
                </w14:textFill>
              </w:rPr>
            </w:pPr>
            <w:r>
              <w:rPr>
                <w:color w:val="000000" w:themeColor="text1"/>
                <w:u w:val="wave"/>
                <w14:textFill>
                  <w14:solidFill>
                    <w14:schemeClr w14:val="tx1"/>
                  </w14:solidFill>
                </w14:textFill>
              </w:rPr>
              <w:t>风电场环境管理办公室下设环境应急机构，对机构成员定职定岗，并建立值班制度；安排专门人员对风险源进行常规巡视、管理和监测；环境应急机构的专职人员进行专业培训，必要时进行有计划的环境应急演练。</w:t>
            </w:r>
          </w:p>
          <w:p w14:paraId="23BF5F3B">
            <w:pPr>
              <w:pStyle w:val="5"/>
              <w:rPr>
                <w:color w:val="000000" w:themeColor="text1"/>
                <w:u w:val="wave"/>
                <w14:textFill>
                  <w14:solidFill>
                    <w14:schemeClr w14:val="tx1"/>
                  </w14:solidFill>
                </w14:textFill>
              </w:rPr>
            </w:pPr>
            <w:r>
              <w:rPr>
                <w:color w:val="000000" w:themeColor="text1"/>
                <w:u w:val="wave"/>
                <w14:textFill>
                  <w14:solidFill>
                    <w14:schemeClr w14:val="tx1"/>
                  </w14:solidFill>
                </w14:textFill>
              </w:rPr>
              <w:t>4.15.3.2应急通讯联络方式</w:t>
            </w:r>
          </w:p>
          <w:p w14:paraId="621A6C04">
            <w:pPr>
              <w:ind w:firstLine="420"/>
              <w:rPr>
                <w:color w:val="000000" w:themeColor="text1"/>
                <w:u w:val="wave"/>
                <w14:textFill>
                  <w14:solidFill>
                    <w14:schemeClr w14:val="tx1"/>
                  </w14:solidFill>
                </w14:textFill>
              </w:rPr>
            </w:pPr>
            <w:r>
              <w:rPr>
                <w:color w:val="000000" w:themeColor="text1"/>
                <w:u w:val="wave"/>
                <w14:textFill>
                  <w14:solidFill>
                    <w14:schemeClr w14:val="tx1"/>
                  </w14:solidFill>
                </w14:textFill>
              </w:rPr>
              <w:t>在环境风险应急机构设置固定电话和无线通讯系统，一旦发生风险事故，环境应急机构负责人（或值班人员）应立即向风电场环境管理机构及相关行政主管部门汇报。</w:t>
            </w:r>
          </w:p>
          <w:p w14:paraId="76B100E7">
            <w:pPr>
              <w:pStyle w:val="5"/>
              <w:rPr>
                <w:color w:val="000000" w:themeColor="text1"/>
                <w:u w:val="wave"/>
                <w14:textFill>
                  <w14:solidFill>
                    <w14:schemeClr w14:val="tx1"/>
                  </w14:solidFill>
                </w14:textFill>
              </w:rPr>
            </w:pPr>
            <w:r>
              <w:rPr>
                <w:color w:val="000000" w:themeColor="text1"/>
                <w:u w:val="wave"/>
                <w14:textFill>
                  <w14:solidFill>
                    <w14:schemeClr w14:val="tx1"/>
                  </w14:solidFill>
                </w14:textFill>
              </w:rPr>
              <w:t>4.15.3.3应急防护措施及器材</w:t>
            </w:r>
          </w:p>
          <w:p w14:paraId="31C80B59">
            <w:pPr>
              <w:ind w:firstLine="420"/>
              <w:rPr>
                <w:color w:val="000000" w:themeColor="text1"/>
                <w:u w:val="wave"/>
                <w14:textFill>
                  <w14:solidFill>
                    <w14:schemeClr w14:val="tx1"/>
                  </w14:solidFill>
                </w14:textFill>
              </w:rPr>
            </w:pPr>
            <w:r>
              <w:rPr>
                <w:color w:val="000000" w:themeColor="text1"/>
                <w:u w:val="wave"/>
                <w14:textFill>
                  <w14:solidFill>
                    <w14:schemeClr w14:val="tx1"/>
                  </w14:solidFill>
                </w14:textFill>
              </w:rPr>
              <w:t>本项目风电场环境管理办公室须配备消防器材、医疗设备及常见药品等。</w:t>
            </w:r>
          </w:p>
          <w:p w14:paraId="7BBB6BB3">
            <w:pPr>
              <w:pStyle w:val="5"/>
              <w:rPr>
                <w:color w:val="000000" w:themeColor="text1"/>
                <w:u w:val="wave"/>
                <w14:textFill>
                  <w14:solidFill>
                    <w14:schemeClr w14:val="tx1"/>
                  </w14:solidFill>
                </w14:textFill>
              </w:rPr>
            </w:pPr>
            <w:r>
              <w:rPr>
                <w:color w:val="000000" w:themeColor="text1"/>
                <w:u w:val="wave"/>
                <w14:textFill>
                  <w14:solidFill>
                    <w14:schemeClr w14:val="tx1"/>
                  </w14:solidFill>
                </w14:textFill>
              </w:rPr>
              <w:t>4.15.3.4环境风险应急预案编制</w:t>
            </w:r>
          </w:p>
          <w:p w14:paraId="194722AE">
            <w:pPr>
              <w:pStyle w:val="3"/>
              <w:numPr>
                <w:ilvl w:val="0"/>
                <w:numId w:val="0"/>
              </w:numPr>
              <w:tabs>
                <w:tab w:val="left" w:pos="425"/>
                <w:tab w:val="clear" w:pos="420"/>
              </w:tabs>
              <w:ind w:firstLine="480" w:firstLineChars="200"/>
              <w:rPr>
                <w:rFonts w:hint="eastAsia" w:cs="Times New Roman"/>
                <w:b w:val="0"/>
                <w:bCs w:val="0"/>
                <w:color w:val="000000" w:themeColor="text1"/>
                <w:sz w:val="24"/>
                <w:szCs w:val="24"/>
                <w:u w:val="wave"/>
                <w:lang w:val="en-US" w:bidi="ar-SA"/>
                <w14:textFill>
                  <w14:solidFill>
                    <w14:schemeClr w14:val="tx1"/>
                  </w14:solidFill>
                </w14:textFill>
              </w:rPr>
            </w:pPr>
            <w:bookmarkStart w:id="194" w:name="_Toc21792002"/>
            <w:bookmarkStart w:id="195" w:name="_Toc487702567"/>
            <w:bookmarkStart w:id="196" w:name="_Toc21265"/>
            <w:bookmarkStart w:id="197" w:name="_Toc485713029"/>
            <w:bookmarkStart w:id="198" w:name="_Toc30532244"/>
            <w:bookmarkStart w:id="199" w:name="_Toc16121"/>
            <w:r>
              <w:rPr>
                <w:rFonts w:hint="default" w:cs="Times New Roman"/>
                <w:b w:val="0"/>
                <w:bCs w:val="0"/>
                <w:color w:val="000000" w:themeColor="text1"/>
                <w:sz w:val="24"/>
                <w:szCs w:val="24"/>
                <w:u w:val="wave"/>
                <w:lang w:val="en-US" w:bidi="ar-SA"/>
                <w14:textFill>
                  <w14:solidFill>
                    <w14:schemeClr w14:val="tx1"/>
                  </w14:solidFill>
                </w14:textFill>
              </w:rPr>
              <w:t>针对本项目运行可能发生的环境风险，根据《湖南省突发环境事件应急预案管理办法（修订版）》，</w:t>
            </w:r>
            <w:r>
              <w:rPr>
                <w:rFonts w:hint="eastAsia" w:cs="Times New Roman"/>
                <w:b w:val="0"/>
                <w:bCs w:val="0"/>
                <w:color w:val="000000" w:themeColor="text1"/>
                <w:sz w:val="24"/>
                <w:szCs w:val="24"/>
                <w:u w:val="wave"/>
                <w:lang w:val="en-US" w:eastAsia="zh-CN" w:bidi="ar-SA"/>
                <w14:textFill>
                  <w14:solidFill>
                    <w14:schemeClr w14:val="tx1"/>
                  </w14:solidFill>
                </w14:textFill>
              </w:rPr>
              <w:t>M1水平，</w:t>
            </w:r>
            <w:r>
              <w:rPr>
                <w:rFonts w:hint="default" w:cs="Times New Roman"/>
                <w:b w:val="0"/>
                <w:bCs w:val="0"/>
                <w:color w:val="000000" w:themeColor="text1"/>
                <w:sz w:val="24"/>
                <w:szCs w:val="24"/>
                <w:u w:val="wave"/>
                <w:lang w:val="en-US" w:bidi="ar-SA"/>
                <w14:textFill>
                  <w14:solidFill>
                    <w14:schemeClr w14:val="tx1"/>
                  </w14:solidFill>
                </w14:textFill>
              </w:rPr>
              <w:t>Q≤0.1经核查后可豁免，无需编制突发环境事件应急预案</w:t>
            </w:r>
            <w:r>
              <w:rPr>
                <w:rFonts w:hint="eastAsia" w:cs="Times New Roman"/>
                <w:b w:val="0"/>
                <w:bCs w:val="0"/>
                <w:color w:val="000000" w:themeColor="text1"/>
                <w:sz w:val="24"/>
                <w:szCs w:val="24"/>
                <w:u w:val="wave"/>
                <w:lang w:val="en-US" w:eastAsia="zh-CN" w:bidi="ar-SA"/>
                <w14:textFill>
                  <w14:solidFill>
                    <w14:schemeClr w14:val="tx1"/>
                  </w14:solidFill>
                </w14:textFill>
              </w:rPr>
              <w:t>。</w:t>
            </w:r>
          </w:p>
          <w:p w14:paraId="7CB7C6E4">
            <w:pPr>
              <w:pStyle w:val="3"/>
              <w:numPr>
                <w:ilvl w:val="0"/>
                <w:numId w:val="0"/>
              </w:numPr>
              <w:tabs>
                <w:tab w:val="left" w:pos="425"/>
                <w:tab w:val="clear" w:pos="420"/>
              </w:tabs>
              <w:rPr>
                <w:rFonts w:cs="Times New Roman"/>
                <w:color w:val="000000" w:themeColor="text1"/>
                <w:u w:val="none"/>
                <w14:textFill>
                  <w14:solidFill>
                    <w14:schemeClr w14:val="tx1"/>
                  </w14:solidFill>
                </w14:textFill>
              </w:rPr>
            </w:pPr>
            <w:r>
              <w:rPr>
                <w:rFonts w:cs="Times New Roman"/>
                <w:color w:val="000000" w:themeColor="text1"/>
                <w:u w:val="none"/>
                <w14:textFill>
                  <w14:solidFill>
                    <w14:schemeClr w14:val="tx1"/>
                  </w14:solidFill>
                </w14:textFill>
              </w:rPr>
              <w:t xml:space="preserve">4.16 </w:t>
            </w:r>
            <w:r>
              <w:rPr>
                <w:rFonts w:cs="Times New Roman"/>
                <w:color w:val="000000" w:themeColor="text1"/>
                <w:szCs w:val="21"/>
                <w:u w:val="none"/>
                <w14:textFill>
                  <w14:solidFill>
                    <w14:schemeClr w14:val="tx1"/>
                  </w14:solidFill>
                </w14:textFill>
              </w:rPr>
              <w:t>运营期</w:t>
            </w:r>
            <w:r>
              <w:rPr>
                <w:rFonts w:cs="Times New Roman"/>
                <w:color w:val="000000" w:themeColor="text1"/>
                <w:u w:val="none"/>
                <w14:textFill>
                  <w14:solidFill>
                    <w14:schemeClr w14:val="tx1"/>
                  </w14:solidFill>
                </w14:textFill>
              </w:rPr>
              <w:t>光影响分析</w:t>
            </w:r>
            <w:bookmarkEnd w:id="194"/>
            <w:bookmarkEnd w:id="195"/>
            <w:bookmarkEnd w:id="196"/>
            <w:bookmarkEnd w:id="197"/>
            <w:bookmarkEnd w:id="198"/>
            <w:bookmarkEnd w:id="199"/>
          </w:p>
          <w:p w14:paraId="09CBA67C">
            <w:pPr>
              <w:ind w:firstLine="480" w:firstLineChars="200"/>
              <w:rPr>
                <w:bCs/>
                <w:color w:val="000000" w:themeColor="text1"/>
                <w:szCs w:val="21"/>
                <w:u w:val="none"/>
                <w14:textFill>
                  <w14:solidFill>
                    <w14:schemeClr w14:val="tx1"/>
                  </w14:solidFill>
                </w14:textFill>
              </w:rPr>
            </w:pPr>
            <w:r>
              <w:rPr>
                <w:color w:val="000000" w:themeColor="text1"/>
                <w:u w:val="none"/>
                <w14:textFill>
                  <w14:solidFill>
                    <w14:schemeClr w14:val="tx1"/>
                  </w14:solidFill>
                </w14:textFill>
              </w:rPr>
              <w:t>风机机组安装运行后，白色叶片将对光线产生反射作用，随着太阳角度和光线强度不同和变化，可能对离风机距离较近的人群产生一定的视觉影响，有时候会产生刺眼的感觉、光影随叶片转动交替出现产生眩晕感等。本项目风机安装在离人群较远的山头，因此风机运转产生的光影污染对附近居民基本没有影响。对从远处可看见风机的人群，因距离较远，且影响时间短暂，基本不会对人群健康产生不利影响。</w:t>
            </w:r>
          </w:p>
        </w:tc>
      </w:tr>
      <w:tr w14:paraId="2BA73E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453" w:type="dxa"/>
            <w:vAlign w:val="center"/>
          </w:tcPr>
          <w:p w14:paraId="565BBB73">
            <w:pPr>
              <w:pStyle w:val="23"/>
              <w:adjustRightInd w:val="0"/>
              <w:snapToGrid w:val="0"/>
              <w:spacing w:before="0" w:beforeAutospacing="0" w:after="0" w:afterAutospacing="0"/>
              <w:jc w:val="center"/>
              <w:rPr>
                <w:rFonts w:ascii="Times New Roman" w:hAnsi="Times New Roman"/>
                <w:bCs/>
                <w:color w:val="FF0000"/>
                <w:kern w:val="2"/>
              </w:rPr>
            </w:pPr>
            <w:r>
              <w:rPr>
                <w:rFonts w:ascii="Times New Roman" w:hAnsi="Times New Roman"/>
                <w:bCs/>
                <w:color w:val="000000" w:themeColor="text1"/>
                <w:kern w:val="2"/>
                <w14:textFill>
                  <w14:solidFill>
                    <w14:schemeClr w14:val="tx1"/>
                  </w14:solidFill>
                </w14:textFill>
              </w:rPr>
              <w:t>选址选线环境合理性分析</w:t>
            </w:r>
          </w:p>
        </w:tc>
        <w:tc>
          <w:tcPr>
            <w:tcW w:w="7989" w:type="dxa"/>
          </w:tcPr>
          <w:p w14:paraId="4F32CE8C">
            <w:pPr>
              <w:spacing w:before="120" w:beforeLines="50"/>
              <w:rPr>
                <w:color w:val="000000" w:themeColor="text1"/>
                <w14:textFill>
                  <w14:solidFill>
                    <w14:schemeClr w14:val="tx1"/>
                  </w14:solidFill>
                </w14:textFill>
              </w:rPr>
            </w:pPr>
            <w:r>
              <w:rPr>
                <w:color w:val="000000" w:themeColor="text1"/>
                <w14:textFill>
                  <w14:solidFill>
                    <w14:schemeClr w14:val="tx1"/>
                  </w14:solidFill>
                </w14:textFill>
              </w:rPr>
              <w:t>1、风电场选址合理性分析</w:t>
            </w:r>
          </w:p>
          <w:p w14:paraId="7A25A18E">
            <w:pPr>
              <w:ind w:firstLine="480" w:firstLineChars="200"/>
              <w:rPr>
                <w:color w:val="FF0000"/>
              </w:rPr>
            </w:pPr>
            <w:r>
              <w:rPr>
                <w:rFonts w:hint="eastAsia"/>
                <w:color w:val="000000" w:themeColor="text1"/>
                <w:lang w:eastAsia="zh-CN"/>
                <w14:textFill>
                  <w14:solidFill>
                    <w14:schemeClr w14:val="tx1"/>
                  </w14:solidFill>
                </w14:textFill>
              </w:rPr>
              <w:t>湖南华电通道太平山风电场项目</w:t>
            </w:r>
            <w:r>
              <w:rPr>
                <w:rFonts w:hint="eastAsia"/>
                <w:color w:val="000000" w:themeColor="text1"/>
                <w14:textFill>
                  <w14:solidFill>
                    <w14:schemeClr w14:val="tx1"/>
                  </w14:solidFill>
                </w14:textFill>
              </w:rPr>
              <w:t>位于湖南省怀化市</w:t>
            </w:r>
            <w:r>
              <w:rPr>
                <w:rFonts w:hint="eastAsia"/>
                <w:color w:val="000000" w:themeColor="text1"/>
                <w:lang w:eastAsia="zh-CN"/>
                <w14:textFill>
                  <w14:solidFill>
                    <w14:schemeClr w14:val="tx1"/>
                  </w14:solidFill>
                </w14:textFill>
              </w:rPr>
              <w:t>通道县牙屯堡镇、坦坪乡、双江镇，地理位置介于北纬 26°25′41″～26°31′7″，东经 109°38′23″～1</w:t>
            </w:r>
            <w:r>
              <w:rPr>
                <w:rFonts w:hint="eastAsia"/>
                <w:color w:val="000000" w:themeColor="text1"/>
                <w:lang w:val="en-US" w:eastAsia="zh-CN"/>
                <w14:textFill>
                  <w14:solidFill>
                    <w14:schemeClr w14:val="tx1"/>
                  </w14:solidFill>
                </w14:textFill>
              </w:rPr>
              <w:t>09</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47</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4</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，呈不规则形状。风电场所在区域地形为山地，场址高程介于</w:t>
            </w:r>
            <w:r>
              <w:rPr>
                <w:rFonts w:hint="eastAsia"/>
                <w:color w:val="000000" w:themeColor="text1"/>
                <w:lang w:val="en-US" w:eastAsia="zh-CN"/>
                <w14:textFill>
                  <w14:solidFill>
                    <w14:schemeClr w14:val="tx1"/>
                  </w14:solidFill>
                </w14:textFill>
              </w:rPr>
              <w:t>60</w:t>
            </w:r>
            <w:r>
              <w:rPr>
                <w:rFonts w:hint="eastAsia"/>
                <w:color w:val="000000" w:themeColor="text1"/>
                <w14:textFill>
                  <w14:solidFill>
                    <w14:schemeClr w14:val="tx1"/>
                  </w14:solidFill>
                </w14:textFill>
              </w:rPr>
              <w:t>0m~</w:t>
            </w:r>
            <w:r>
              <w:rPr>
                <w:rFonts w:hint="eastAsia"/>
                <w:color w:val="000000" w:themeColor="text1"/>
                <w:lang w:val="en-US" w:eastAsia="zh-CN"/>
                <w14:textFill>
                  <w14:solidFill>
                    <w14:schemeClr w14:val="tx1"/>
                  </w14:solidFill>
                </w14:textFill>
              </w:rPr>
              <w:t>1000</w:t>
            </w:r>
            <w:r>
              <w:rPr>
                <w:rFonts w:hint="eastAsia"/>
                <w:color w:val="000000" w:themeColor="text1"/>
                <w14:textFill>
                  <w14:solidFill>
                    <w14:schemeClr w14:val="tx1"/>
                  </w14:solidFill>
                </w14:textFill>
              </w:rPr>
              <w:t>m之间</w:t>
            </w:r>
            <w:r>
              <w:rPr>
                <w:color w:val="000000" w:themeColor="text1"/>
                <w14:textFill>
                  <w14:solidFill>
                    <w14:schemeClr w14:val="tx1"/>
                  </w14:solidFill>
                </w14:textFill>
              </w:rPr>
              <w:t>，属丘陵地貌。</w:t>
            </w:r>
          </w:p>
          <w:p w14:paraId="756AF52A">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综合分析，本风电场选址地质条件稳定，周边环境比较简单，不存在环境制约因素，场址选择符合《风电场场址选择技术规定》中环境保护要求，选址可行。</w:t>
            </w:r>
          </w:p>
          <w:p w14:paraId="38F3A1C1">
            <w:pPr>
              <w:rPr>
                <w:color w:val="000000" w:themeColor="text1"/>
                <w14:textFill>
                  <w14:solidFill>
                    <w14:schemeClr w14:val="tx1"/>
                  </w14:solidFill>
                </w14:textFill>
              </w:rPr>
            </w:pPr>
            <w:bookmarkStart w:id="200" w:name="_Toc25093842"/>
            <w:r>
              <w:rPr>
                <w:color w:val="000000" w:themeColor="text1"/>
                <w14:textFill>
                  <w14:solidFill>
                    <w14:schemeClr w14:val="tx1"/>
                  </w14:solidFill>
                </w14:textFill>
              </w:rPr>
              <w:t>2、风机布置合理性分析</w:t>
            </w:r>
            <w:bookmarkEnd w:id="200"/>
          </w:p>
          <w:p w14:paraId="0E6C7719">
            <w:pPr>
              <w:ind w:firstLine="480" w:firstLineChars="200"/>
              <w:rPr>
                <w:color w:val="000000" w:themeColor="text1"/>
                <w:u w:val="wave"/>
                <w14:textFill>
                  <w14:solidFill>
                    <w14:schemeClr w14:val="tx1"/>
                  </w14:solidFill>
                </w14:textFill>
              </w:rPr>
            </w:pPr>
            <w:r>
              <w:rPr>
                <w:color w:val="000000" w:themeColor="text1"/>
                <w:u w:val="wave"/>
                <w14:textFill>
                  <w14:solidFill>
                    <w14:schemeClr w14:val="tx1"/>
                  </w14:solidFill>
                </w14:textFill>
              </w:rPr>
              <w:t>本项目风机均位于山脊上，离居民点</w:t>
            </w:r>
            <w:r>
              <w:rPr>
                <w:rFonts w:hint="eastAsia"/>
                <w:color w:val="000000" w:themeColor="text1"/>
                <w:u w:val="wave"/>
                <w14:textFill>
                  <w14:solidFill>
                    <w14:schemeClr w14:val="tx1"/>
                  </w14:solidFill>
                </w14:textFill>
              </w:rPr>
              <w:t>较远</w:t>
            </w:r>
            <w:r>
              <w:rPr>
                <w:color w:val="000000" w:themeColor="text1"/>
                <w:u w:val="wave"/>
                <w14:textFill>
                  <w14:solidFill>
                    <w14:schemeClr w14:val="tx1"/>
                  </w14:solidFill>
                </w14:textFill>
              </w:rPr>
              <w:t>，距本项目风机基础</w:t>
            </w:r>
            <w:r>
              <w:rPr>
                <w:rFonts w:hint="eastAsia"/>
                <w:color w:val="000000" w:themeColor="text1"/>
                <w:u w:val="wave"/>
                <w14:textFill>
                  <w14:solidFill>
                    <w14:schemeClr w14:val="tx1"/>
                  </w14:solidFill>
                </w14:textFill>
              </w:rPr>
              <w:t>水平距离3</w:t>
            </w:r>
            <w:r>
              <w:rPr>
                <w:rFonts w:hint="eastAsia"/>
                <w:color w:val="000000" w:themeColor="text1"/>
                <w:u w:val="wave"/>
                <w:lang w:val="en-US" w:eastAsia="zh-CN"/>
                <w14:textFill>
                  <w14:solidFill>
                    <w14:schemeClr w14:val="tx1"/>
                  </w14:solidFill>
                </w14:textFill>
              </w:rPr>
              <w:t>5</w:t>
            </w:r>
            <w:r>
              <w:rPr>
                <w:rFonts w:hint="eastAsia"/>
                <w:color w:val="000000" w:themeColor="text1"/>
                <w:u w:val="wave"/>
                <w14:textFill>
                  <w14:solidFill>
                    <w14:schemeClr w14:val="tx1"/>
                  </w14:solidFill>
                </w14:textFill>
              </w:rPr>
              <w:t>0m范围内</w:t>
            </w:r>
            <w:r>
              <w:rPr>
                <w:rFonts w:hint="eastAsia"/>
                <w:color w:val="000000" w:themeColor="text1"/>
                <w:u w:val="wave"/>
                <w:lang w:val="en-US" w:eastAsia="zh-CN"/>
                <w14:textFill>
                  <w14:solidFill>
                    <w14:schemeClr w14:val="tx1"/>
                  </w14:solidFill>
                </w14:textFill>
              </w:rPr>
              <w:t>无</w:t>
            </w:r>
            <w:r>
              <w:rPr>
                <w:rFonts w:hint="eastAsia"/>
                <w:color w:val="000000" w:themeColor="text1"/>
                <w:u w:val="wave"/>
                <w14:textFill>
                  <w14:solidFill>
                    <w14:schemeClr w14:val="tx1"/>
                  </w14:solidFill>
                </w14:textFill>
              </w:rPr>
              <w:t>居民点</w:t>
            </w:r>
            <w:r>
              <w:rPr>
                <w:color w:val="000000" w:themeColor="text1"/>
                <w:u w:val="wave"/>
                <w14:textFill>
                  <w14:solidFill>
                    <w14:schemeClr w14:val="tx1"/>
                  </w14:solidFill>
                </w14:textFill>
              </w:rPr>
              <w:t>。</w:t>
            </w:r>
          </w:p>
          <w:p w14:paraId="4901CC8B">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据现场查勘及</w:t>
            </w:r>
            <w:r>
              <w:rPr>
                <w:rFonts w:hint="eastAsia"/>
                <w:color w:val="000000" w:themeColor="text1"/>
                <w:lang w:eastAsia="zh-CN"/>
                <w14:textFill>
                  <w14:solidFill>
                    <w14:schemeClr w14:val="tx1"/>
                  </w14:solidFill>
                </w14:textFill>
              </w:rPr>
              <w:t>通道县</w:t>
            </w:r>
            <w:r>
              <w:rPr>
                <w:color w:val="000000" w:themeColor="text1"/>
                <w14:textFill>
                  <w14:solidFill>
                    <w14:schemeClr w14:val="tx1"/>
                  </w14:solidFill>
                </w14:textFill>
              </w:rPr>
              <w:t>自然资源局</w:t>
            </w:r>
            <w:r>
              <w:rPr>
                <w:rFonts w:hint="eastAsia"/>
                <w:color w:val="000000" w:themeColor="text1"/>
                <w14:textFill>
                  <w14:solidFill>
                    <w14:schemeClr w14:val="tx1"/>
                  </w14:solidFill>
                </w14:textFill>
              </w:rPr>
              <w:t>的相关文件，本项目选址范围不占用永久基本农田、不在生态红线范围内。</w:t>
            </w:r>
          </w:p>
          <w:p w14:paraId="47012734">
            <w:pPr>
              <w:ind w:firstLine="480" w:firstLineChars="200"/>
              <w:rPr>
                <w:color w:val="FF0000"/>
              </w:rPr>
            </w:pPr>
            <w:r>
              <w:rPr>
                <w:color w:val="000000" w:themeColor="text1"/>
                <w14:textFill>
                  <w14:solidFill>
                    <w14:schemeClr w14:val="tx1"/>
                  </w14:solidFill>
                </w14:textFill>
              </w:rPr>
              <w:t>根据</w:t>
            </w:r>
            <w:r>
              <w:rPr>
                <w:rFonts w:hint="eastAsia"/>
                <w:color w:val="000000" w:themeColor="text1"/>
                <w:lang w:eastAsia="zh-CN"/>
                <w14:textFill>
                  <w14:solidFill>
                    <w14:schemeClr w14:val="tx1"/>
                  </w14:solidFill>
                </w14:textFill>
              </w:rPr>
              <w:t>通道县</w:t>
            </w:r>
            <w:r>
              <w:rPr>
                <w:rFonts w:hint="eastAsia"/>
                <w:color w:val="000000" w:themeColor="text1"/>
                <w14:textFill>
                  <w14:solidFill>
                    <w14:schemeClr w14:val="tx1"/>
                  </w14:solidFill>
                </w14:textFill>
              </w:rPr>
              <w:t>林业局</w:t>
            </w:r>
            <w:r>
              <w:rPr>
                <w:color w:val="000000" w:themeColor="text1"/>
                <w14:textFill>
                  <w14:solidFill>
                    <w14:schemeClr w14:val="tx1"/>
                  </w14:solidFill>
                </w14:textFill>
              </w:rPr>
              <w:t>出具的相关文件，</w:t>
            </w:r>
            <w:r>
              <w:rPr>
                <w:rFonts w:hint="eastAsia"/>
                <w:color w:val="000000" w:themeColor="text1"/>
                <w:lang w:eastAsia="zh-CN"/>
                <w14:textFill>
                  <w14:solidFill>
                    <w14:schemeClr w14:val="tx1"/>
                  </w14:solidFill>
                </w14:textFill>
              </w:rPr>
              <w:t>湖南华电通道太平山风电场项目</w:t>
            </w:r>
            <w:r>
              <w:rPr>
                <w:color w:val="000000" w:themeColor="text1"/>
                <w14:textFill>
                  <w14:solidFill>
                    <w14:schemeClr w14:val="tx1"/>
                  </w14:solidFill>
                </w14:textFill>
              </w:rPr>
              <w:t>项目选址区域内</w:t>
            </w:r>
            <w:r>
              <w:rPr>
                <w:rFonts w:hint="eastAsia"/>
                <w:color w:val="000000" w:themeColor="text1"/>
                <w14:textFill>
                  <w14:solidFill>
                    <w14:schemeClr w14:val="tx1"/>
                  </w14:solidFill>
                </w14:textFill>
              </w:rPr>
              <w:t>不涉及不涉及I级保护林地、I级国家级公益林、Ⅱ级国家级公益林中的有林地及整合优化后的自然保护地</w:t>
            </w:r>
            <w:r>
              <w:rPr>
                <w:rFonts w:hint="eastAsia"/>
                <w:color w:val="000000" w:themeColor="text1"/>
                <w:lang w:val="en-US" w:eastAsia="zh-CN"/>
                <w14:textFill>
                  <w14:solidFill>
                    <w14:schemeClr w14:val="tx1"/>
                  </w14:solidFill>
                </w14:textFill>
              </w:rPr>
              <w:t>；不涉及世界自然遗产保护区、国有林场、风景名胜区、国家森林公园、地质公园、湿地公园、天然乔木林地、鸟类主要迁徙通道和迁徙地、也无重点保护野生动植物、古树名木</w:t>
            </w:r>
            <w:r>
              <w:rPr>
                <w:color w:val="000000" w:themeColor="text1"/>
                <w14:textFill>
                  <w14:solidFill>
                    <w14:schemeClr w14:val="tx1"/>
                  </w14:solidFill>
                </w14:textFill>
              </w:rPr>
              <w:t>。</w:t>
            </w:r>
          </w:p>
          <w:p w14:paraId="4824B5FA">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根据湖南省</w:t>
            </w:r>
            <w:r>
              <w:rPr>
                <w:rFonts w:hint="eastAsia"/>
                <w:color w:val="000000" w:themeColor="text1"/>
                <w:lang w:eastAsia="zh-CN"/>
                <w14:textFill>
                  <w14:solidFill>
                    <w14:schemeClr w14:val="tx1"/>
                  </w14:solidFill>
                </w14:textFill>
              </w:rPr>
              <w:t>通道县</w:t>
            </w:r>
            <w:r>
              <w:rPr>
                <w:rFonts w:hint="eastAsia"/>
                <w:color w:val="000000" w:themeColor="text1"/>
                <w:lang w:val="en-US" w:eastAsia="zh-CN"/>
                <w14:textFill>
                  <w14:solidFill>
                    <w14:schemeClr w14:val="tx1"/>
                  </w14:solidFill>
                </w14:textFill>
              </w:rPr>
              <w:t>人民武装部</w:t>
            </w:r>
            <w:r>
              <w:rPr>
                <w:rFonts w:hint="eastAsia"/>
                <w:color w:val="000000" w:themeColor="text1"/>
                <w14:textFill>
                  <w14:solidFill>
                    <w14:schemeClr w14:val="tx1"/>
                  </w14:solidFill>
                </w14:textFill>
              </w:rPr>
              <w:t>的相关文件，项目选址范围内</w:t>
            </w:r>
            <w:r>
              <w:rPr>
                <w:rFonts w:hint="eastAsia"/>
                <w:color w:val="000000" w:themeColor="text1"/>
                <w:lang w:val="en-US" w:eastAsia="zh-CN"/>
                <w14:textFill>
                  <w14:solidFill>
                    <w14:schemeClr w14:val="tx1"/>
                  </w14:solidFill>
                </w14:textFill>
              </w:rPr>
              <w:t>未发现任何军事设施</w:t>
            </w:r>
            <w:r>
              <w:rPr>
                <w:rFonts w:hint="eastAsia"/>
                <w:color w:val="000000" w:themeColor="text1"/>
                <w14:textFill>
                  <w14:solidFill>
                    <w14:schemeClr w14:val="tx1"/>
                  </w14:solidFill>
                </w14:textFill>
              </w:rPr>
              <w:t>。</w:t>
            </w:r>
          </w:p>
          <w:p w14:paraId="295D68BC">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w:t>
            </w:r>
            <w:r>
              <w:rPr>
                <w:rFonts w:hint="eastAsia"/>
                <w:color w:val="000000" w:themeColor="text1"/>
                <w:lang w:eastAsia="zh-CN"/>
                <w14:textFill>
                  <w14:solidFill>
                    <w14:schemeClr w14:val="tx1"/>
                  </w14:solidFill>
                </w14:textFill>
              </w:rPr>
              <w:t>通道县</w:t>
            </w:r>
            <w:r>
              <w:rPr>
                <w:rFonts w:hint="eastAsia"/>
                <w:color w:val="000000" w:themeColor="text1"/>
                <w:lang w:val="en-US" w:eastAsia="zh-CN"/>
                <w14:textFill>
                  <w14:solidFill>
                    <w14:schemeClr w14:val="tx1"/>
                  </w14:solidFill>
                </w14:textFill>
              </w:rPr>
              <w:t>文化旅游广电体育局</w:t>
            </w:r>
            <w:r>
              <w:rPr>
                <w:rFonts w:hint="eastAsia"/>
                <w:color w:val="000000" w:themeColor="text1"/>
                <w14:textFill>
                  <w14:solidFill>
                    <w14:schemeClr w14:val="tx1"/>
                  </w14:solidFill>
                </w14:textFill>
              </w:rPr>
              <w:t>的相关文件，本项目拟建场址范围内</w:t>
            </w:r>
            <w:r>
              <w:rPr>
                <w:rFonts w:hint="eastAsia"/>
                <w:color w:val="000000" w:themeColor="text1"/>
                <w:lang w:val="en-US" w:eastAsia="zh-CN"/>
                <w14:textFill>
                  <w14:solidFill>
                    <w14:schemeClr w14:val="tx1"/>
                  </w14:solidFill>
                </w14:textFill>
              </w:rPr>
              <w:t>不存在不可移动</w:t>
            </w:r>
            <w:r>
              <w:rPr>
                <w:rFonts w:hint="eastAsia"/>
                <w:color w:val="000000" w:themeColor="text1"/>
                <w14:textFill>
                  <w14:solidFill>
                    <w14:schemeClr w14:val="tx1"/>
                  </w14:solidFill>
                </w14:textFill>
              </w:rPr>
              <w:t>文物。</w:t>
            </w:r>
            <w:r>
              <w:rPr>
                <w:color w:val="000000" w:themeColor="text1"/>
                <w14:textFill>
                  <w14:solidFill>
                    <w14:schemeClr w14:val="tx1"/>
                  </w14:solidFill>
                </w14:textFill>
              </w:rPr>
              <w:t>无重大的环境制约因素，因建设施工活动造成的影响可通过采取相应的措施予以减缓。因此，从环境保护的角度看，风机的布置是可行的。</w:t>
            </w:r>
          </w:p>
          <w:p w14:paraId="1A9BCD32">
            <w:pPr>
              <w:rPr>
                <w:color w:val="000000" w:themeColor="text1"/>
                <w14:textFill>
                  <w14:solidFill>
                    <w14:schemeClr w14:val="tx1"/>
                  </w14:solidFill>
                </w14:textFill>
              </w:rPr>
            </w:pPr>
            <w:bookmarkStart w:id="201" w:name="_Toc25093843"/>
            <w:r>
              <w:rPr>
                <w:color w:val="000000" w:themeColor="text1"/>
                <w14:textFill>
                  <w14:solidFill>
                    <w14:schemeClr w14:val="tx1"/>
                  </w14:solidFill>
                </w14:textFill>
              </w:rPr>
              <w:t>3、施工场地选址合理性分析</w:t>
            </w:r>
            <w:bookmarkEnd w:id="201"/>
          </w:p>
          <w:p w14:paraId="6BDF7042">
            <w:pPr>
              <w:ind w:firstLine="480" w:firstLineChars="200"/>
              <w:rPr>
                <w:rFonts w:hint="eastAsia" w:eastAsia="宋体"/>
                <w:color w:val="000000" w:themeColor="text1"/>
                <w:lang w:eastAsia="zh-CN"/>
                <w14:textFill>
                  <w14:solidFill>
                    <w14:schemeClr w14:val="tx1"/>
                  </w14:solidFill>
                </w14:textFill>
              </w:rPr>
            </w:pPr>
            <w:r>
              <w:rPr>
                <w:color w:val="000000" w:themeColor="text1"/>
                <w14:textFill>
                  <w14:solidFill>
                    <w14:schemeClr w14:val="tx1"/>
                  </w14:solidFill>
                </w14:textFill>
              </w:rPr>
              <w:t>根据现场勘查，</w:t>
            </w:r>
            <w:r>
              <w:rPr>
                <w:rFonts w:hint="eastAsia"/>
                <w:color w:val="000000" w:themeColor="text1"/>
                <w14:textFill>
                  <w14:solidFill>
                    <w14:schemeClr w14:val="tx1"/>
                  </w14:solidFill>
                </w14:textFill>
              </w:rPr>
              <w:t>施工生产区主要结合风机平台、施工道路等区域的宽敞空地布置，主要用作材料堆场与施工生产厂房、仓库等，施工生活租用当地民房，本项目无需设置施工生活区，不新增占地</w:t>
            </w:r>
            <w:r>
              <w:rPr>
                <w:rFonts w:hint="eastAsia"/>
                <w:color w:val="000000" w:themeColor="text1"/>
                <w:lang w:eastAsia="zh-CN"/>
                <w14:textFill>
                  <w14:solidFill>
                    <w14:schemeClr w14:val="tx1"/>
                  </w14:solidFill>
                </w14:textFill>
              </w:rPr>
              <w:t>。</w:t>
            </w:r>
          </w:p>
          <w:p w14:paraId="6E2E643A">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施工生产区选择平缓地形，减少了土地平整、土石方开挖量，降低对地表的扰动，减少对环境的不利影响；施工临时占地在施工结束后及时进行土地复垦，可最大程度上减小对土地资源的影响。同时，施工废水经沉淀后回用于场内洒水抑尘，施工生活污水处理达标后用于周边林地浇灌，减少对外环境的影响。</w:t>
            </w:r>
          </w:p>
          <w:p w14:paraId="7D6C6AAB">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本项目施工场地选址未处于湿地公园、生态保护红线、饮用水源保护区、国家公益林等敏感区域。因此，从总体布局及施工时序安排来看，施工生产生活区选址合理。</w:t>
            </w:r>
          </w:p>
          <w:p w14:paraId="0B3A1A82">
            <w:pPr>
              <w:rPr>
                <w:color w:val="000000" w:themeColor="text1"/>
                <w14:textFill>
                  <w14:solidFill>
                    <w14:schemeClr w14:val="tx1"/>
                  </w14:solidFill>
                </w14:textFill>
              </w:rPr>
            </w:pPr>
            <w:bookmarkStart w:id="202" w:name="_Toc25093844"/>
            <w:r>
              <w:rPr>
                <w:color w:val="000000" w:themeColor="text1"/>
                <w14:textFill>
                  <w14:solidFill>
                    <w14:schemeClr w14:val="tx1"/>
                  </w14:solidFill>
                </w14:textFill>
              </w:rPr>
              <w:t>4、弃渣场选址合理性分析</w:t>
            </w:r>
            <w:bookmarkEnd w:id="202"/>
          </w:p>
          <w:p w14:paraId="5288E5A4">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（1）选址</w:t>
            </w:r>
          </w:p>
          <w:p w14:paraId="47A61847">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本项目设置</w:t>
            </w:r>
            <w:r>
              <w:rPr>
                <w:rFonts w:hint="eastAsia"/>
                <w:color w:val="000000" w:themeColor="text1"/>
                <w:lang w:val="en-US" w:eastAsia="zh-CN"/>
                <w14:textFill>
                  <w14:solidFill>
                    <w14:schemeClr w14:val="tx1"/>
                  </w14:solidFill>
                </w14:textFill>
              </w:rPr>
              <w:t>9处</w:t>
            </w:r>
            <w:r>
              <w:rPr>
                <w:color w:val="000000" w:themeColor="text1"/>
                <w14:textFill>
                  <w14:solidFill>
                    <w14:schemeClr w14:val="tx1"/>
                  </w14:solidFill>
                </w14:textFill>
              </w:rPr>
              <w:t>弃渣场，共占地</w:t>
            </w:r>
            <w:r>
              <w:rPr>
                <w:rFonts w:hint="eastAsia"/>
                <w:color w:val="000000" w:themeColor="text1"/>
                <w:lang w:val="en-US" w:eastAsia="zh-CN"/>
                <w14:textFill>
                  <w14:solidFill>
                    <w14:schemeClr w14:val="tx1"/>
                  </w14:solidFill>
                </w14:textFill>
              </w:rPr>
              <w:t>5.96</w:t>
            </w:r>
            <w:r>
              <w:rPr>
                <w:rFonts w:hint="eastAsia"/>
                <w:color w:val="000000" w:themeColor="text1"/>
                <w:lang w:eastAsia="zh-CN"/>
                <w14:textFill>
                  <w14:solidFill>
                    <w14:schemeClr w14:val="tx1"/>
                  </w14:solidFill>
                </w14:textFill>
              </w:rPr>
              <w:t>hm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，渣场容量满足堆存弃土石渣的要求。本项目设置的弃渣场选址未处于湿地公园、生态保护红线、饮用水源保护区、国家公益林等敏感区域。</w:t>
            </w:r>
          </w:p>
          <w:p w14:paraId="7015DB3D">
            <w:pPr>
              <w:ind w:firstLine="480" w:firstLineChars="200"/>
              <w:rPr>
                <w:rFonts w:hint="eastAsia"/>
                <w:color w:val="000000" w:themeColor="text1"/>
                <w:u w:val="wave"/>
                <w14:textFill>
                  <w14:solidFill>
                    <w14:schemeClr w14:val="tx1"/>
                  </w14:solidFill>
                </w14:textFill>
              </w:rPr>
            </w:pPr>
            <w:r>
              <w:rPr>
                <w:rFonts w:hint="eastAsia"/>
                <w:color w:val="000000" w:themeColor="text1"/>
                <w:u w:val="wave"/>
                <w14:textFill>
                  <w14:solidFill>
                    <w14:schemeClr w14:val="tx1"/>
                  </w14:solidFill>
                </w14:textFill>
              </w:rPr>
              <w:t>根据生态调查结果，本项目弃渣场地表植被主要林地，不占用耕地，并远离居民区。其中阔叶林物种以毛竹为主，针叶林主要为马尾松和杉木为主，均为当地的常见种和优势种，在施工区域周边地区均有广泛分布。根据前述关于弃渣场容量及服务范围见前述相关内容可知，本项目设置的</w:t>
            </w:r>
          </w:p>
          <w:p w14:paraId="0C12E1BA">
            <w:pPr>
              <w:rPr>
                <w:rFonts w:hint="eastAsia"/>
                <w:color w:val="000000" w:themeColor="text1"/>
                <w:u w:val="wave"/>
                <w14:textFill>
                  <w14:solidFill>
                    <w14:schemeClr w14:val="tx1"/>
                  </w14:solidFill>
                </w14:textFill>
              </w:rPr>
            </w:pPr>
            <w:r>
              <w:rPr>
                <w:rFonts w:hint="eastAsia"/>
                <w:color w:val="000000" w:themeColor="text1"/>
                <w:u w:val="wave"/>
                <w14:textFill>
                  <w14:solidFill>
                    <w14:schemeClr w14:val="tx1"/>
                  </w14:solidFill>
                </w14:textFill>
              </w:rPr>
              <w:t>弃渣场能够满足风电场弃渣处置的要求。</w:t>
            </w:r>
          </w:p>
          <w:p w14:paraId="10DF85CB">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根据项目水保方案，</w:t>
            </w:r>
            <w:r>
              <w:rPr>
                <w:rFonts w:hint="eastAsia"/>
                <w:color w:val="000000" w:themeColor="text1"/>
                <w:lang w:val="en-US" w:eastAsia="zh-CN"/>
                <w14:textFill>
                  <w14:solidFill>
                    <w14:schemeClr w14:val="tx1"/>
                  </w14:solidFill>
                </w14:textFill>
              </w:rPr>
              <w:t>9</w:t>
            </w:r>
            <w:r>
              <w:rPr>
                <w:rFonts w:hint="eastAsia"/>
                <w:color w:val="000000" w:themeColor="text1"/>
                <w:lang w:eastAsia="zh-CN"/>
                <w14:textFill>
                  <w14:solidFill>
                    <w14:schemeClr w14:val="tx1"/>
                  </w14:solidFill>
                </w14:textFill>
              </w:rPr>
              <w:t>处</w:t>
            </w:r>
            <w:r>
              <w:rPr>
                <w:rFonts w:hint="eastAsia"/>
                <w:color w:val="000000" w:themeColor="text1"/>
                <w14:textFill>
                  <w14:solidFill>
                    <w14:schemeClr w14:val="tx1"/>
                  </w14:solidFill>
                </w14:textFill>
              </w:rPr>
              <w:t>弃渣场选址，均为5级弃渣场。各弃渣场主要均为沟道型，属山区荒沟、支毛沟，不涉及河道，集雨面积小，沟道上、下游无公共设施、基础设施、工业企业、居民点等敏感区域</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经核实，各弃渣场位置、占地面积明确，地质条件较好，利于设置防护措施，其布局方案满足工程土石方调运需求。</w:t>
            </w:r>
            <w:r>
              <w:rPr>
                <w:color w:val="000000" w:themeColor="text1"/>
                <w14:textFill>
                  <w14:solidFill>
                    <w14:schemeClr w14:val="tx1"/>
                  </w14:solidFill>
                </w14:textFill>
              </w:rPr>
              <w:t>弃渣场均位于道路附近，距离最近的居民点</w:t>
            </w:r>
            <w:r>
              <w:rPr>
                <w:rFonts w:hint="eastAsia"/>
                <w:color w:val="000000" w:themeColor="text1"/>
                <w14:textFill>
                  <w14:solidFill>
                    <w14:schemeClr w14:val="tx1"/>
                  </w14:solidFill>
                </w14:textFill>
              </w:rPr>
              <w:t>约</w:t>
            </w:r>
            <w:r>
              <w:rPr>
                <w:rFonts w:hint="eastAsia"/>
                <w:color w:val="000000" w:themeColor="text1"/>
                <w:lang w:val="en-US" w:eastAsia="zh-CN"/>
                <w14:textFill>
                  <w14:solidFill>
                    <w14:schemeClr w14:val="tx1"/>
                  </w14:solidFill>
                </w14:textFill>
              </w:rPr>
              <w:t>400</w:t>
            </w:r>
            <w:r>
              <w:rPr>
                <w:color w:val="000000" w:themeColor="text1"/>
                <w14:textFill>
                  <w14:solidFill>
                    <w14:schemeClr w14:val="tx1"/>
                  </w14:solidFill>
                </w14:textFill>
              </w:rPr>
              <w:t>m，</w:t>
            </w:r>
            <w:r>
              <w:rPr>
                <w:rFonts w:hint="eastAsia"/>
                <w:color w:val="000000" w:themeColor="text1"/>
                <w:lang w:val="en-US" w:eastAsia="zh-CN"/>
                <w14:textFill>
                  <w14:solidFill>
                    <w14:schemeClr w14:val="tx1"/>
                  </w14:solidFill>
                </w14:textFill>
              </w:rPr>
              <w:t>有道路和山体阻隔，</w:t>
            </w:r>
            <w:r>
              <w:rPr>
                <w:color w:val="000000" w:themeColor="text1"/>
                <w14:textFill>
                  <w14:solidFill>
                    <w14:schemeClr w14:val="tx1"/>
                  </w14:solidFill>
                </w14:textFill>
              </w:rPr>
              <w:t>堆渣产生的水土流失对周围村民影响小；项目弃渣场占地属临时占地，本次项目施工期结束，会对弃渣场进行地表植被恢复，恢复其原地形地貌。</w:t>
            </w:r>
          </w:p>
          <w:p w14:paraId="33F5B763">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综合上述可知，项目各弃渣场在施工期堆渣过程中不会对居民点安全构成危险，不会对生态保护红线造成影响。</w:t>
            </w:r>
          </w:p>
          <w:p w14:paraId="005F25F3">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（2）占地类型</w:t>
            </w:r>
          </w:p>
          <w:p w14:paraId="0F007F4A">
            <w:pPr>
              <w:ind w:firstLine="480" w:firstLineChars="200"/>
              <w:rPr>
                <w:color w:val="000000" w:themeColor="text1"/>
                <w:u w:val="wave"/>
                <w14:textFill>
                  <w14:solidFill>
                    <w14:schemeClr w14:val="tx1"/>
                  </w14:solidFill>
                </w14:textFill>
              </w:rPr>
            </w:pPr>
            <w:r>
              <w:rPr>
                <w:color w:val="000000" w:themeColor="text1"/>
                <w:u w:val="wave"/>
                <w14:textFill>
                  <w14:solidFill>
                    <w14:schemeClr w14:val="tx1"/>
                  </w14:solidFill>
                </w14:textFill>
              </w:rPr>
              <w:t>项目拟设定的</w:t>
            </w:r>
            <w:r>
              <w:rPr>
                <w:rFonts w:hint="eastAsia"/>
                <w:color w:val="000000" w:themeColor="text1"/>
                <w:u w:val="wave"/>
                <w:lang w:val="en-US" w:eastAsia="zh-CN"/>
                <w14:textFill>
                  <w14:solidFill>
                    <w14:schemeClr w14:val="tx1"/>
                  </w14:solidFill>
                </w14:textFill>
              </w:rPr>
              <w:t>9</w:t>
            </w:r>
            <w:r>
              <w:rPr>
                <w:rFonts w:hint="eastAsia"/>
                <w:color w:val="000000" w:themeColor="text1"/>
                <w:u w:val="wave"/>
                <w:lang w:eastAsia="zh-CN"/>
                <w14:textFill>
                  <w14:solidFill>
                    <w14:schemeClr w14:val="tx1"/>
                  </w14:solidFill>
                </w14:textFill>
              </w:rPr>
              <w:t>个</w:t>
            </w:r>
            <w:r>
              <w:rPr>
                <w:color w:val="000000" w:themeColor="text1"/>
                <w:u w:val="wave"/>
                <w14:textFill>
                  <w14:solidFill>
                    <w14:schemeClr w14:val="tx1"/>
                  </w14:solidFill>
                </w14:textFill>
              </w:rPr>
              <w:t>弃渣场位于风电规划区域范围内，均可通过主体工程场内现有道路到达，弃渣场类型主要为缓坡型，未占用耕地，占地范围内主要的植被类型主要为灌木林地，这样的渣场有利于防护，具有防护措施工程量小的特点。因此，本项目弃渣场选址可行。</w:t>
            </w:r>
          </w:p>
          <w:p w14:paraId="1898FA1B">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（3）行洪</w:t>
            </w:r>
          </w:p>
          <w:p w14:paraId="0358446B">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弃渣场选址为缓坡型渣场，易于防护，渣场占地以灌木林为主，堆渣结束后，可采取植被恢复措施进行恢复。因此，从环境的角度，渣场选址可行。</w:t>
            </w:r>
          </w:p>
          <w:p w14:paraId="39E3E666">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（4）规划符合性分析</w:t>
            </w:r>
          </w:p>
          <w:p w14:paraId="23D8D3C6">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弃渣场符合《开发建设项目水土保持技术规范》中弃渣场选址的要求，地表抗侵蚀能力较强，土壤侵蚀基本上属于轻度水力侵蚀。从各项因素分析，弃渣场选址是适宜的，运输、运距及容量均能满足工程需要。</w:t>
            </w:r>
          </w:p>
          <w:p w14:paraId="4AFFFB71">
            <w:pPr>
              <w:rPr>
                <w:color w:val="000000" w:themeColor="text1"/>
                <w14:textFill>
                  <w14:solidFill>
                    <w14:schemeClr w14:val="tx1"/>
                  </w14:solidFill>
                </w14:textFill>
              </w:rPr>
            </w:pPr>
            <w:bookmarkStart w:id="203" w:name="_Toc25093845"/>
            <w:r>
              <w:rPr>
                <w:color w:val="000000" w:themeColor="text1"/>
                <w14:textFill>
                  <w14:solidFill>
                    <w14:schemeClr w14:val="tx1"/>
                  </w14:solidFill>
                </w14:textFill>
              </w:rPr>
              <w:t>5、道路选址合理性分析</w:t>
            </w:r>
            <w:bookmarkEnd w:id="203"/>
          </w:p>
          <w:p w14:paraId="1C65F36B">
            <w:pPr>
              <w:ind w:firstLine="480" w:firstLineChars="200"/>
              <w:rPr>
                <w:color w:val="000000" w:themeColor="text1"/>
                <w14:textFill>
                  <w14:solidFill>
                    <w14:schemeClr w14:val="tx1"/>
                  </w14:solidFill>
                </w14:textFill>
              </w:rPr>
            </w:pPr>
            <w:r>
              <w:rPr>
                <w:rFonts w:hint="eastAsia" w:ascii="Times New Roman" w:hAnsi="Times New Roman" w:eastAsia="宋体" w:cs="Times New Roman"/>
                <w:bCs/>
                <w:color w:val="000000" w:themeColor="text1"/>
                <w:kern w:val="2"/>
                <w:sz w:val="24"/>
                <w:szCs w:val="24"/>
                <w:u w:val="none"/>
                <w:lang w:val="en-US" w:eastAsia="zh-CN" w:bidi="ar"/>
                <w14:textFill>
                  <w14:solidFill>
                    <w14:schemeClr w14:val="tx1"/>
                  </w14:solidFill>
                </w14:textFill>
              </w:rPr>
              <w:t>根据本风电场风机布置点位和现场踏勘了解，风机点位根据布置情况大致沿山脊从东北部向西南部分布。结合当地交通规划图，通过实地踏勘了解，本工程大件运输道路推荐如下： 风机厂家-国家各干线公路-高速G65-国道G209-县道X083-村村通公路-风电场场内临时施工检修道路-风机点位施工区。通过现场踏勘了解，高速、国道、省道、大部分县道基本可满足大件运输需求。部分县道、乡道及大件运输所经村村通道路路况较差，局部急转弯路段经加宽处理后可满足大件运输要求。整个风场改造和新建道路总长为39.50km。其中改造道路为局部条件较差的乡道或已有村村通道路，需改造长度约5.50km。</w:t>
            </w:r>
            <w:r>
              <w:rPr>
                <w:rFonts w:hint="default" w:ascii="Times New Roman" w:hAnsi="Times New Roman" w:eastAsia="宋体" w:cs="Times New Roman"/>
                <w:bCs/>
                <w:color w:val="000000" w:themeColor="text1"/>
                <w:kern w:val="2"/>
                <w:sz w:val="24"/>
                <w:szCs w:val="24"/>
                <w:u w:val="none"/>
                <w:lang w:val="en-US" w:eastAsia="zh-CN" w:bidi="ar"/>
                <w14:textFill>
                  <w14:solidFill>
                    <w14:schemeClr w14:val="tx1"/>
                  </w14:solidFill>
                </w14:textFill>
              </w:rPr>
              <w:t>道路路面宽4.5m，路基宽5.5m，采用180mm厚山皮石道路。</w:t>
            </w:r>
            <w:r>
              <w:rPr>
                <w:rFonts w:hint="eastAsia" w:ascii="Times New Roman" w:hAnsi="Times New Roman" w:cs="Times New Roman"/>
                <w:bCs/>
                <w:color w:val="000000" w:themeColor="text1"/>
                <w:sz w:val="24"/>
                <w:u w:val="none"/>
                <w:lang w:bidi="ar"/>
                <w14:textFill>
                  <w14:solidFill>
                    <w14:schemeClr w14:val="tx1"/>
                  </w14:solidFill>
                </w14:textFill>
              </w:rPr>
              <w:t>实际占用临时用地</w:t>
            </w:r>
            <w:r>
              <w:rPr>
                <w:rFonts w:hint="eastAsia" w:cs="Times New Roman"/>
                <w:bCs/>
                <w:color w:val="000000" w:themeColor="text1"/>
                <w:sz w:val="24"/>
                <w:u w:val="none"/>
                <w:lang w:val="en-US" w:eastAsia="zh-CN" w:bidi="ar"/>
                <w14:textFill>
                  <w14:solidFill>
                    <w14:schemeClr w14:val="tx1"/>
                  </w14:solidFill>
                </w14:textFill>
              </w:rPr>
              <w:t>55.1</w:t>
            </w:r>
            <w:r>
              <w:rPr>
                <w:rFonts w:hint="eastAsia" w:ascii="Times New Roman" w:hAnsi="Times New Roman" w:cs="Times New Roman"/>
                <w:bCs/>
                <w:color w:val="000000" w:themeColor="text1"/>
                <w:sz w:val="24"/>
                <w:u w:val="none"/>
                <w:lang w:bidi="ar"/>
                <w14:textFill>
                  <w14:solidFill>
                    <w14:schemeClr w14:val="tx1"/>
                  </w14:solidFill>
                </w14:textFill>
              </w:rPr>
              <w:t>hm</w:t>
            </w:r>
            <w:r>
              <w:rPr>
                <w:rFonts w:hint="eastAsia" w:ascii="Times New Roman" w:hAnsi="Times New Roman" w:cs="Times New Roman"/>
                <w:bCs/>
                <w:color w:val="000000" w:themeColor="text1"/>
                <w:sz w:val="24"/>
                <w:u w:val="none"/>
                <w:vertAlign w:val="superscript"/>
                <w:lang w:val="en-US" w:eastAsia="zh-CN" w:bidi="ar"/>
                <w14:textFill>
                  <w14:solidFill>
                    <w14:schemeClr w14:val="tx1"/>
                  </w14:solidFill>
                </w14:textFill>
              </w:rPr>
              <w:t>2</w:t>
            </w:r>
            <w:r>
              <w:rPr>
                <w:rFonts w:hint="eastAsia" w:ascii="Times New Roman" w:hAnsi="Times New Roman" w:cs="Times New Roman"/>
                <w:bCs/>
                <w:color w:val="000000" w:themeColor="text1"/>
                <w:sz w:val="24"/>
                <w:u w:val="none"/>
                <w:lang w:bidi="ar"/>
                <w14:textFill>
                  <w14:solidFill>
                    <w14:schemeClr w14:val="tx1"/>
                  </w14:solidFill>
                </w14:textFill>
              </w:rPr>
              <w:t>。施工道路的建设在施工期对野生动物的影响主要有：生境丧失及生境片段化和活动阻隔的影响。</w:t>
            </w:r>
            <w:r>
              <w:rPr>
                <w:color w:val="000000" w:themeColor="text1"/>
                <w14:textFill>
                  <w14:solidFill>
                    <w14:schemeClr w14:val="tx1"/>
                  </w14:solidFill>
                </w14:textFill>
              </w:rPr>
              <w:t>场内道路路基场平时在开挖边坡坡脚设排水边沟，回填边坡坡脚设护脚墙，对土质边坡考虑实施网格梁植草和铺草皮护坡，岩质边坡喷播植草护坡，土质边坡撒播草籽，土质陡边坡垂直绿化护坡。</w:t>
            </w:r>
          </w:p>
          <w:p w14:paraId="0E73CA5B">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本工程</w:t>
            </w:r>
            <w:r>
              <w:rPr>
                <w:rFonts w:hint="eastAsia"/>
                <w:color w:val="000000" w:themeColor="text1"/>
                <w14:textFill>
                  <w14:solidFill>
                    <w14:schemeClr w14:val="tx1"/>
                  </w14:solidFill>
                </w14:textFill>
              </w:rPr>
              <w:t>风机分布于各山顶或山脊上，场内主干道路及至各风机分支道路布置条件一般。经统计，场外、进场分界点后风电场新建道路</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含进站道路</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总长度约</w:t>
            </w:r>
            <w:r>
              <w:rPr>
                <w:rFonts w:hint="eastAsia"/>
                <w:color w:val="000000" w:themeColor="text1"/>
                <w:lang w:val="en-US" w:eastAsia="zh-CN"/>
                <w14:textFill>
                  <w14:solidFill>
                    <w14:schemeClr w14:val="tx1"/>
                  </w14:solidFill>
                </w14:textFill>
              </w:rPr>
              <w:t>34.0</w:t>
            </w:r>
            <w:r>
              <w:rPr>
                <w:rFonts w:hint="eastAsia"/>
                <w:color w:val="000000" w:themeColor="text1"/>
                <w14:textFill>
                  <w14:solidFill>
                    <w14:schemeClr w14:val="tx1"/>
                  </w14:solidFill>
                </w14:textFill>
              </w:rPr>
              <w:t>km。场内道路设计考虑永临结合，施工期间为满足施工及设备运输要求，运输方式采用特种车辆运输，运行期满足检修维护的需要，场内道路设计标准：道路路基宽</w:t>
            </w:r>
            <w:r>
              <w:rPr>
                <w:rFonts w:hint="eastAsia"/>
                <w:color w:val="000000" w:themeColor="text1"/>
                <w:lang w:val="en-US" w:eastAsia="zh-CN"/>
                <w14:textFill>
                  <w14:solidFill>
                    <w14:schemeClr w14:val="tx1"/>
                  </w14:solidFill>
                </w14:textFill>
              </w:rPr>
              <w:t>5.5</w:t>
            </w:r>
            <w:r>
              <w:rPr>
                <w:rFonts w:hint="eastAsia"/>
                <w:color w:val="000000" w:themeColor="text1"/>
                <w14:textFill>
                  <w14:solidFill>
                    <w14:schemeClr w14:val="tx1"/>
                  </w14:solidFill>
                </w14:textFill>
              </w:rPr>
              <w:t>m，路面宽</w:t>
            </w:r>
            <w:r>
              <w:rPr>
                <w:rFonts w:hint="eastAsia"/>
                <w:color w:val="000000" w:themeColor="text1"/>
                <w:lang w:val="en-US" w:eastAsia="zh-CN"/>
                <w14:textFill>
                  <w14:solidFill>
                    <w14:schemeClr w14:val="tx1"/>
                  </w14:solidFill>
                </w14:textFill>
              </w:rPr>
              <w:t>4.5</w:t>
            </w:r>
            <w:r>
              <w:rPr>
                <w:rFonts w:hint="eastAsia"/>
                <w:color w:val="000000" w:themeColor="text1"/>
                <w14:textFill>
                  <w14:solidFill>
                    <w14:schemeClr w14:val="tx1"/>
                  </w14:solidFill>
                </w14:textFill>
              </w:rPr>
              <w:t>m，采用</w:t>
            </w:r>
            <w:r>
              <w:rPr>
                <w:rFonts w:hint="eastAsia"/>
                <w:color w:val="000000" w:themeColor="text1"/>
                <w:lang w:val="en-US" w:eastAsia="zh-CN"/>
                <w14:textFill>
                  <w14:solidFill>
                    <w14:schemeClr w14:val="tx1"/>
                  </w14:solidFill>
                </w14:textFill>
              </w:rPr>
              <w:t>18</w:t>
            </w:r>
            <w:r>
              <w:rPr>
                <w:rFonts w:hint="eastAsia"/>
                <w:color w:val="000000" w:themeColor="text1"/>
                <w14:textFill>
                  <w14:solidFill>
                    <w14:schemeClr w14:val="tx1"/>
                  </w14:solidFill>
                </w14:textFill>
              </w:rPr>
              <w:t>cm山皮石路面结构。本风电场采用特种运输，平曲线和最小转弯半径应满足风电机长塔筒运输要求，本阶段考虑最小转弯半径为</w:t>
            </w:r>
            <w:r>
              <w:rPr>
                <w:rFonts w:hint="eastAsia"/>
                <w:color w:val="000000" w:themeColor="text1"/>
                <w:lang w:val="en-US" w:eastAsia="zh-CN"/>
                <w14:textFill>
                  <w14:solidFill>
                    <w14:schemeClr w14:val="tx1"/>
                  </w14:solidFill>
                </w14:textFill>
              </w:rPr>
              <w:t>25</w:t>
            </w:r>
            <w:r>
              <w:rPr>
                <w:rFonts w:hint="eastAsia"/>
                <w:color w:val="000000" w:themeColor="text1"/>
                <w14:textFill>
                  <w14:solidFill>
                    <w14:schemeClr w14:val="tx1"/>
                  </w14:solidFill>
                </w14:textFill>
              </w:rPr>
              <w:t>m，对应宽度为</w:t>
            </w:r>
            <w:r>
              <w:rPr>
                <w:rFonts w:hint="eastAsia"/>
                <w:color w:val="000000" w:themeColor="text1"/>
                <w:lang w:val="en-US" w:eastAsia="zh-CN"/>
                <w14:textFill>
                  <w14:solidFill>
                    <w14:schemeClr w14:val="tx1"/>
                  </w14:solidFill>
                </w14:textFill>
              </w:rPr>
              <w:t>10</w:t>
            </w:r>
            <w:r>
              <w:rPr>
                <w:rFonts w:hint="eastAsia"/>
                <w:color w:val="000000" w:themeColor="text1"/>
                <w14:textFill>
                  <w14:solidFill>
                    <w14:schemeClr w14:val="tx1"/>
                  </w14:solidFill>
                </w14:textFill>
              </w:rPr>
              <w:t>.0m；压实度达到93%。纵坡最大控制在1</w:t>
            </w: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%以内。最小竖曲线半径为200m。场内道路施工要求做好道路两侧的排水设施及挡墙、护坡工程，防止山体滑坡等地质灾害</w:t>
            </w:r>
            <w:r>
              <w:rPr>
                <w:color w:val="000000" w:themeColor="text1"/>
                <w14:textFill>
                  <w14:solidFill>
                    <w14:schemeClr w14:val="tx1"/>
                  </w14:solidFill>
                </w14:textFill>
              </w:rPr>
              <w:t>。场内交通道路中风机进场道路前期作为临时便道，主要用于施工机械进场。</w:t>
            </w:r>
          </w:p>
          <w:p w14:paraId="5D87E9BC">
            <w:pPr>
              <w:ind w:firstLine="480" w:firstLineChars="200"/>
              <w:rPr>
                <w:color w:val="000000" w:themeColor="text1"/>
                <w:u w:val="wave"/>
                <w14:textFill>
                  <w14:solidFill>
                    <w14:schemeClr w14:val="tx1"/>
                  </w14:solidFill>
                </w14:textFill>
              </w:rPr>
            </w:pPr>
            <w:r>
              <w:rPr>
                <w:color w:val="000000" w:themeColor="text1"/>
                <w:u w:val="wave"/>
                <w14:textFill>
                  <w14:solidFill>
                    <w14:schemeClr w14:val="tx1"/>
                  </w14:solidFill>
                </w14:textFill>
              </w:rPr>
              <w:t>经现场勘察，场内新建路段周边多为灌木丛</w:t>
            </w:r>
            <w:r>
              <w:rPr>
                <w:rFonts w:hint="eastAsia"/>
                <w:color w:val="000000" w:themeColor="text1"/>
                <w:u w:val="wave"/>
                <w:lang w:eastAsia="zh-CN"/>
                <w14:textFill>
                  <w14:solidFill>
                    <w14:schemeClr w14:val="tx1"/>
                  </w14:solidFill>
                </w14:textFill>
              </w:rPr>
              <w:t>、</w:t>
            </w:r>
            <w:r>
              <w:rPr>
                <w:color w:val="000000" w:themeColor="text1"/>
                <w:u w:val="wave"/>
                <w14:textFill>
                  <w14:solidFill>
                    <w14:schemeClr w14:val="tx1"/>
                  </w14:solidFill>
                </w14:textFill>
              </w:rPr>
              <w:t>草地</w:t>
            </w:r>
            <w:r>
              <w:rPr>
                <w:rFonts w:hint="eastAsia"/>
                <w:color w:val="000000" w:themeColor="text1"/>
                <w:u w:val="wave"/>
                <w:lang w:val="en-US" w:eastAsia="zh-CN"/>
                <w14:textFill>
                  <w14:solidFill>
                    <w14:schemeClr w14:val="tx1"/>
                  </w14:solidFill>
                </w14:textFill>
              </w:rPr>
              <w:t>和林地</w:t>
            </w:r>
            <w:r>
              <w:rPr>
                <w:color w:val="000000" w:themeColor="text1"/>
                <w:u w:val="wave"/>
                <w14:textFill>
                  <w14:solidFill>
                    <w14:schemeClr w14:val="tx1"/>
                  </w14:solidFill>
                </w14:textFill>
              </w:rPr>
              <w:t>，道路征地范围内无明显保护敏感问题，道路选线避开耕地、远离居民</w:t>
            </w:r>
            <w:r>
              <w:rPr>
                <w:rFonts w:hint="eastAsia"/>
                <w:color w:val="000000" w:themeColor="text1"/>
                <w:u w:val="wave"/>
                <w:lang w:eastAsia="zh-CN"/>
                <w14:textFill>
                  <w14:solidFill>
                    <w14:schemeClr w14:val="tx1"/>
                  </w14:solidFill>
                </w14:textFill>
              </w:rPr>
              <w:t>，</w:t>
            </w:r>
            <w:r>
              <w:rPr>
                <w:rFonts w:hint="eastAsia"/>
                <w:color w:val="000000" w:themeColor="text1"/>
                <w:u w:val="wave"/>
                <w:lang w:val="en-US" w:eastAsia="zh-CN"/>
                <w14:textFill>
                  <w14:solidFill>
                    <w14:schemeClr w14:val="tx1"/>
                  </w14:solidFill>
                </w14:textFill>
              </w:rPr>
              <w:t>其中8号风机道路周边有农村千人以上饮用水源二级保护区，施工期间在做好相应保护措施后对其影响较小。</w:t>
            </w:r>
            <w:r>
              <w:rPr>
                <w:color w:val="000000" w:themeColor="text1"/>
                <w:u w:val="wave"/>
                <w14:textFill>
                  <w14:solidFill>
                    <w14:schemeClr w14:val="tx1"/>
                  </w14:solidFill>
                </w14:textFill>
              </w:rPr>
              <w:t>项目区成土母岩为粉砂岩，风化后所形成的土壤腐殖层较薄、含沙量高，地表扰动后水土流失危害较大，但是在道路施工建设过程中若能严格执行《</w:t>
            </w:r>
            <w:r>
              <w:rPr>
                <w:rFonts w:hint="eastAsia"/>
                <w:color w:val="000000" w:themeColor="text1"/>
                <w:u w:val="wave"/>
                <w:lang w:eastAsia="zh-CN"/>
                <w14:textFill>
                  <w14:solidFill>
                    <w14:schemeClr w14:val="tx1"/>
                  </w14:solidFill>
                </w14:textFill>
              </w:rPr>
              <w:t>怀化湖南华电通道太平山风电场项目</w:t>
            </w:r>
            <w:r>
              <w:rPr>
                <w:color w:val="000000" w:themeColor="text1"/>
                <w:u w:val="wave"/>
                <w14:textFill>
                  <w14:solidFill>
                    <w14:schemeClr w14:val="tx1"/>
                  </w14:solidFill>
                </w14:textFill>
              </w:rPr>
              <w:t>场水土保持方案报告书》中的有关水土保持措施后，工程建设可能引发的水土流失可通过采取预防保护措施减免。从环境保护的角度本工程道路选线合理。</w:t>
            </w:r>
          </w:p>
          <w:p w14:paraId="1A06AC4A">
            <w:pPr>
              <w:rPr>
                <w:color w:val="000000" w:themeColor="text1"/>
                <w14:textFill>
                  <w14:solidFill>
                    <w14:schemeClr w14:val="tx1"/>
                  </w14:solidFill>
                </w14:textFill>
              </w:rPr>
            </w:pPr>
            <w:bookmarkStart w:id="204" w:name="_Toc25093846"/>
            <w:r>
              <w:rPr>
                <w:color w:val="000000" w:themeColor="text1"/>
                <w14:textFill>
                  <w14:solidFill>
                    <w14:schemeClr w14:val="tx1"/>
                  </w14:solidFill>
                </w14:textFill>
              </w:rPr>
              <w:t>6、集电线路选线合理性分析</w:t>
            </w:r>
            <w:bookmarkEnd w:id="204"/>
          </w:p>
          <w:p w14:paraId="280BF4C5">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本工程集电线路全部采用直埋电缆方案。</w:t>
            </w:r>
          </w:p>
          <w:p w14:paraId="18477D34">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工程直埋电缆沟开挖长度为</w:t>
            </w:r>
            <w:r>
              <w:rPr>
                <w:rFonts w:hint="eastAsia"/>
                <w:color w:val="000000" w:themeColor="text1"/>
                <w:lang w:val="en-US" w:eastAsia="zh-CN"/>
                <w14:textFill>
                  <w14:solidFill>
                    <w14:schemeClr w14:val="tx1"/>
                  </w14:solidFill>
                </w14:textFill>
              </w:rPr>
              <w:t>56.1</w:t>
            </w:r>
            <w:r>
              <w:rPr>
                <w:rFonts w:hint="eastAsia"/>
                <w:color w:val="000000" w:themeColor="text1"/>
                <w:lang w:eastAsia="zh-CN"/>
                <w14:textFill>
                  <w14:solidFill>
                    <w14:schemeClr w14:val="tx1"/>
                  </w14:solidFill>
                </w14:textFill>
              </w:rPr>
              <w:t>km</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直埋电缆大部分沿场内道路及现有道路直埋敷设，少部分路段不沿道路敷设，单独开挖电缆沟长度</w:t>
            </w:r>
            <w:r>
              <w:rPr>
                <w:rFonts w:hint="eastAsia"/>
                <w:color w:val="000000" w:themeColor="text1"/>
                <w:lang w:val="en-US" w:eastAsia="zh-CN"/>
                <w14:textFill>
                  <w14:solidFill>
                    <w14:schemeClr w14:val="tx1"/>
                  </w14:solidFill>
                </w14:textFill>
              </w:rPr>
              <w:t>15.0</w:t>
            </w:r>
            <w:r>
              <w:rPr>
                <w:rFonts w:hint="eastAsia"/>
                <w:color w:val="000000" w:themeColor="text1"/>
                <w14:textFill>
                  <w14:solidFill>
                    <w14:schemeClr w14:val="tx1"/>
                  </w14:solidFill>
                </w14:textFill>
              </w:rPr>
              <w:t>km。</w:t>
            </w:r>
            <w:r>
              <w:rPr>
                <w:rFonts w:hint="eastAsia"/>
                <w:color w:val="000000" w:themeColor="text1"/>
                <w:lang w:val="en-US" w:eastAsia="zh-CN"/>
                <w14:textFill>
                  <w14:solidFill>
                    <w14:schemeClr w14:val="tx1"/>
                  </w14:solidFill>
                </w14:textFill>
              </w:rPr>
              <w:t>基础开挖完成后，</w:t>
            </w:r>
            <w:r>
              <w:rPr>
                <w:rFonts w:hint="eastAsia"/>
                <w:color w:val="000000" w:themeColor="text1"/>
                <w14:textFill>
                  <w14:solidFill>
                    <w14:schemeClr w14:val="tx1"/>
                  </w14:solidFill>
                </w14:textFill>
              </w:rPr>
              <w:t>槽底清理干净并夯实，敷设电缆的上下侧各铺100mm 细砂，并在电缆上侧做盖砖保护，待施工完毕先填部分深层土后回填表土。</w:t>
            </w:r>
          </w:p>
          <w:p w14:paraId="4FB47EC0">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经现场勘察，集电线路征地范围内不涉及环境敏感区和敏感保护目标，不会破坏周边植被；地埋电缆基本上沿道路埋设，沿道路开挖，最大限度的减少了对生态的破坏；在落实水保提出的植被恢复措施的情况下，水土流失将会得到控制。从环境保护的角度集电线路选线合理。</w:t>
            </w:r>
          </w:p>
          <w:p w14:paraId="7DC84087">
            <w:pPr>
              <w:rPr>
                <w:color w:val="000000" w:themeColor="text1"/>
                <w14:textFill>
                  <w14:solidFill>
                    <w14:schemeClr w14:val="tx1"/>
                  </w14:solidFill>
                </w14:textFill>
              </w:rPr>
            </w:pPr>
            <w:bookmarkStart w:id="205" w:name="_Toc487702633"/>
            <w:r>
              <w:rPr>
                <w:color w:val="000000" w:themeColor="text1"/>
                <w14:textFill>
                  <w14:solidFill>
                    <w14:schemeClr w14:val="tx1"/>
                  </w14:solidFill>
                </w14:textFill>
              </w:rPr>
              <w:t>7、升压站选址的合理性分析</w:t>
            </w:r>
            <w:bookmarkEnd w:id="205"/>
          </w:p>
          <w:p w14:paraId="7724C6C1">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升压站位于</w:t>
            </w:r>
            <w:r>
              <w:rPr>
                <w:rFonts w:hint="eastAsia"/>
                <w:color w:val="000000" w:themeColor="text1"/>
                <w14:textFill>
                  <w14:solidFill>
                    <w14:schemeClr w14:val="tx1"/>
                  </w14:solidFill>
                </w14:textFill>
              </w:rPr>
              <w:t>位于工程</w:t>
            </w:r>
            <w:r>
              <w:rPr>
                <w:rFonts w:hint="eastAsia"/>
                <w:color w:val="000000" w:themeColor="text1"/>
                <w:lang w:val="en-US" w:eastAsia="zh-CN"/>
                <w14:textFill>
                  <w14:solidFill>
                    <w14:schemeClr w14:val="tx1"/>
                  </w14:solidFill>
                </w14:textFill>
              </w:rPr>
              <w:t>中</w:t>
            </w:r>
            <w:r>
              <w:rPr>
                <w:rFonts w:hint="eastAsia"/>
                <w:color w:val="000000" w:themeColor="text1"/>
                <w14:textFill>
                  <w14:solidFill>
                    <w14:schemeClr w14:val="tx1"/>
                  </w14:solidFill>
                </w14:textFill>
              </w:rPr>
              <w:t>部一处山顶位置</w:t>
            </w:r>
            <w:r>
              <w:rPr>
                <w:color w:val="000000" w:themeColor="text1"/>
                <w14:textFill>
                  <w14:solidFill>
                    <w14:schemeClr w14:val="tx1"/>
                  </w14:solidFill>
                </w14:textFill>
              </w:rPr>
              <w:t>，升压站站址选择时考虑风场所在地形条件、机位布置、接入系统的方向、对外交通、运行生活环境等因素。经现场勘察，升压站的选址位置交通便利，尽可能地缩短了的集电线路，充分利用现有地形，本项目升压站未在</w:t>
            </w:r>
            <w:r>
              <w:rPr>
                <w:rFonts w:hint="eastAsia"/>
                <w:color w:val="000000" w:themeColor="text1"/>
                <w:lang w:eastAsia="zh-CN"/>
                <w14:textFill>
                  <w14:solidFill>
                    <w14:schemeClr w14:val="tx1"/>
                  </w14:solidFill>
                </w14:textFill>
              </w:rPr>
              <w:t>怀化市通道县</w:t>
            </w:r>
            <w:r>
              <w:rPr>
                <w:color w:val="000000" w:themeColor="text1"/>
                <w14:textFill>
                  <w14:solidFill>
                    <w14:schemeClr w14:val="tx1"/>
                  </w14:solidFill>
                </w14:textFill>
              </w:rPr>
              <w:t>划定的生态保护红线范围内。从环境保护的角度升压站选址合理。</w:t>
            </w:r>
          </w:p>
          <w:p w14:paraId="49C1A186">
            <w:pPr>
              <w:rPr>
                <w:color w:val="000000" w:themeColor="text1"/>
                <w14:textFill>
                  <w14:solidFill>
                    <w14:schemeClr w14:val="tx1"/>
                  </w14:solidFill>
                </w14:textFill>
              </w:rPr>
            </w:pPr>
            <w:bookmarkStart w:id="206" w:name="_Toc21792018"/>
            <w:r>
              <w:rPr>
                <w:rFonts w:hint="eastAsia"/>
                <w:color w:val="000000" w:themeColor="text1"/>
                <w:lang w:val="en-US" w:eastAsia="zh-CN"/>
                <w14:textFill>
                  <w14:solidFill>
                    <w14:schemeClr w14:val="tx1"/>
                  </w14:solidFill>
                </w14:textFill>
              </w:rPr>
              <w:t>8</w:t>
            </w:r>
            <w:r>
              <w:rPr>
                <w:color w:val="000000" w:themeColor="text1"/>
                <w14:textFill>
                  <w14:solidFill>
                    <w14:schemeClr w14:val="tx1"/>
                  </w14:solidFill>
                </w14:textFill>
              </w:rPr>
              <w:t>、其他选址要求</w:t>
            </w:r>
            <w:bookmarkEnd w:id="206"/>
          </w:p>
          <w:p w14:paraId="6C1277C1">
            <w:pPr>
              <w:ind w:firstLine="480" w:firstLineChars="200"/>
              <w:rPr>
                <w:color w:val="000000" w:themeColor="text1"/>
                <w14:textFill>
                  <w14:solidFill>
                    <w14:schemeClr w14:val="tx1"/>
                  </w14:solidFill>
                </w14:textFill>
              </w:rPr>
            </w:pPr>
            <w:bookmarkStart w:id="207" w:name="_Toc487702635"/>
            <w:r>
              <w:rPr>
                <w:color w:val="000000" w:themeColor="text1"/>
                <w14:textFill>
                  <w14:solidFill>
                    <w14:schemeClr w14:val="tx1"/>
                  </w14:solidFill>
                </w14:textFill>
              </w:rPr>
              <w:t>（1）关于项目区是否涉及地质灾害的情况说明</w:t>
            </w:r>
            <w:bookmarkEnd w:id="207"/>
          </w:p>
          <w:p w14:paraId="1673BE44">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根据项目可行性研究报告及水保方案：</w:t>
            </w:r>
            <w:r>
              <w:rPr>
                <w:rFonts w:hint="eastAsia"/>
                <w:color w:val="000000" w:themeColor="text1"/>
                <w14:textFill>
                  <w14:solidFill>
                    <w14:schemeClr w14:val="tx1"/>
                  </w14:solidFill>
                </w14:textFill>
              </w:rPr>
              <w:t>风电场区属于构造稳定地区</w:t>
            </w:r>
            <w:r>
              <w:rPr>
                <w:color w:val="000000" w:themeColor="text1"/>
                <w14:textFill>
                  <w14:solidFill>
                    <w14:schemeClr w14:val="tx1"/>
                  </w14:solidFill>
                </w14:textFill>
              </w:rPr>
              <w:t>，山体圆润饱满，植被覆盖良好，不存在大规模崩塌、滑坡、泥石流、地面沉降等不良地质作用。</w:t>
            </w:r>
          </w:p>
          <w:p w14:paraId="7BF194A4">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道路开挖所产生大量的土石渣，应按要求堆弃，严防泥石流等次生灾害的发生，顺向坡地段及高陡边坡开挖应注意其稳定性。</w:t>
            </w:r>
          </w:p>
          <w:p w14:paraId="1E35CA44">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松散堆积层以残坡积层为主，主要分布于山体斜坡及冲沟附近。表层多为腐殖土，覆盖层内部未见大规模滑动、蠕变等迹象，不存在可液化土层，自然边坡整体稳定，发生大型泥石流的可能性不大。基岩全、强风化边坡裂隙发育，自然边坡整体稳定，局部高陡边坡发生小型崩塌。</w:t>
            </w:r>
          </w:p>
          <w:p w14:paraId="364FF4A4">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综上所述，风电机组场区内未见规模较大的塌陷、泥石流等存在，不良地质现象主要为岩体的不均匀风化、覆盖层内部或基岩全、强风化层边坡局部塌滑等。</w:t>
            </w:r>
          </w:p>
          <w:p w14:paraId="07947FB0">
            <w:pPr>
              <w:ind w:firstLine="480" w:firstLineChars="200"/>
              <w:rPr>
                <w:color w:val="000000" w:themeColor="text1"/>
                <w14:textFill>
                  <w14:solidFill>
                    <w14:schemeClr w14:val="tx1"/>
                  </w14:solidFill>
                </w14:textFill>
              </w:rPr>
            </w:pPr>
            <w:bookmarkStart w:id="208" w:name="_Toc487702636"/>
            <w:r>
              <w:rPr>
                <w:color w:val="000000" w:themeColor="text1"/>
                <w14:textFill>
                  <w14:solidFill>
                    <w14:schemeClr w14:val="tx1"/>
                  </w14:solidFill>
                </w14:textFill>
              </w:rPr>
              <w:t>（2）关于项目区是否涉及严重水土流失重点区域的情况说明</w:t>
            </w:r>
            <w:bookmarkEnd w:id="208"/>
          </w:p>
          <w:p w14:paraId="07BD0146">
            <w:pPr>
              <w:ind w:firstLine="480" w:firstLineChars="200"/>
              <w:rPr>
                <w:rFonts w:hint="eastAsia"/>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根据《水利部办公厅关于印发（全国水土保持规划国家级水土流失重点预防区和重点治理区复核划分成果）的通知》（办水保[2013]188 号），项目不涉及国家级水土保持重点防治区；根据《湖南省水利厅关于湖南省水土流失重点预防区和重点治理区划定公告》（2017年1月23日），项目涉及湘资沅上游国家级水土流失重点预防区，依据《生产建设项目水土流失防治标准》（GB/T 50434-2018）的有关规定，本工程水土流失防治执行建设类南方红壤区水土流失防治一级标准</w:t>
            </w:r>
            <w:r>
              <w:rPr>
                <w:rFonts w:hint="eastAsia"/>
                <w:color w:val="000000" w:themeColor="text1"/>
                <w:lang w:eastAsia="zh-CN"/>
                <w14:textFill>
                  <w14:solidFill>
                    <w14:schemeClr w14:val="tx1"/>
                  </w14:solidFill>
                </w14:textFill>
              </w:rPr>
              <w:t>。</w:t>
            </w:r>
          </w:p>
          <w:p w14:paraId="79B26E96">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项目区不涉及国家级、省级水土流失重点防治区</w:t>
            </w:r>
            <w:r>
              <w:rPr>
                <w:color w:val="000000" w:themeColor="text1"/>
                <w14:textFill>
                  <w14:solidFill>
                    <w14:schemeClr w14:val="tx1"/>
                  </w14:solidFill>
                </w14:textFill>
              </w:rPr>
              <w:t>。本项目选址区无规划的基本农田保护区或基本农田扩展区，不涉及水功能一级区及饮用水水源保护区，不涉及重要水利设施，不涉及世界文化和自然遗产地、地质公园及重要湿地等禁止开发区或重要保护目标，不涉及自然保护区、森林公园、风景名胜区等环境敏感区域，未处于Ⅰ级保护林地、一级国家公益林地范围，不涉及基岩风化严重或生态脆弱、毁损后难以恢复的区域，经</w:t>
            </w:r>
            <w:r>
              <w:rPr>
                <w:rFonts w:hint="eastAsia"/>
                <w:color w:val="000000" w:themeColor="text1"/>
                <w:lang w:eastAsia="zh-CN"/>
                <w14:textFill>
                  <w14:solidFill>
                    <w14:schemeClr w14:val="tx1"/>
                  </w14:solidFill>
                </w14:textFill>
              </w:rPr>
              <w:t>通道县</w:t>
            </w:r>
            <w:r>
              <w:rPr>
                <w:color w:val="000000" w:themeColor="text1"/>
                <w14:textFill>
                  <w14:solidFill>
                    <w14:schemeClr w14:val="tx1"/>
                  </w14:solidFill>
                </w14:textFill>
              </w:rPr>
              <w:t>自然资源局核实，所有建设内容均不处于</w:t>
            </w:r>
            <w:r>
              <w:rPr>
                <w:rFonts w:hint="eastAsia"/>
                <w:color w:val="000000" w:themeColor="text1"/>
                <w:lang w:eastAsia="zh-CN"/>
                <w14:textFill>
                  <w14:solidFill>
                    <w14:schemeClr w14:val="tx1"/>
                  </w14:solidFill>
                </w14:textFill>
              </w:rPr>
              <w:t>通道县</w:t>
            </w:r>
            <w:r>
              <w:rPr>
                <w:color w:val="000000" w:themeColor="text1"/>
                <w14:textFill>
                  <w14:solidFill>
                    <w14:schemeClr w14:val="tx1"/>
                  </w14:solidFill>
                </w14:textFill>
              </w:rPr>
              <w:t>生态红线范围内。</w:t>
            </w:r>
          </w:p>
          <w:p w14:paraId="21EFE34B">
            <w:pPr>
              <w:pStyle w:val="34"/>
              <w:rPr>
                <w:color w:val="FF0000"/>
              </w:rPr>
            </w:pPr>
            <w:r>
              <w:rPr>
                <w:color w:val="000000" w:themeColor="text1"/>
                <w14:textFill>
                  <w14:solidFill>
                    <w14:schemeClr w14:val="tx1"/>
                  </w14:solidFill>
                </w14:textFill>
              </w:rPr>
              <w:t>风电场风机机座不涉自然保护区、世界文化或自然遗产地、森林公园、地质公园、重要湿地、文物保护单位、饮用水源保护区等敏感区。综合分析，本风电场选址地质条件稳定，周边环境比较简单，不存在环境制约因素，场址选择符合《风电场场址选择技术规定》中环境保护要求，选址可行。</w:t>
            </w:r>
          </w:p>
        </w:tc>
      </w:tr>
    </w:tbl>
    <w:p w14:paraId="2D604B0E">
      <w:pPr>
        <w:pStyle w:val="23"/>
        <w:jc w:val="center"/>
        <w:rPr>
          <w:rFonts w:ascii="Times New Roman" w:hAnsi="Times New Roman" w:eastAsia="黑体"/>
          <w:snapToGrid w:val="0"/>
          <w:color w:val="FF0000"/>
          <w:sz w:val="36"/>
          <w:szCs w:val="36"/>
        </w:rPr>
        <w:sectPr>
          <w:footerReference r:id="rId9" w:type="default"/>
          <w:pgSz w:w="11906" w:h="16838"/>
          <w:pgMar w:top="1440" w:right="1800" w:bottom="1440" w:left="1800" w:header="851" w:footer="1077" w:gutter="0"/>
          <w:pgBorders>
            <w:top w:val="none" w:sz="0" w:space="0"/>
            <w:left w:val="none" w:sz="0" w:space="0"/>
            <w:bottom w:val="none" w:sz="0" w:space="0"/>
            <w:right w:val="none" w:sz="0" w:space="0"/>
          </w:pgBorders>
          <w:cols w:space="720" w:num="1"/>
          <w:docGrid w:linePitch="312" w:charSpace="0"/>
        </w:sectPr>
      </w:pPr>
    </w:p>
    <w:p w14:paraId="72B2E4A4">
      <w:pPr>
        <w:pStyle w:val="2"/>
        <w:rPr>
          <w:color w:val="000000" w:themeColor="text1"/>
          <w14:textFill>
            <w14:solidFill>
              <w14:schemeClr w14:val="tx1"/>
            </w14:solidFill>
          </w14:textFill>
        </w:rPr>
      </w:pPr>
      <w:bookmarkStart w:id="209" w:name="_Toc20923"/>
      <w:r>
        <w:rPr>
          <w:color w:val="000000" w:themeColor="text1"/>
          <w14:textFill>
            <w14:solidFill>
              <w14:schemeClr w14:val="tx1"/>
            </w14:solidFill>
          </w14:textFill>
        </w:rPr>
        <w:t>五、主要生态环境保护措施</w:t>
      </w:r>
      <w:bookmarkEnd w:id="209"/>
    </w:p>
    <w:tbl>
      <w:tblPr>
        <w:tblStyle w:val="26"/>
        <w:tblW w:w="8533" w:type="dxa"/>
        <w:tblInd w:w="-36"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96"/>
        <w:gridCol w:w="7837"/>
      </w:tblGrid>
      <w:tr w14:paraId="4C463B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2" w:hRule="atLeast"/>
        </w:trPr>
        <w:tc>
          <w:tcPr>
            <w:tcW w:w="696" w:type="dxa"/>
            <w:tcMar>
              <w:left w:w="28" w:type="dxa"/>
              <w:right w:w="28" w:type="dxa"/>
            </w:tcMar>
            <w:vAlign w:val="center"/>
          </w:tcPr>
          <w:p w14:paraId="4BAF1CC1">
            <w:pPr>
              <w:adjustRightInd w:val="0"/>
              <w:snapToGrid w:val="0"/>
              <w:jc w:val="center"/>
              <w:rPr>
                <w:bCs/>
                <w:color w:val="FF0000"/>
              </w:rPr>
            </w:pPr>
            <w:r>
              <w:rPr>
                <w:bCs/>
                <w:color w:val="000000" w:themeColor="text1"/>
                <w:spacing w:val="10"/>
                <w14:textFill>
                  <w14:solidFill>
                    <w14:schemeClr w14:val="tx1"/>
                  </w14:solidFill>
                </w14:textFill>
              </w:rPr>
              <w:t>施工期生态环境保护措施</w:t>
            </w:r>
          </w:p>
        </w:tc>
        <w:tc>
          <w:tcPr>
            <w:tcW w:w="7837" w:type="dxa"/>
          </w:tcPr>
          <w:p w14:paraId="62A94D56">
            <w:pPr>
              <w:pStyle w:val="3"/>
              <w:numPr>
                <w:ilvl w:val="0"/>
                <w:numId w:val="0"/>
              </w:numPr>
              <w:tabs>
                <w:tab w:val="left" w:pos="425"/>
                <w:tab w:val="clear" w:pos="420"/>
              </w:tabs>
              <w:spacing w:before="120" w:beforeLines="50"/>
              <w:rPr>
                <w:rFonts w:cs="Times New Roman"/>
                <w:color w:val="000000" w:themeColor="text1"/>
                <w:szCs w:val="21"/>
                <w14:textFill>
                  <w14:solidFill>
                    <w14:schemeClr w14:val="tx1"/>
                  </w14:solidFill>
                </w14:textFill>
              </w:rPr>
            </w:pPr>
            <w:bookmarkStart w:id="210" w:name="_Toc30532246"/>
            <w:bookmarkStart w:id="211" w:name="_Toc467060355"/>
            <w:bookmarkStart w:id="212" w:name="_Toc21909"/>
            <w:bookmarkStart w:id="213" w:name="_Toc7736"/>
            <w:r>
              <w:rPr>
                <w:rFonts w:cs="Times New Roman"/>
                <w:color w:val="000000" w:themeColor="text1"/>
                <w:szCs w:val="21"/>
                <w14:textFill>
                  <w14:solidFill>
                    <w14:schemeClr w14:val="tx1"/>
                  </w14:solidFill>
                </w14:textFill>
              </w:rPr>
              <w:t>5.1 施工期生态环境保护措施</w:t>
            </w:r>
            <w:bookmarkEnd w:id="210"/>
            <w:bookmarkEnd w:id="211"/>
            <w:bookmarkEnd w:id="212"/>
            <w:bookmarkEnd w:id="213"/>
          </w:p>
          <w:p w14:paraId="21AA30C5">
            <w:pPr>
              <w:pStyle w:val="4"/>
              <w:rPr>
                <w:color w:val="000000" w:themeColor="text1"/>
                <w14:textFill>
                  <w14:solidFill>
                    <w14:schemeClr w14:val="tx1"/>
                  </w14:solidFill>
                </w14:textFill>
              </w:rPr>
            </w:pPr>
            <w:bookmarkStart w:id="214" w:name="_Toc119425324"/>
            <w:bookmarkStart w:id="215" w:name="_Toc17362_WPSOffice_Level2"/>
            <w:bookmarkStart w:id="216" w:name="_Toc21917"/>
            <w:bookmarkStart w:id="217" w:name="_Toc478243931"/>
            <w:r>
              <w:rPr>
                <w:rFonts w:hint="eastAsia"/>
                <w:color w:val="000000" w:themeColor="text1"/>
                <w14:textFill>
                  <w14:solidFill>
                    <w14:schemeClr w14:val="tx1"/>
                  </w14:solidFill>
                </w14:textFill>
              </w:rPr>
              <w:t>5.1.1</w:t>
            </w:r>
            <w:r>
              <w:rPr>
                <w:color w:val="000000" w:themeColor="text1"/>
                <w14:textFill>
                  <w14:solidFill>
                    <w14:schemeClr w14:val="tx1"/>
                  </w14:solidFill>
                </w14:textFill>
              </w:rPr>
              <w:t>陆生植物的保护措施</w:t>
            </w:r>
            <w:bookmarkEnd w:id="214"/>
            <w:bookmarkEnd w:id="215"/>
            <w:bookmarkEnd w:id="216"/>
            <w:bookmarkEnd w:id="217"/>
          </w:p>
          <w:p w14:paraId="7FC1A94F">
            <w:pPr>
              <w:pStyle w:val="4"/>
              <w:rPr>
                <w:color w:val="000000" w:themeColor="text1"/>
                <w14:textFill>
                  <w14:solidFill>
                    <w14:schemeClr w14:val="tx1"/>
                  </w14:solidFill>
                </w14:textFill>
              </w:rPr>
            </w:pPr>
            <w:bookmarkStart w:id="218" w:name="_Toc20834_WPSOffice_Level3"/>
            <w:bookmarkStart w:id="219" w:name="_Toc119425325"/>
            <w:bookmarkStart w:id="220" w:name="_Toc29452"/>
            <w:bookmarkStart w:id="221" w:name="_Toc478243932"/>
            <w:r>
              <w:rPr>
                <w:color w:val="000000" w:themeColor="text1"/>
                <w14:textFill>
                  <w14:solidFill>
                    <w14:schemeClr w14:val="tx1"/>
                  </w14:solidFill>
                </w14:textFill>
              </w:rPr>
              <w:t>生态环境的避让措施</w:t>
            </w:r>
            <w:bookmarkEnd w:id="218"/>
            <w:bookmarkEnd w:id="219"/>
            <w:bookmarkEnd w:id="220"/>
            <w:bookmarkEnd w:id="221"/>
          </w:p>
          <w:p w14:paraId="516A8080">
            <w:pPr>
              <w:ind w:firstLine="480"/>
              <w:rPr>
                <w:color w:val="000000" w:themeColor="text1"/>
                <w14:textFill>
                  <w14:solidFill>
                    <w14:schemeClr w14:val="tx1"/>
                  </w14:solidFill>
                </w14:textFill>
              </w:rPr>
            </w:pPr>
            <w:r>
              <w:rPr>
                <w:color w:val="000000" w:themeColor="text1"/>
                <w14:textFill>
                  <w14:solidFill>
                    <w14:schemeClr w14:val="tx1"/>
                  </w14:solidFill>
                </w14:textFill>
              </w:rPr>
              <w:t>根据本工程特点，建议采取以下生态影响的避免措施：</w:t>
            </w:r>
          </w:p>
          <w:p w14:paraId="72FB4193">
            <w:pPr>
              <w:spacing w:line="360" w:lineRule="auto"/>
              <w:ind w:firstLine="480" w:firstLineChars="200"/>
              <w:rPr>
                <w:rFonts w:ascii="Times New Roman" w:hAnsi="Times New Roman" w:cs="Times New Roman"/>
                <w:snapToGrid w:val="0"/>
                <w:color w:val="000000" w:themeColor="text1"/>
                <w:sz w:val="24"/>
                <w14:textFill>
                  <w14:solidFill>
                    <w14:schemeClr w14:val="tx1"/>
                  </w14:solidFill>
                </w14:textFill>
              </w:rPr>
            </w:pPr>
            <w:r>
              <w:rPr>
                <w:rFonts w:ascii="Times New Roman" w:hAnsi="Times New Roman" w:cs="Times New Roman"/>
                <w:snapToGrid w:val="0"/>
                <w:color w:val="000000" w:themeColor="text1"/>
                <w:sz w:val="24"/>
                <w14:textFill>
                  <w14:solidFill>
                    <w14:schemeClr w14:val="tx1"/>
                  </w14:solidFill>
                </w14:textFill>
              </w:rPr>
              <w:t>（1）优化施工道路的布设，施工便道尽量不要从成片的林地中穿过，尽量利用已有道路或山道作为施工道路，减少对林地的占用，对植被的破坏。</w:t>
            </w:r>
          </w:p>
          <w:p w14:paraId="2B39C0EC">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（2）风电机基础平台应尽量利用山头的自然地势和环境，杜绝对山头进行大面积平整，避开植被丰富、地形险要区域，尽量选择在山势较为平缓的山脊建设。</w:t>
            </w:r>
          </w:p>
          <w:p w14:paraId="72922C3E">
            <w:pPr>
              <w:spacing w:line="360" w:lineRule="auto"/>
              <w:ind w:firstLine="480" w:firstLineChars="200"/>
              <w:rPr>
                <w:rFonts w:ascii="Times New Roman" w:hAnsi="Times New Roman" w:cs="Times New Roman"/>
                <w:snapToGrid w:val="0"/>
                <w:color w:val="000000" w:themeColor="text1"/>
                <w:sz w:val="24"/>
                <w14:textFill>
                  <w14:solidFill>
                    <w14:schemeClr w14:val="tx1"/>
                  </w14:solidFill>
                </w14:textFill>
              </w:rPr>
            </w:pPr>
            <w:r>
              <w:rPr>
                <w:rFonts w:ascii="Times New Roman" w:hAnsi="Times New Roman" w:cs="Times New Roman"/>
                <w:snapToGrid w:val="0"/>
                <w:color w:val="000000" w:themeColor="text1"/>
                <w:sz w:val="24"/>
                <w14:textFill>
                  <w14:solidFill>
                    <w14:schemeClr w14:val="tx1"/>
                  </w14:solidFill>
                </w14:textFill>
              </w:rPr>
              <w:t>（3）优化临时占地的选址，尽量选择灌草地，采取</w:t>
            </w:r>
            <w:r>
              <w:rPr>
                <w:rFonts w:hint="eastAsia" w:cs="Times New Roman"/>
                <w:snapToGrid w:val="0"/>
                <w:color w:val="000000" w:themeColor="text1"/>
                <w:sz w:val="24"/>
                <w:lang w:eastAsia="zh-CN"/>
                <w14:textFill>
                  <w14:solidFill>
                    <w14:schemeClr w14:val="tx1"/>
                  </w14:solidFill>
                </w14:textFill>
              </w:rPr>
              <w:t>“</w:t>
            </w:r>
            <w:r>
              <w:rPr>
                <w:rFonts w:ascii="Times New Roman" w:hAnsi="Times New Roman" w:cs="Times New Roman"/>
                <w:snapToGrid w:val="0"/>
                <w:color w:val="000000" w:themeColor="text1"/>
                <w:sz w:val="24"/>
                <w14:textFill>
                  <w14:solidFill>
                    <w14:schemeClr w14:val="tx1"/>
                  </w14:solidFill>
                </w14:textFill>
              </w:rPr>
              <w:t>永临结合</w:t>
            </w:r>
            <w:r>
              <w:rPr>
                <w:rFonts w:hint="eastAsia" w:cs="Times New Roman"/>
                <w:snapToGrid w:val="0"/>
                <w:color w:val="000000" w:themeColor="text1"/>
                <w:sz w:val="24"/>
                <w:lang w:eastAsia="zh-CN"/>
                <w14:textFill>
                  <w14:solidFill>
                    <w14:schemeClr w14:val="tx1"/>
                  </w14:solidFill>
                </w14:textFill>
              </w:rPr>
              <w:t>”</w:t>
            </w:r>
            <w:r>
              <w:rPr>
                <w:rFonts w:ascii="Times New Roman" w:hAnsi="Times New Roman" w:cs="Times New Roman"/>
                <w:snapToGrid w:val="0"/>
                <w:color w:val="000000" w:themeColor="text1"/>
                <w:sz w:val="24"/>
                <w14:textFill>
                  <w14:solidFill>
                    <w14:schemeClr w14:val="tx1"/>
                  </w14:solidFill>
                </w14:textFill>
              </w:rPr>
              <w:t>的方式，尽量减小对植被占用的影响。施工结束后，应及时对临时占地区域</w:t>
            </w:r>
            <w:r>
              <w:rPr>
                <w:rFonts w:ascii="Times New Roman" w:hAnsi="Times New Roman" w:cs="Times New Roman"/>
                <w:color w:val="000000" w:themeColor="text1"/>
                <w:sz w:val="24"/>
                <w14:textFill>
                  <w14:solidFill>
                    <w14:schemeClr w14:val="tx1"/>
                  </w14:solidFill>
                </w14:textFill>
              </w:rPr>
              <w:t>采取平整压实处理，避免水土流失等对植被的破坏</w:t>
            </w:r>
            <w:r>
              <w:rPr>
                <w:rFonts w:ascii="Times New Roman" w:hAnsi="Times New Roman" w:cs="Times New Roman"/>
                <w:snapToGrid w:val="0"/>
                <w:color w:val="000000" w:themeColor="text1"/>
                <w:sz w:val="24"/>
                <w14:textFill>
                  <w14:solidFill>
                    <w14:schemeClr w14:val="tx1"/>
                  </w14:solidFill>
                </w14:textFill>
              </w:rPr>
              <w:t>。</w:t>
            </w:r>
          </w:p>
          <w:p w14:paraId="78EF842A">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（4）施工活动要保证在征地红线范围内进行，施工便道及临时占地要尽量选用已有的便道，或缩小范围，以减少对林地和灌草地的占用。</w:t>
            </w:r>
          </w:p>
          <w:p w14:paraId="5A9B59BE">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（5）工程临时施工区、材料堆场等临时占地应当尽量选在荒地或草地，以减少对林地等植被的损害。</w:t>
            </w:r>
          </w:p>
          <w:p w14:paraId="623561F4">
            <w:pPr>
              <w:spacing w:line="360" w:lineRule="auto"/>
              <w:ind w:firstLine="480" w:firstLineChars="200"/>
              <w:rPr>
                <w:rFonts w:ascii="Times New Roman" w:hAnsi="Times New Roman" w:cs="Times New Roman"/>
                <w:snapToGrid w:val="0"/>
                <w:color w:val="000000" w:themeColor="text1"/>
                <w:sz w:val="24"/>
                <w14:textFill>
                  <w14:solidFill>
                    <w14:schemeClr w14:val="tx1"/>
                  </w14:solidFill>
                </w14:textFill>
              </w:rPr>
            </w:pPr>
            <w:r>
              <w:rPr>
                <w:rFonts w:ascii="Times New Roman" w:hAnsi="Times New Roman" w:cs="Times New Roman"/>
                <w:snapToGrid w:val="0"/>
                <w:color w:val="000000" w:themeColor="text1"/>
                <w:sz w:val="24"/>
                <w14:textFill>
                  <w14:solidFill>
                    <w14:schemeClr w14:val="tx1"/>
                  </w14:solidFill>
                </w14:textFill>
              </w:rPr>
              <w:t>（6）进行风机安装时，应在满足风力发电功率的前提下，尽量选择植被覆盖率低的林地或者灌木林地、灌草丛等处进行施工，且应划出施工红线，禁止施工人员越线施工。</w:t>
            </w:r>
          </w:p>
          <w:p w14:paraId="6C75D925">
            <w:pPr>
              <w:pStyle w:val="4"/>
              <w:rPr>
                <w:color w:val="000000" w:themeColor="text1"/>
                <w14:textFill>
                  <w14:solidFill>
                    <w14:schemeClr w14:val="tx1"/>
                  </w14:solidFill>
                </w14:textFill>
              </w:rPr>
            </w:pPr>
            <w:bookmarkStart w:id="222" w:name="_Toc478243829"/>
            <w:bookmarkEnd w:id="222"/>
            <w:bookmarkStart w:id="223" w:name="_Toc478243109"/>
            <w:bookmarkEnd w:id="223"/>
            <w:bookmarkStart w:id="224" w:name="_Toc478243933"/>
            <w:bookmarkEnd w:id="224"/>
            <w:bookmarkStart w:id="225" w:name="_Toc7084"/>
            <w:bookmarkStart w:id="226" w:name="_Toc119425326"/>
            <w:bookmarkStart w:id="227" w:name="_Toc478243934"/>
            <w:bookmarkStart w:id="228" w:name="_Toc11606_WPSOffice_Level3"/>
            <w:r>
              <w:rPr>
                <w:color w:val="000000" w:themeColor="text1"/>
                <w14:textFill>
                  <w14:solidFill>
                    <w14:schemeClr w14:val="tx1"/>
                  </w14:solidFill>
                </w14:textFill>
              </w:rPr>
              <w:t>生态环境的减缓措施</w:t>
            </w:r>
            <w:bookmarkEnd w:id="225"/>
            <w:bookmarkEnd w:id="226"/>
            <w:bookmarkEnd w:id="227"/>
            <w:bookmarkEnd w:id="228"/>
          </w:p>
          <w:p w14:paraId="6CFFBC04">
            <w:pPr>
              <w:spacing w:line="360" w:lineRule="auto"/>
              <w:ind w:firstLine="480" w:firstLineChars="200"/>
              <w:rPr>
                <w:rFonts w:ascii="Times New Roman" w:hAnsi="Times New Roman" w:cs="Times New Roman"/>
                <w:snapToGrid w:val="0"/>
                <w:color w:val="000000" w:themeColor="text1"/>
                <w:sz w:val="24"/>
                <w14:textFill>
                  <w14:solidFill>
                    <w14:schemeClr w14:val="tx1"/>
                  </w14:solidFill>
                </w14:textFill>
              </w:rPr>
            </w:pPr>
            <w:r>
              <w:rPr>
                <w:rFonts w:ascii="Times New Roman" w:hAnsi="Times New Roman" w:cs="Times New Roman"/>
                <w:snapToGrid w:val="0"/>
                <w:color w:val="000000" w:themeColor="text1"/>
                <w:sz w:val="24"/>
                <w14:textFill>
                  <w14:solidFill>
                    <w14:schemeClr w14:val="tx1"/>
                  </w14:solidFill>
                </w14:textFill>
              </w:rPr>
              <w:t>生态影响的削减是对难以避免的不利生态影响采取一定措施减轻受影响的范围和程度。生态影响的削减通常是采取先进的生态设计方法减少损失。根据工程特点，建议采用以下生态影响的消减措施。</w:t>
            </w:r>
          </w:p>
          <w:p w14:paraId="439C7302">
            <w:pPr>
              <w:spacing w:line="360" w:lineRule="auto"/>
              <w:ind w:firstLine="480" w:firstLineChars="200"/>
              <w:rPr>
                <w:rFonts w:ascii="Times New Roman" w:hAnsi="Times New Roman" w:cs="Times New Roman"/>
                <w:snapToGrid w:val="0"/>
                <w:color w:val="000000" w:themeColor="text1"/>
                <w:sz w:val="24"/>
                <w14:textFill>
                  <w14:solidFill>
                    <w14:schemeClr w14:val="tx1"/>
                  </w14:solidFill>
                </w14:textFill>
              </w:rPr>
            </w:pPr>
            <w:r>
              <w:rPr>
                <w:rFonts w:ascii="Times New Roman" w:hAnsi="Times New Roman" w:cs="Times New Roman"/>
                <w:snapToGrid w:val="0"/>
                <w:color w:val="000000" w:themeColor="text1"/>
                <w:sz w:val="24"/>
                <w14:textFill>
                  <w14:solidFill>
                    <w14:schemeClr w14:val="tx1"/>
                  </w14:solidFill>
                </w14:textFill>
              </w:rPr>
              <w:t>（1）合理规划改造道路、新建道路，严格划定施工范围和人员、车辆的行走路线，避免对施工范围之外的区域的植被造成碾压和破坏。</w:t>
            </w:r>
          </w:p>
          <w:p w14:paraId="3CFD8CE0">
            <w:pPr>
              <w:spacing w:line="360" w:lineRule="auto"/>
              <w:ind w:firstLine="480" w:firstLineChars="200"/>
              <w:rPr>
                <w:rFonts w:ascii="Times New Roman" w:hAnsi="Times New Roman" w:cs="Times New Roman"/>
                <w:snapToGrid w:val="0"/>
                <w:color w:val="000000" w:themeColor="text1"/>
                <w:sz w:val="24"/>
                <w14:textFill>
                  <w14:solidFill>
                    <w14:schemeClr w14:val="tx1"/>
                  </w14:solidFill>
                </w14:textFill>
              </w:rPr>
            </w:pPr>
            <w:r>
              <w:rPr>
                <w:rFonts w:ascii="Times New Roman" w:hAnsi="Times New Roman" w:cs="Times New Roman"/>
                <w:snapToGrid w:val="0"/>
                <w:color w:val="000000" w:themeColor="text1"/>
                <w:sz w:val="24"/>
                <w14:textFill>
                  <w14:solidFill>
                    <w14:schemeClr w14:val="tx1"/>
                  </w14:solidFill>
                </w14:textFill>
              </w:rPr>
              <w:t>（2）在坡度大于15°的山头布置风机，施工时应及时在坡脚处设置草袋挡土墙挡护或坡面种植草本植物等防护措施加以防护，以减少水土流失现象发生。</w:t>
            </w:r>
          </w:p>
          <w:p w14:paraId="03491C92">
            <w:pPr>
              <w:spacing w:line="360" w:lineRule="auto"/>
              <w:ind w:firstLine="480" w:firstLineChars="200"/>
              <w:rPr>
                <w:rFonts w:ascii="Times New Roman" w:hAnsi="Times New Roman" w:cs="Times New Roman"/>
                <w:snapToGrid w:val="0"/>
                <w:color w:val="000000" w:themeColor="text1"/>
                <w:sz w:val="24"/>
                <w14:textFill>
                  <w14:solidFill>
                    <w14:schemeClr w14:val="tx1"/>
                  </w14:solidFill>
                </w14:textFill>
              </w:rPr>
            </w:pPr>
            <w:r>
              <w:rPr>
                <w:rFonts w:ascii="Times New Roman" w:hAnsi="Times New Roman" w:cs="Times New Roman"/>
                <w:snapToGrid w:val="0"/>
                <w:color w:val="000000" w:themeColor="text1"/>
                <w:sz w:val="24"/>
                <w14:textFill>
                  <w14:solidFill>
                    <w14:schemeClr w14:val="tx1"/>
                  </w14:solidFill>
                </w14:textFill>
              </w:rPr>
              <w:t>（3）施工期应避免在雨季施工，减少土石方的开挖，尽量保持挖填平衡，减少施工弃土的产生，产生的弃土临时堆放好以便后期回覆利用，严禁就地倾倒覆压植被，同时采取护坡、挡土墙等防护措施。</w:t>
            </w:r>
          </w:p>
          <w:p w14:paraId="2EA686D5">
            <w:pPr>
              <w:spacing w:line="360" w:lineRule="auto"/>
              <w:ind w:firstLine="480" w:firstLineChars="200"/>
              <w:rPr>
                <w:rFonts w:ascii="Times New Roman" w:hAnsi="Times New Roman" w:cs="Times New Roman"/>
                <w:snapToGrid w:val="0"/>
                <w:color w:val="000000" w:themeColor="text1"/>
                <w:sz w:val="24"/>
                <w14:textFill>
                  <w14:solidFill>
                    <w14:schemeClr w14:val="tx1"/>
                  </w14:solidFill>
                </w14:textFill>
              </w:rPr>
            </w:pPr>
            <w:r>
              <w:rPr>
                <w:rFonts w:ascii="Times New Roman" w:hAnsi="Times New Roman" w:cs="Times New Roman"/>
                <w:snapToGrid w:val="0"/>
                <w:color w:val="000000" w:themeColor="text1"/>
                <w:sz w:val="24"/>
                <w14:textFill>
                  <w14:solidFill>
                    <w14:schemeClr w14:val="tx1"/>
                  </w14:solidFill>
                </w14:textFill>
              </w:rPr>
              <w:t>（4）风机基础以及电缆沟等开挖时，应将表层土与下层土分开，暂时保存表层土用于今后的回填，临时表土堆场采取临时防护措施：设土袋挡护、拍实、表层覆盖草垫或苫盖纤维布等其它覆盖物。</w:t>
            </w:r>
          </w:p>
          <w:p w14:paraId="7E70D981">
            <w:pPr>
              <w:spacing w:line="360" w:lineRule="auto"/>
              <w:ind w:firstLine="480" w:firstLineChars="200"/>
              <w:rPr>
                <w:rFonts w:ascii="Times New Roman" w:hAnsi="Times New Roman" w:cs="Times New Roman"/>
                <w:snapToGrid w:val="0"/>
                <w:color w:val="000000" w:themeColor="text1"/>
                <w:sz w:val="24"/>
                <w14:textFill>
                  <w14:solidFill>
                    <w14:schemeClr w14:val="tx1"/>
                  </w14:solidFill>
                </w14:textFill>
              </w:rPr>
            </w:pPr>
            <w:r>
              <w:rPr>
                <w:rFonts w:ascii="Times New Roman" w:hAnsi="Times New Roman" w:cs="Times New Roman"/>
                <w:snapToGrid w:val="0"/>
                <w:color w:val="000000" w:themeColor="text1"/>
                <w:sz w:val="24"/>
                <w14:textFill>
                  <w14:solidFill>
                    <w14:schemeClr w14:val="tx1"/>
                  </w14:solidFill>
                </w14:textFill>
              </w:rPr>
              <w:t>（5）保存永久占地和临时占地的熟化土，为植被恢复提供良好的土壤。对建设中永久占用耕地、林地部分的表层土予以收集保存，以便施工结束后复垦或选择当地适宜植物及时恢复绿化，尽量选用乔</w:t>
            </w:r>
            <w:r>
              <w:rPr>
                <w:rFonts w:hint="eastAsia" w:cs="Times New Roman"/>
                <w:snapToGrid w:val="0"/>
                <w:color w:val="000000" w:themeColor="text1"/>
                <w:sz w:val="24"/>
                <w:lang w:eastAsia="zh-CN"/>
                <w14:textFill>
                  <w14:solidFill>
                    <w14:schemeClr w14:val="tx1"/>
                  </w14:solidFill>
                </w14:textFill>
              </w:rPr>
              <w:t>—</w:t>
            </w:r>
            <w:r>
              <w:rPr>
                <w:rFonts w:ascii="Times New Roman" w:hAnsi="Times New Roman" w:cs="Times New Roman"/>
                <w:snapToGrid w:val="0"/>
                <w:color w:val="000000" w:themeColor="text1"/>
                <w:sz w:val="24"/>
                <w14:textFill>
                  <w14:solidFill>
                    <w14:schemeClr w14:val="tx1"/>
                  </w14:solidFill>
                </w14:textFill>
              </w:rPr>
              <w:t>灌</w:t>
            </w:r>
            <w:r>
              <w:rPr>
                <w:rFonts w:hint="eastAsia" w:cs="Times New Roman"/>
                <w:snapToGrid w:val="0"/>
                <w:color w:val="000000" w:themeColor="text1"/>
                <w:sz w:val="24"/>
                <w:lang w:eastAsia="zh-CN"/>
                <w14:textFill>
                  <w14:solidFill>
                    <w14:schemeClr w14:val="tx1"/>
                  </w14:solidFill>
                </w14:textFill>
              </w:rPr>
              <w:t>—</w:t>
            </w:r>
            <w:r>
              <w:rPr>
                <w:rFonts w:ascii="Times New Roman" w:hAnsi="Times New Roman" w:cs="Times New Roman"/>
                <w:snapToGrid w:val="0"/>
                <w:color w:val="000000" w:themeColor="text1"/>
                <w:sz w:val="24"/>
                <w14:textFill>
                  <w14:solidFill>
                    <w14:schemeClr w14:val="tx1"/>
                  </w14:solidFill>
                </w14:textFill>
              </w:rPr>
              <w:t>草相结合的方式进行绿化，绿化树种选择应在</w:t>
            </w:r>
            <w:r>
              <w:rPr>
                <w:rFonts w:hint="eastAsia" w:cs="Times New Roman"/>
                <w:snapToGrid w:val="0"/>
                <w:color w:val="000000" w:themeColor="text1"/>
                <w:sz w:val="24"/>
                <w:lang w:eastAsia="zh-CN"/>
                <w14:textFill>
                  <w14:solidFill>
                    <w14:schemeClr w14:val="tx1"/>
                  </w14:solidFill>
                </w14:textFill>
              </w:rPr>
              <w:t>“</w:t>
            </w:r>
            <w:r>
              <w:rPr>
                <w:rFonts w:ascii="Times New Roman" w:hAnsi="Times New Roman" w:cs="Times New Roman"/>
                <w:snapToGrid w:val="0"/>
                <w:color w:val="000000" w:themeColor="text1"/>
                <w:sz w:val="24"/>
                <w14:textFill>
                  <w14:solidFill>
                    <w14:schemeClr w14:val="tx1"/>
                  </w14:solidFill>
                </w14:textFill>
              </w:rPr>
              <w:t>适地适树</w:t>
            </w:r>
            <w:r>
              <w:rPr>
                <w:rFonts w:hint="eastAsia" w:cs="Times New Roman"/>
                <w:snapToGrid w:val="0"/>
                <w:color w:val="000000" w:themeColor="text1"/>
                <w:sz w:val="24"/>
                <w:lang w:eastAsia="zh-CN"/>
                <w14:textFill>
                  <w14:solidFill>
                    <w14:schemeClr w14:val="tx1"/>
                  </w14:solidFill>
                </w14:textFill>
              </w:rPr>
              <w:t>”</w:t>
            </w:r>
            <w:r>
              <w:rPr>
                <w:rFonts w:ascii="Times New Roman" w:hAnsi="Times New Roman" w:cs="Times New Roman"/>
                <w:snapToGrid w:val="0"/>
                <w:color w:val="000000" w:themeColor="text1"/>
                <w:sz w:val="24"/>
                <w14:textFill>
                  <w14:solidFill>
                    <w14:schemeClr w14:val="tx1"/>
                  </w14:solidFill>
                </w14:textFill>
              </w:rPr>
              <w:t>的原则下，尽量以当地的优良乡土树种为主，适当引进新的优良树种、草种，保证绿化栽植的成活率。</w:t>
            </w:r>
          </w:p>
          <w:p w14:paraId="1407273C">
            <w:pPr>
              <w:spacing w:line="360" w:lineRule="auto"/>
              <w:ind w:firstLine="480" w:firstLineChars="200"/>
              <w:rPr>
                <w:rFonts w:ascii="Times New Roman" w:hAnsi="Times New Roman" w:cs="Times New Roman"/>
                <w:snapToGrid w:val="0"/>
                <w:color w:val="000000" w:themeColor="text1"/>
                <w:sz w:val="24"/>
                <w14:textFill>
                  <w14:solidFill>
                    <w14:schemeClr w14:val="tx1"/>
                  </w14:solidFill>
                </w14:textFill>
              </w:rPr>
            </w:pPr>
            <w:r>
              <w:rPr>
                <w:rFonts w:ascii="Times New Roman" w:hAnsi="Times New Roman" w:cs="Times New Roman"/>
                <w:snapToGrid w:val="0"/>
                <w:color w:val="000000" w:themeColor="text1"/>
                <w:sz w:val="24"/>
                <w14:textFill>
                  <w14:solidFill>
                    <w14:schemeClr w14:val="tx1"/>
                  </w14:solidFill>
                </w14:textFill>
              </w:rPr>
              <w:t>（6）采用先进的长件运输车辆，减少弯道开挖量，减少高挖深填，及时稳固、绿化边坡，减缓景观破坏程度，可适当选用檵木、水竹、狗牙根、白茅、五节芒、芒萁等本土种类绿化边坡。</w:t>
            </w:r>
          </w:p>
          <w:p w14:paraId="67C799EA">
            <w:pPr>
              <w:spacing w:line="360" w:lineRule="auto"/>
              <w:ind w:firstLine="480" w:firstLineChars="200"/>
              <w:rPr>
                <w:rFonts w:ascii="Times New Roman" w:hAnsi="Times New Roman" w:cs="Times New Roman"/>
                <w:snapToGrid w:val="0"/>
                <w:color w:val="000000" w:themeColor="text1"/>
                <w:sz w:val="24"/>
                <w14:textFill>
                  <w14:solidFill>
                    <w14:schemeClr w14:val="tx1"/>
                  </w14:solidFill>
                </w14:textFill>
              </w:rPr>
            </w:pPr>
            <w:r>
              <w:rPr>
                <w:rFonts w:ascii="Times New Roman" w:hAnsi="Times New Roman" w:cs="Times New Roman"/>
                <w:snapToGrid w:val="0"/>
                <w:color w:val="000000" w:themeColor="text1"/>
                <w:sz w:val="24"/>
                <w14:textFill>
                  <w14:solidFill>
                    <w14:schemeClr w14:val="tx1"/>
                  </w14:solidFill>
                </w14:textFill>
              </w:rPr>
              <w:t>（7）在保障风机正常运行的情况下利用安装后的风机坪适当堆存弃渣，并采取相应的水土保持及边坡美化措施，减少占地，提高土地利用率。</w:t>
            </w:r>
          </w:p>
          <w:p w14:paraId="48714BAE">
            <w:pPr>
              <w:spacing w:line="360" w:lineRule="auto"/>
              <w:ind w:firstLine="480" w:firstLineChars="200"/>
              <w:rPr>
                <w:rFonts w:ascii="Times New Roman" w:hAnsi="Times New Roman" w:cs="Times New Roman"/>
                <w:snapToGrid w:val="0"/>
                <w:color w:val="000000" w:themeColor="text1"/>
                <w:sz w:val="24"/>
                <w14:textFill>
                  <w14:solidFill>
                    <w14:schemeClr w14:val="tx1"/>
                  </w14:solidFill>
                </w14:textFill>
              </w:rPr>
            </w:pPr>
            <w:r>
              <w:rPr>
                <w:rFonts w:ascii="Times New Roman" w:hAnsi="Times New Roman" w:cs="Times New Roman"/>
                <w:snapToGrid w:val="0"/>
                <w:color w:val="000000" w:themeColor="text1"/>
                <w:sz w:val="24"/>
                <w14:textFill>
                  <w14:solidFill>
                    <w14:schemeClr w14:val="tx1"/>
                  </w14:solidFill>
                </w14:textFill>
              </w:rPr>
              <w:t>（8）对扰动、覆盖区植物进行前期勘察，若发现珍稀植物、较大树木，进行移栽保护回用绿化，尤其是占地区内阔叶树种，发现后采取移栽作为后期绿化树种，节约绿化成本及保护当地生态。</w:t>
            </w:r>
          </w:p>
          <w:p w14:paraId="183638D3">
            <w:pPr>
              <w:spacing w:line="360" w:lineRule="auto"/>
              <w:ind w:firstLine="480" w:firstLineChars="200"/>
              <w:rPr>
                <w:rFonts w:ascii="Times New Roman" w:hAnsi="Times New Roman" w:cs="Times New Roman"/>
                <w:snapToGrid w:val="0"/>
                <w:color w:val="000000" w:themeColor="text1"/>
                <w:sz w:val="24"/>
                <w14:textFill>
                  <w14:solidFill>
                    <w14:schemeClr w14:val="tx1"/>
                  </w14:solidFill>
                </w14:textFill>
              </w:rPr>
            </w:pPr>
            <w:r>
              <w:rPr>
                <w:rFonts w:ascii="Times New Roman" w:hAnsi="Times New Roman" w:cs="Times New Roman"/>
                <w:snapToGrid w:val="0"/>
                <w:color w:val="000000" w:themeColor="text1"/>
                <w:sz w:val="24"/>
                <w14:textFill>
                  <w14:solidFill>
                    <w14:schemeClr w14:val="tx1"/>
                  </w14:solidFill>
                </w14:textFill>
              </w:rPr>
              <w:t>（9）运输粉末样散料的车辆应用防尘篷布遮盖严实，避免其散落对周围植物产生的不利影响。</w:t>
            </w:r>
          </w:p>
          <w:p w14:paraId="1F468157">
            <w:pPr>
              <w:pStyle w:val="4"/>
              <w:rPr>
                <w:color w:val="000000" w:themeColor="text1"/>
                <w:u w:val="none"/>
                <w14:textFill>
                  <w14:solidFill>
                    <w14:schemeClr w14:val="tx1"/>
                  </w14:solidFill>
                </w14:textFill>
              </w:rPr>
            </w:pPr>
            <w:bookmarkStart w:id="229" w:name="_Toc478243935"/>
            <w:bookmarkEnd w:id="229"/>
            <w:bookmarkStart w:id="230" w:name="_Toc478243111"/>
            <w:bookmarkEnd w:id="230"/>
            <w:bookmarkStart w:id="231" w:name="_Toc478243831"/>
            <w:bookmarkEnd w:id="231"/>
            <w:bookmarkStart w:id="232" w:name="_Toc119425327"/>
            <w:bookmarkStart w:id="233" w:name="_Toc880"/>
            <w:bookmarkStart w:id="234" w:name="_Toc696_WPSOffice_Level3"/>
            <w:bookmarkStart w:id="235" w:name="_Toc478243936"/>
            <w:r>
              <w:rPr>
                <w:color w:val="000000" w:themeColor="text1"/>
                <w:u w:val="none"/>
                <w14:textFill>
                  <w14:solidFill>
                    <w14:schemeClr w14:val="tx1"/>
                  </w14:solidFill>
                </w14:textFill>
              </w:rPr>
              <w:t>生态环境的恢复与补偿措施</w:t>
            </w:r>
            <w:bookmarkEnd w:id="232"/>
            <w:bookmarkEnd w:id="233"/>
            <w:bookmarkEnd w:id="234"/>
            <w:bookmarkEnd w:id="235"/>
          </w:p>
          <w:p w14:paraId="7DFE904F">
            <w:pPr>
              <w:spacing w:line="360" w:lineRule="auto"/>
              <w:ind w:firstLine="480" w:firstLineChars="200"/>
              <w:rPr>
                <w:rFonts w:ascii="Times New Roman" w:hAnsi="Times New Roman" w:cs="Times New Roman"/>
                <w:color w:val="000000" w:themeColor="text1"/>
                <w:sz w:val="24"/>
                <w:u w:val="none"/>
                <w14:textFill>
                  <w14:solidFill>
                    <w14:schemeClr w14:val="tx1"/>
                  </w14:solidFill>
                </w14:textFill>
              </w:rPr>
            </w:pPr>
            <w:r>
              <w:rPr>
                <w:rFonts w:ascii="Times New Roman" w:hAnsi="Times New Roman" w:cs="Times New Roman"/>
                <w:color w:val="000000" w:themeColor="text1"/>
                <w:sz w:val="24"/>
                <w:u w:val="none"/>
                <w14:textFill>
                  <w14:solidFill>
                    <w14:schemeClr w14:val="tx1"/>
                  </w14:solidFill>
                </w14:textFill>
              </w:rPr>
              <w:t>恢复与补偿措施主要是指对于已经造成危害的地段或地域所采取的尽量降低损害和弥补损失的补救措施，这些措施和办法都是事后而为。根据本工程的特点，</w:t>
            </w:r>
            <w:r>
              <w:rPr>
                <w:rFonts w:ascii="Times New Roman" w:hAnsi="Times New Roman" w:cs="Times New Roman"/>
                <w:bCs/>
                <w:color w:val="000000" w:themeColor="text1"/>
                <w:sz w:val="24"/>
                <w:u w:val="none"/>
                <w14:textFill>
                  <w14:solidFill>
                    <w14:schemeClr w14:val="tx1"/>
                  </w14:solidFill>
                </w14:textFill>
              </w:rPr>
              <w:t>施工结束后，应结合水土保持的植物措施，对各类施工迹地实施陆生生态修复。</w:t>
            </w:r>
          </w:p>
          <w:p w14:paraId="063BD8E5">
            <w:pPr>
              <w:ind w:firstLine="480"/>
              <w:rPr>
                <w:color w:val="000000" w:themeColor="text1"/>
                <w:u w:val="none"/>
                <w14:textFill>
                  <w14:solidFill>
                    <w14:schemeClr w14:val="tx1"/>
                  </w14:solidFill>
                </w14:textFill>
              </w:rPr>
            </w:pPr>
            <w:r>
              <w:rPr>
                <w:color w:val="000000" w:themeColor="text1"/>
                <w:u w:val="none"/>
                <w14:textFill>
                  <w14:solidFill>
                    <w14:schemeClr w14:val="tx1"/>
                  </w14:solidFill>
                </w14:textFill>
              </w:rPr>
              <w:t>（一）植被修复原则</w:t>
            </w:r>
          </w:p>
          <w:p w14:paraId="27474D4D">
            <w:pPr>
              <w:spacing w:line="360" w:lineRule="auto"/>
              <w:ind w:firstLine="480" w:firstLineChars="200"/>
              <w:rPr>
                <w:rFonts w:ascii="Times New Roman" w:hAnsi="Times New Roman" w:cs="Times New Roman"/>
                <w:bCs/>
                <w:color w:val="000000" w:themeColor="text1"/>
                <w:sz w:val="24"/>
                <w:u w:val="none"/>
                <w14:textFill>
                  <w14:solidFill>
                    <w14:schemeClr w14:val="tx1"/>
                  </w14:solidFill>
                </w14:textFill>
              </w:rPr>
            </w:pPr>
            <w:r>
              <w:rPr>
                <w:rFonts w:ascii="Times New Roman" w:hAnsi="Times New Roman" w:cs="Times New Roman"/>
                <w:bCs/>
                <w:color w:val="000000" w:themeColor="text1"/>
                <w:sz w:val="24"/>
                <w:u w:val="none"/>
                <w14:textFill>
                  <w14:solidFill>
                    <w14:schemeClr w14:val="tx1"/>
                  </w14:solidFill>
                </w14:textFill>
              </w:rPr>
              <w:t>1）保护原有生态系统的原则</w:t>
            </w:r>
          </w:p>
          <w:p w14:paraId="609F437B">
            <w:pPr>
              <w:spacing w:line="360" w:lineRule="auto"/>
              <w:ind w:firstLine="480" w:firstLineChars="200"/>
              <w:rPr>
                <w:rFonts w:ascii="Times New Roman" w:hAnsi="Times New Roman" w:cs="Times New Roman"/>
                <w:bCs/>
                <w:color w:val="000000" w:themeColor="text1"/>
                <w:sz w:val="24"/>
                <w:u w:val="none"/>
                <w14:textFill>
                  <w14:solidFill>
                    <w14:schemeClr w14:val="tx1"/>
                  </w14:solidFill>
                </w14:textFill>
              </w:rPr>
            </w:pPr>
            <w:r>
              <w:rPr>
                <w:rFonts w:ascii="Times New Roman" w:hAnsi="Times New Roman" w:cs="Times New Roman"/>
                <w:snapToGrid w:val="0"/>
                <w:color w:val="000000" w:themeColor="text1"/>
                <w:kern w:val="0"/>
                <w:sz w:val="24"/>
                <w:u w:val="none"/>
                <w14:textFill>
                  <w14:solidFill>
                    <w14:schemeClr w14:val="tx1"/>
                  </w14:solidFill>
                </w14:textFill>
              </w:rPr>
              <w:t>评价区位于湖南省</w:t>
            </w:r>
            <w:r>
              <w:rPr>
                <w:rFonts w:hint="eastAsia" w:cs="Times New Roman"/>
                <w:snapToGrid w:val="0"/>
                <w:color w:val="000000" w:themeColor="text1"/>
                <w:kern w:val="0"/>
                <w:sz w:val="24"/>
                <w:u w:val="none"/>
                <w:lang w:eastAsia="zh-CN"/>
                <w14:textFill>
                  <w14:solidFill>
                    <w14:schemeClr w14:val="tx1"/>
                  </w14:solidFill>
                </w14:textFill>
              </w:rPr>
              <w:t>通道县</w:t>
            </w:r>
            <w:r>
              <w:rPr>
                <w:rFonts w:ascii="Times New Roman" w:hAnsi="Times New Roman" w:cs="Times New Roman"/>
                <w:snapToGrid w:val="0"/>
                <w:color w:val="000000" w:themeColor="text1"/>
                <w:kern w:val="0"/>
                <w:sz w:val="24"/>
                <w:u w:val="none"/>
                <w14:textFill>
                  <w14:solidFill>
                    <w14:schemeClr w14:val="tx1"/>
                  </w14:solidFill>
                </w14:textFill>
              </w:rPr>
              <w:t>境内，工程区域内自然环境较为优越，气候适宜，区域内植被发育较好，覆盖率较高。本工程</w:t>
            </w:r>
            <w:r>
              <w:rPr>
                <w:rFonts w:ascii="Times New Roman" w:hAnsi="Times New Roman" w:cs="Times New Roman"/>
                <w:bCs/>
                <w:color w:val="000000" w:themeColor="text1"/>
                <w:sz w:val="24"/>
                <w:u w:val="none"/>
                <w14:textFill>
                  <w14:solidFill>
                    <w14:schemeClr w14:val="tx1"/>
                  </w14:solidFill>
                </w14:textFill>
              </w:rPr>
              <w:t>建设不可避免的会破坏评价区森林生态系统、灌丛/草地生态系统等，原区域生态系统内植被破坏，生态系统结构及功能受到影响。因此在植被修复过程中，必须尽量保护施工占地区域原有体系的生态环境，尽量发展以针叶林、阔叶林植被为主体的生态系统。</w:t>
            </w:r>
          </w:p>
          <w:p w14:paraId="59025D13">
            <w:pPr>
              <w:spacing w:line="360" w:lineRule="auto"/>
              <w:ind w:firstLine="480" w:firstLineChars="200"/>
              <w:rPr>
                <w:rFonts w:ascii="Times New Roman" w:hAnsi="Times New Roman" w:cs="Times New Roman"/>
                <w:bCs/>
                <w:color w:val="000000" w:themeColor="text1"/>
                <w:sz w:val="24"/>
                <w:u w:val="none"/>
                <w14:textFill>
                  <w14:solidFill>
                    <w14:schemeClr w14:val="tx1"/>
                  </w14:solidFill>
                </w14:textFill>
              </w:rPr>
            </w:pPr>
            <w:r>
              <w:rPr>
                <w:rFonts w:ascii="Times New Roman" w:hAnsi="Times New Roman" w:cs="Times New Roman"/>
                <w:bCs/>
                <w:color w:val="000000" w:themeColor="text1"/>
                <w:sz w:val="24"/>
                <w:u w:val="none"/>
                <w14:textFill>
                  <w14:solidFill>
                    <w14:schemeClr w14:val="tx1"/>
                  </w14:solidFill>
                </w14:textFill>
              </w:rPr>
              <w:t>2）保护生物多样性的原则</w:t>
            </w:r>
          </w:p>
          <w:p w14:paraId="3839C1F5">
            <w:pPr>
              <w:spacing w:line="360" w:lineRule="auto"/>
              <w:ind w:firstLine="480" w:firstLineChars="200"/>
              <w:rPr>
                <w:rFonts w:ascii="Times New Roman" w:hAnsi="Times New Roman" w:cs="Times New Roman"/>
                <w:bCs/>
                <w:color w:val="000000" w:themeColor="text1"/>
                <w:sz w:val="24"/>
                <w:u w:val="none"/>
                <w14:textFill>
                  <w14:solidFill>
                    <w14:schemeClr w14:val="tx1"/>
                  </w14:solidFill>
                </w14:textFill>
              </w:rPr>
            </w:pPr>
            <w:r>
              <w:rPr>
                <w:rFonts w:ascii="Times New Roman" w:hAnsi="Times New Roman" w:cs="Times New Roman"/>
                <w:bCs/>
                <w:color w:val="000000" w:themeColor="text1"/>
                <w:sz w:val="24"/>
                <w:u w:val="none"/>
                <w14:textFill>
                  <w14:solidFill>
                    <w14:schemeClr w14:val="tx1"/>
                  </w14:solidFill>
                </w14:textFill>
              </w:rPr>
              <w:t>植被修复措施不仅考虑植被覆盖率，而且需要在利用当地原有物种的情况下，尽量使物种多样化，避免单一。在保证物种多样性的前提下，防止外来入侵物种的扩散。</w:t>
            </w:r>
          </w:p>
          <w:p w14:paraId="146AFAC7">
            <w:pPr>
              <w:ind w:firstLine="480"/>
              <w:rPr>
                <w:color w:val="000000" w:themeColor="text1"/>
                <w:u w:val="none"/>
                <w14:textFill>
                  <w14:solidFill>
                    <w14:schemeClr w14:val="tx1"/>
                  </w14:solidFill>
                </w14:textFill>
              </w:rPr>
            </w:pPr>
            <w:r>
              <w:rPr>
                <w:bCs/>
                <w:color w:val="000000" w:themeColor="text1"/>
                <w:u w:val="none"/>
                <w14:textFill>
                  <w14:solidFill>
                    <w14:schemeClr w14:val="tx1"/>
                  </w14:solidFill>
                </w14:textFill>
              </w:rPr>
              <w:t>（二）恢复植物的选择</w:t>
            </w:r>
          </w:p>
          <w:p w14:paraId="2CD1308E">
            <w:pPr>
              <w:spacing w:line="360" w:lineRule="auto"/>
              <w:ind w:firstLine="480" w:firstLineChars="200"/>
              <w:rPr>
                <w:rFonts w:ascii="Times New Roman" w:hAnsi="Times New Roman" w:cs="Times New Roman"/>
                <w:bCs/>
                <w:color w:val="000000" w:themeColor="text1"/>
                <w:sz w:val="24"/>
                <w:u w:val="none"/>
                <w14:textFill>
                  <w14:solidFill>
                    <w14:schemeClr w14:val="tx1"/>
                  </w14:solidFill>
                </w14:textFill>
              </w:rPr>
            </w:pPr>
            <w:r>
              <w:rPr>
                <w:rFonts w:ascii="Times New Roman" w:hAnsi="Times New Roman" w:cs="Times New Roman"/>
                <w:bCs/>
                <w:color w:val="000000" w:themeColor="text1"/>
                <w:sz w:val="24"/>
                <w:u w:val="none"/>
                <w14:textFill>
                  <w14:solidFill>
                    <w14:schemeClr w14:val="tx1"/>
                  </w14:solidFill>
                </w14:textFill>
              </w:rPr>
              <w:t>1）生态适应性原则：植物生态习性必须与当地条件相适应。评价区在湖南植被区划上属于</w:t>
            </w:r>
            <w:r>
              <w:rPr>
                <w:rFonts w:ascii="Times New Roman" w:hAnsi="Times New Roman" w:cs="Times New Roman"/>
                <w:color w:val="000000" w:themeColor="text1"/>
                <w:sz w:val="24"/>
                <w:u w:val="none"/>
                <w14:textFill>
                  <w14:solidFill>
                    <w14:schemeClr w14:val="tx1"/>
                  </w14:solidFill>
                </w14:textFill>
              </w:rPr>
              <w:t>亚热带常绿阔叶林区域—中亚热带常绿阔叶林地带—中亚热带含华南植物区系成分的常绿阔叶林南部植被亚地带—湘南植被区—道、宁、桂丘陵盆地植被小区，南岭山地植被小区。</w:t>
            </w:r>
            <w:r>
              <w:rPr>
                <w:rFonts w:ascii="Times New Roman" w:hAnsi="Times New Roman" w:cs="Times New Roman"/>
                <w:bCs/>
                <w:color w:val="000000" w:themeColor="text1"/>
                <w:sz w:val="24"/>
                <w:u w:val="none"/>
                <w14:textFill>
                  <w14:solidFill>
                    <w14:schemeClr w14:val="tx1"/>
                  </w14:solidFill>
                </w14:textFill>
              </w:rPr>
              <w:t>在进行植被恢复时应尽量选择适应</w:t>
            </w:r>
            <w:r>
              <w:rPr>
                <w:rFonts w:ascii="Times New Roman" w:hAnsi="Times New Roman" w:cs="Times New Roman"/>
                <w:color w:val="000000" w:themeColor="text1"/>
                <w:kern w:val="0"/>
                <w:sz w:val="24"/>
                <w:u w:val="none"/>
                <w14:textFill>
                  <w14:solidFill>
                    <w14:schemeClr w14:val="tx1"/>
                  </w14:solidFill>
                </w14:textFill>
              </w:rPr>
              <w:t>中亚热地区环境的植物，应以中生性树种为主。</w:t>
            </w:r>
          </w:p>
          <w:p w14:paraId="4837436A">
            <w:pPr>
              <w:spacing w:line="360" w:lineRule="auto"/>
              <w:ind w:firstLine="480" w:firstLineChars="200"/>
              <w:rPr>
                <w:rFonts w:ascii="Times New Roman" w:hAnsi="Times New Roman" w:cs="Times New Roman"/>
                <w:bCs/>
                <w:color w:val="000000" w:themeColor="text1"/>
                <w:sz w:val="24"/>
                <w:u w:val="none"/>
                <w14:textFill>
                  <w14:solidFill>
                    <w14:schemeClr w14:val="tx1"/>
                  </w14:solidFill>
                </w14:textFill>
              </w:rPr>
            </w:pPr>
            <w:r>
              <w:rPr>
                <w:rFonts w:ascii="Times New Roman" w:hAnsi="Times New Roman" w:cs="Times New Roman"/>
                <w:color w:val="000000" w:themeColor="text1"/>
                <w:kern w:val="0"/>
                <w:sz w:val="24"/>
                <w:u w:val="none"/>
                <w14:textFill>
                  <w14:solidFill>
                    <w14:schemeClr w14:val="tx1"/>
                  </w14:solidFill>
                </w14:textFill>
              </w:rPr>
              <w:t>2）</w:t>
            </w:r>
            <w:r>
              <w:rPr>
                <w:rFonts w:ascii="Times New Roman" w:hAnsi="Times New Roman" w:cs="Times New Roman"/>
                <w:bCs/>
                <w:color w:val="000000" w:themeColor="text1"/>
                <w:sz w:val="24"/>
                <w:u w:val="none"/>
                <w14:textFill>
                  <w14:solidFill>
                    <w14:schemeClr w14:val="tx1"/>
                  </w14:solidFill>
                </w14:textFill>
              </w:rPr>
              <w:t>本土植物优先原则：乡土树种对植被恢复具有重要作用，其能快速融于周边生态环境，减轻对景观的影响，并可阻止外来物种入侵。由于乡土种在当地食物链中已经形成相对稳定的结构，与生境建立了和谐的关系，其适应性强、生长快、自我繁殖和更新能力强，有利于保护生物多样性和维持当地生态平衡。</w:t>
            </w:r>
          </w:p>
          <w:p w14:paraId="35C36E5B">
            <w:pPr>
              <w:ind w:firstLine="480"/>
              <w:rPr>
                <w:color w:val="000000" w:themeColor="text1"/>
                <w:kern w:val="0"/>
                <w:szCs w:val="20"/>
                <w:u w:val="none"/>
                <w14:textFill>
                  <w14:solidFill>
                    <w14:schemeClr w14:val="tx1"/>
                  </w14:solidFill>
                </w14:textFill>
              </w:rPr>
            </w:pPr>
            <w:r>
              <w:rPr>
                <w:bCs/>
                <w:color w:val="000000" w:themeColor="text1"/>
                <w:u w:val="none"/>
                <w14:textFill>
                  <w14:solidFill>
                    <w14:schemeClr w14:val="tx1"/>
                  </w14:solidFill>
                </w14:textFill>
              </w:rPr>
              <w:t>（三）植被恢复方法</w:t>
            </w:r>
          </w:p>
          <w:p w14:paraId="586E76F9">
            <w:pPr>
              <w:spacing w:line="360" w:lineRule="auto"/>
              <w:ind w:firstLine="480" w:firstLineChars="200"/>
              <w:rPr>
                <w:rFonts w:ascii="Times New Roman" w:hAnsi="Times New Roman" w:cs="Times New Roman"/>
                <w:bCs/>
                <w:color w:val="000000" w:themeColor="text1"/>
                <w:sz w:val="24"/>
                <w:u w:val="none"/>
                <w14:textFill>
                  <w14:solidFill>
                    <w14:schemeClr w14:val="tx1"/>
                  </w14:solidFill>
                </w14:textFill>
              </w:rPr>
            </w:pPr>
            <w:r>
              <w:rPr>
                <w:rFonts w:ascii="Times New Roman" w:hAnsi="Times New Roman" w:cs="Times New Roman"/>
                <w:bCs/>
                <w:color w:val="000000" w:themeColor="text1"/>
                <w:sz w:val="24"/>
                <w:u w:val="none"/>
                <w14:textFill>
                  <w14:solidFill>
                    <w14:schemeClr w14:val="tx1"/>
                  </w14:solidFill>
                </w14:textFill>
              </w:rPr>
              <w:t>植物恢复区主要包括施工迹地区植被恢复和工程施工创伤区植被恢复，根据本工程特点，建议采用以下植被恢复方法：</w:t>
            </w:r>
          </w:p>
          <w:p w14:paraId="514F00A4">
            <w:pPr>
              <w:spacing w:line="360" w:lineRule="auto"/>
              <w:ind w:firstLine="480" w:firstLineChars="200"/>
              <w:rPr>
                <w:rFonts w:ascii="Times New Roman" w:hAnsi="Times New Roman" w:cs="Times New Roman"/>
                <w:bCs/>
                <w:color w:val="000000" w:themeColor="text1"/>
                <w:sz w:val="24"/>
                <w:u w:val="wave"/>
                <w14:textFill>
                  <w14:solidFill>
                    <w14:schemeClr w14:val="tx1"/>
                  </w14:solidFill>
                </w14:textFill>
              </w:rPr>
            </w:pPr>
            <w:r>
              <w:rPr>
                <w:rFonts w:ascii="Times New Roman" w:hAnsi="Times New Roman" w:cs="Times New Roman"/>
                <w:bCs/>
                <w:color w:val="000000" w:themeColor="text1"/>
                <w:sz w:val="24"/>
                <w:u w:val="wave"/>
                <w14:textFill>
                  <w14:solidFill>
                    <w14:schemeClr w14:val="tx1"/>
                  </w14:solidFill>
                </w14:textFill>
              </w:rPr>
              <w:t>1）工程施工迹地植被恢复应以水土保持林和景观园林绿化等模式为主。水土保持林一般采用株间混交的方式种植，品字形排列；景观园林绿化根据景观造型，一般采用孤植、点植、丛植等较为灵活的栽植方式，花卉采用片植，草皮采用满铺。</w:t>
            </w:r>
          </w:p>
          <w:p w14:paraId="0B669C2A">
            <w:pPr>
              <w:ind w:firstLine="480"/>
              <w:rPr>
                <w:bCs/>
                <w:color w:val="000000" w:themeColor="text1"/>
                <w:u w:val="wave"/>
                <w14:textFill>
                  <w14:solidFill>
                    <w14:schemeClr w14:val="tx1"/>
                  </w14:solidFill>
                </w14:textFill>
              </w:rPr>
            </w:pPr>
            <w:r>
              <w:rPr>
                <w:rFonts w:ascii="Times New Roman" w:hAnsi="Times New Roman" w:cs="Times New Roman"/>
                <w:bCs/>
                <w:color w:val="000000" w:themeColor="text1"/>
                <w:sz w:val="24"/>
                <w:u w:val="wave"/>
                <w14:textFill>
                  <w14:solidFill>
                    <w14:schemeClr w14:val="tx1"/>
                  </w14:solidFill>
                </w14:textFill>
              </w:rPr>
              <w:t>2）工程施工创伤面主要包括开挖边坡、堆渣和土料迹地边坡等，植被恢复措施包括种植槽栽植攀援植物和灌草绿化、厚层基材植被护坡、撒播灌草护坡、液力喷播植草护坡和框格植草护坡等。</w:t>
            </w:r>
          </w:p>
          <w:p w14:paraId="5730F0C6">
            <w:pPr>
              <w:ind w:firstLine="480"/>
              <w:rPr>
                <w:color w:val="000000" w:themeColor="text1"/>
                <w:kern w:val="0"/>
                <w:szCs w:val="20"/>
                <w:u w:val="wave"/>
                <w14:textFill>
                  <w14:solidFill>
                    <w14:schemeClr w14:val="tx1"/>
                  </w14:solidFill>
                </w14:textFill>
              </w:rPr>
            </w:pPr>
            <w:r>
              <w:rPr>
                <w:bCs/>
                <w:color w:val="000000" w:themeColor="text1"/>
                <w:u w:val="wave"/>
                <w14:textFill>
                  <w14:solidFill>
                    <w14:schemeClr w14:val="tx1"/>
                  </w14:solidFill>
                </w14:textFill>
              </w:rPr>
              <w:t>（四）植被恢复方案</w:t>
            </w:r>
          </w:p>
          <w:p w14:paraId="0F50C9C7">
            <w:pPr>
              <w:spacing w:line="360" w:lineRule="auto"/>
              <w:ind w:firstLine="480" w:firstLineChars="200"/>
              <w:rPr>
                <w:rFonts w:ascii="Times New Roman" w:hAnsi="Times New Roman" w:cs="Times New Roman"/>
                <w:bCs/>
                <w:color w:val="000000" w:themeColor="text1"/>
                <w:sz w:val="24"/>
                <w:u w:val="wave"/>
                <w14:textFill>
                  <w14:solidFill>
                    <w14:schemeClr w14:val="tx1"/>
                  </w14:solidFill>
                </w14:textFill>
              </w:rPr>
            </w:pPr>
            <w:bookmarkStart w:id="236" w:name="_Toc119425328"/>
            <w:bookmarkStart w:id="237" w:name="_Toc14822"/>
            <w:bookmarkStart w:id="238" w:name="_Toc478243937"/>
            <w:bookmarkStart w:id="239" w:name="_Toc28804_WPSOffice_Level3"/>
            <w:r>
              <w:rPr>
                <w:rFonts w:ascii="Times New Roman" w:hAnsi="Times New Roman" w:cs="Times New Roman"/>
                <w:bCs/>
                <w:color w:val="000000" w:themeColor="text1"/>
                <w:sz w:val="24"/>
                <w:u w:val="wave"/>
                <w14:textFill>
                  <w14:solidFill>
                    <w14:schemeClr w14:val="tx1"/>
                  </w14:solidFill>
                </w14:textFill>
              </w:rPr>
              <w:t>根据不同恢复区的特点及植物现状，对每个恢复区实行不同的恢复方案。</w:t>
            </w:r>
          </w:p>
          <w:p w14:paraId="026893E1">
            <w:pPr>
              <w:pStyle w:val="87"/>
              <w:numPr>
                <w:ilvl w:val="0"/>
                <w:numId w:val="10"/>
              </w:numPr>
              <w:spacing w:line="360" w:lineRule="auto"/>
              <w:ind w:firstLine="480" w:firstLineChars="200"/>
              <w:rPr>
                <w:rFonts w:hint="eastAsia" w:ascii="Times New Roman" w:hAnsi="Times New Roman" w:cs="Times New Roman"/>
                <w:color w:val="000000" w:themeColor="text1"/>
                <w:sz w:val="24"/>
                <w:u w:val="wave"/>
                <w14:textFill>
                  <w14:solidFill>
                    <w14:schemeClr w14:val="tx1"/>
                  </w14:solidFill>
                </w14:textFill>
              </w:rPr>
            </w:pPr>
            <w:r>
              <w:rPr>
                <w:rFonts w:ascii="Times New Roman" w:hAnsi="Times New Roman" w:cs="Times New Roman"/>
                <w:bCs/>
                <w:color w:val="000000" w:themeColor="text1"/>
                <w:sz w:val="24"/>
                <w:u w:val="wave"/>
                <w14:textFill>
                  <w14:solidFill>
                    <w14:schemeClr w14:val="tx1"/>
                  </w14:solidFill>
                </w14:textFill>
              </w:rPr>
              <w:t>风机平台区：</w:t>
            </w:r>
            <w:r>
              <w:rPr>
                <w:rFonts w:hint="eastAsia" w:ascii="Times New Roman" w:hAnsi="Times New Roman" w:cs="Times New Roman"/>
                <w:bCs/>
                <w:color w:val="000000" w:themeColor="text1"/>
                <w:sz w:val="24"/>
                <w:u w:val="wave"/>
                <w14:textFill>
                  <w14:solidFill>
                    <w14:schemeClr w14:val="tx1"/>
                  </w14:solidFill>
                </w14:textFill>
              </w:rPr>
              <w:t>施工前做好表土剥离并采取临时拦挡、苫盖措施；项目建设过程中，在风机平台布设排水沟、沉沙池、急流槽，临时堆土及裸露边坡应进行临时苫盖</w:t>
            </w:r>
            <w:r>
              <w:rPr>
                <w:rFonts w:hint="eastAsia" w:cs="Times New Roman"/>
                <w:bCs/>
                <w:color w:val="000000" w:themeColor="text1"/>
                <w:sz w:val="24"/>
                <w:u w:val="wave"/>
                <w:lang w:eastAsia="zh-CN"/>
                <w14:textFill>
                  <w14:solidFill>
                    <w14:schemeClr w14:val="tx1"/>
                  </w14:solidFill>
                </w14:textFill>
              </w:rPr>
              <w:t>，施工结束后进行土地整治，及时回填表土，对平台、挖填边坡采取植被恢复措施。</w:t>
            </w:r>
            <w:r>
              <w:rPr>
                <w:rFonts w:hint="eastAsia" w:ascii="Times New Roman" w:hAnsi="Times New Roman" w:cs="Times New Roman"/>
                <w:color w:val="000000" w:themeColor="text1"/>
                <w:sz w:val="24"/>
                <w:u w:val="wave"/>
                <w14:textFill>
                  <w14:solidFill>
                    <w14:schemeClr w14:val="tx1"/>
                  </w14:solidFill>
                </w14:textFill>
              </w:rPr>
              <w:t>风机平台均采用直播种草和客土喷播植草的方式开展植被建设，其中风机平台顶部及回填边坡采用直播种草开展林草植被建设，开挖边坡采用客土喷播植草绿化。挂网喷播植草护坡 1.12hm</w:t>
            </w:r>
            <w:r>
              <w:rPr>
                <w:rFonts w:hint="eastAsia" w:ascii="Times New Roman" w:hAnsi="Times New Roman" w:cs="Times New Roman"/>
                <w:color w:val="000000" w:themeColor="text1"/>
                <w:sz w:val="24"/>
                <w:u w:val="wave"/>
                <w:vertAlign w:val="superscript"/>
                <w14:textFill>
                  <w14:solidFill>
                    <w14:schemeClr w14:val="tx1"/>
                  </w14:solidFill>
                </w14:textFill>
              </w:rPr>
              <w:t>2</w:t>
            </w:r>
            <w:r>
              <w:rPr>
                <w:rFonts w:hint="eastAsia" w:ascii="Times New Roman" w:hAnsi="Times New Roman" w:cs="Times New Roman"/>
                <w:color w:val="000000" w:themeColor="text1"/>
                <w:sz w:val="24"/>
                <w:u w:val="wave"/>
                <w14:textFill>
                  <w14:solidFill>
                    <w14:schemeClr w14:val="tx1"/>
                  </w14:solidFill>
                </w14:textFill>
              </w:rPr>
              <w:t>、撒播草籽4.0hm</w:t>
            </w:r>
            <w:r>
              <w:rPr>
                <w:rFonts w:hint="eastAsia" w:ascii="Times New Roman" w:hAnsi="Times New Roman" w:cs="Times New Roman"/>
                <w:color w:val="000000" w:themeColor="text1"/>
                <w:sz w:val="24"/>
                <w:u w:val="wave"/>
                <w:vertAlign w:val="superscript"/>
                <w14:textFill>
                  <w14:solidFill>
                    <w14:schemeClr w14:val="tx1"/>
                  </w14:solidFill>
                </w14:textFill>
              </w:rPr>
              <w:t>2</w:t>
            </w:r>
            <w:r>
              <w:rPr>
                <w:rFonts w:hint="eastAsia" w:cs="Times New Roman"/>
                <w:color w:val="000000" w:themeColor="text1"/>
                <w:sz w:val="24"/>
                <w:u w:val="wave"/>
                <w:lang w:eastAsia="zh-CN"/>
                <w14:textFill>
                  <w14:solidFill>
                    <w14:schemeClr w14:val="tx1"/>
                  </w14:solidFill>
                </w14:textFill>
              </w:rPr>
              <w:t>，</w:t>
            </w:r>
            <w:r>
              <w:rPr>
                <w:rFonts w:hint="eastAsia" w:ascii="Times New Roman" w:hAnsi="Times New Roman" w:cs="Times New Roman"/>
                <w:color w:val="000000" w:themeColor="text1"/>
                <w:sz w:val="24"/>
                <w:u w:val="wave"/>
                <w14:textFill>
                  <w14:solidFill>
                    <w14:schemeClr w14:val="tx1"/>
                  </w14:solidFill>
                </w14:textFill>
              </w:rPr>
              <w:t>直播种草、客土喷播实施前，施工单位应开展小面积试播试种，确保绿化效果，林草措施施工结束后，及时洒水、施肥养护。结合当地的植被现状，草籽选用早熟禾、白三叶、狗牙根等冬、夏兼顾的适生草种，适当针对边坡搭配山毛豆、猪屎豆、胡枝子、多花木兰等多种灌木种子，按照灌：草为 1：3 比例混合播种，播种密度不小于80kg/hm</w:t>
            </w:r>
            <w:r>
              <w:rPr>
                <w:rFonts w:hint="eastAsia" w:ascii="Times New Roman" w:hAnsi="Times New Roman" w:cs="Times New Roman"/>
                <w:color w:val="000000" w:themeColor="text1"/>
                <w:sz w:val="24"/>
                <w:u w:val="wave"/>
                <w:vertAlign w:val="superscript"/>
                <w14:textFill>
                  <w14:solidFill>
                    <w14:schemeClr w14:val="tx1"/>
                  </w14:solidFill>
                </w14:textFill>
              </w:rPr>
              <w:t>2</w:t>
            </w:r>
            <w:r>
              <w:rPr>
                <w:rFonts w:hint="eastAsia" w:ascii="Times New Roman" w:hAnsi="Times New Roman" w:cs="Times New Roman"/>
                <w:color w:val="000000" w:themeColor="text1"/>
                <w:sz w:val="24"/>
                <w:u w:val="wave"/>
                <w14:textFill>
                  <w14:solidFill>
                    <w14:schemeClr w14:val="tx1"/>
                  </w14:solidFill>
                </w14:textFill>
              </w:rPr>
              <w:t>。</w:t>
            </w:r>
          </w:p>
          <w:p w14:paraId="0AC4C069">
            <w:pPr>
              <w:pStyle w:val="87"/>
              <w:numPr>
                <w:ilvl w:val="0"/>
                <w:numId w:val="10"/>
              </w:numPr>
              <w:spacing w:line="360" w:lineRule="auto"/>
              <w:ind w:left="0" w:leftChars="0" w:firstLine="480" w:firstLineChars="200"/>
              <w:rPr>
                <w:rFonts w:hint="eastAsia" w:cs="Times New Roman"/>
                <w:color w:val="000000" w:themeColor="text1"/>
                <w:sz w:val="24"/>
                <w:u w:val="wave"/>
                <w:lang w:eastAsia="zh-CN"/>
                <w14:textFill>
                  <w14:solidFill>
                    <w14:schemeClr w14:val="tx1"/>
                  </w14:solidFill>
                </w14:textFill>
              </w:rPr>
            </w:pPr>
            <w:r>
              <w:rPr>
                <w:rFonts w:ascii="Times New Roman" w:hAnsi="Times New Roman" w:cs="Times New Roman"/>
                <w:bCs/>
                <w:color w:val="000000" w:themeColor="text1"/>
                <w:sz w:val="24"/>
                <w:u w:val="wave"/>
                <w14:textFill>
                  <w14:solidFill>
                    <w14:schemeClr w14:val="tx1"/>
                  </w14:solidFill>
                </w14:textFill>
              </w:rPr>
              <w:t>道路工程区：</w:t>
            </w:r>
            <w:r>
              <w:rPr>
                <w:rFonts w:hint="eastAsia" w:ascii="Times New Roman" w:hAnsi="Times New Roman" w:cs="Times New Roman"/>
                <w:color w:val="000000" w:themeColor="text1"/>
                <w:sz w:val="24"/>
                <w:u w:val="wave"/>
                <w14:textFill>
                  <w14:solidFill>
                    <w14:schemeClr w14:val="tx1"/>
                  </w14:solidFill>
                </w14:textFill>
              </w:rPr>
              <w:t>施工前做好表土剥离并采取临时拦挡、苫盖措施；施工过程中，道路沿线应设置临时防护措施，填方边坡坡脚应设挡墙，挖方边坡坡顶布设截水沟，路基沿线落实排水沟、沉沙池、急流槽等排水设施，场内道路施工多余土方应运至指定弃渣场集中堆存；施工结束后，对裸露边坡及施工迹地及时绿化</w:t>
            </w:r>
            <w:r>
              <w:rPr>
                <w:rFonts w:hint="eastAsia" w:cs="Times New Roman"/>
                <w:color w:val="000000" w:themeColor="text1"/>
                <w:sz w:val="24"/>
                <w:u w:val="wave"/>
                <w:lang w:eastAsia="zh-CN"/>
                <w14:textFill>
                  <w14:solidFill>
                    <w14:schemeClr w14:val="tx1"/>
                  </w14:solidFill>
                </w14:textFill>
              </w:rPr>
              <w:t>。</w:t>
            </w:r>
          </w:p>
          <w:p w14:paraId="1FEB9BF3">
            <w:pPr>
              <w:pStyle w:val="87"/>
              <w:numPr>
                <w:ilvl w:val="0"/>
                <w:numId w:val="0"/>
              </w:numPr>
              <w:spacing w:line="360" w:lineRule="auto"/>
              <w:ind w:firstLine="480" w:firstLineChars="200"/>
              <w:rPr>
                <w:rFonts w:hint="eastAsia" w:ascii="Times New Roman" w:hAnsi="Times New Roman" w:cs="Times New Roman"/>
                <w:color w:val="000000" w:themeColor="text1"/>
                <w:sz w:val="24"/>
                <w:u w:val="wave"/>
                <w14:textFill>
                  <w14:solidFill>
                    <w14:schemeClr w14:val="tx1"/>
                  </w14:solidFill>
                </w14:textFill>
              </w:rPr>
            </w:pPr>
            <w:r>
              <w:rPr>
                <w:rFonts w:hint="eastAsia" w:ascii="Times New Roman" w:hAnsi="Times New Roman" w:cs="Times New Roman"/>
                <w:color w:val="000000" w:themeColor="text1"/>
                <w:sz w:val="24"/>
                <w:u w:val="wave"/>
                <w14:textFill>
                  <w14:solidFill>
                    <w14:schemeClr w14:val="tx1"/>
                  </w14:solidFill>
                </w14:textFill>
              </w:rPr>
              <w:t>主体工程设计在道路沿线设置了路基挡墙，设浆砌石排水沟41050m（主体已有28384m），砖砌沉沙池84座，消能设施3123m，施工结束后土地平整24.63hm</w:t>
            </w:r>
            <w:r>
              <w:rPr>
                <w:rFonts w:hint="eastAsia" w:ascii="Times New Roman" w:hAnsi="Times New Roman" w:cs="Times New Roman"/>
                <w:color w:val="000000" w:themeColor="text1"/>
                <w:sz w:val="24"/>
                <w:u w:val="wave"/>
                <w:vertAlign w:val="superscript"/>
                <w14:textFill>
                  <w14:solidFill>
                    <w14:schemeClr w14:val="tx1"/>
                  </w14:solidFill>
                </w14:textFill>
              </w:rPr>
              <w:t>2</w:t>
            </w:r>
            <w:r>
              <w:rPr>
                <w:rFonts w:hint="eastAsia" w:ascii="Times New Roman" w:hAnsi="Times New Roman" w:cs="Times New Roman"/>
                <w:color w:val="000000" w:themeColor="text1"/>
                <w:sz w:val="24"/>
                <w:u w:val="wave"/>
                <w14:textFill>
                  <w14:solidFill>
                    <w14:schemeClr w14:val="tx1"/>
                  </w14:solidFill>
                </w14:textFill>
              </w:rPr>
              <w:t>，表土剥离4.59 万 m</w:t>
            </w:r>
            <w:r>
              <w:rPr>
                <w:rFonts w:hint="eastAsia" w:ascii="Times New Roman" w:hAnsi="Times New Roman" w:cs="Times New Roman"/>
                <w:color w:val="000000" w:themeColor="text1"/>
                <w:sz w:val="24"/>
                <w:u w:val="wave"/>
                <w:vertAlign w:val="superscript"/>
                <w14:textFill>
                  <w14:solidFill>
                    <w14:schemeClr w14:val="tx1"/>
                  </w14:solidFill>
                </w14:textFill>
              </w:rPr>
              <w:t>3</w:t>
            </w:r>
            <w:r>
              <w:rPr>
                <w:rFonts w:hint="eastAsia" w:ascii="Times New Roman" w:hAnsi="Times New Roman" w:cs="Times New Roman"/>
                <w:color w:val="000000" w:themeColor="text1"/>
                <w:sz w:val="24"/>
                <w:u w:val="wave"/>
                <w14:textFill>
                  <w14:solidFill>
                    <w14:schemeClr w14:val="tx1"/>
                  </w14:solidFill>
                </w14:textFill>
              </w:rPr>
              <w:t>，表土回填3.52万m</w:t>
            </w:r>
            <w:r>
              <w:rPr>
                <w:rFonts w:hint="eastAsia" w:ascii="Times New Roman" w:hAnsi="Times New Roman" w:cs="Times New Roman"/>
                <w:color w:val="000000" w:themeColor="text1"/>
                <w:sz w:val="24"/>
                <w:u w:val="wave"/>
                <w:vertAlign w:val="superscript"/>
                <w14:textFill>
                  <w14:solidFill>
                    <w14:schemeClr w14:val="tx1"/>
                  </w14:solidFill>
                </w14:textFill>
              </w:rPr>
              <w:t>3</w:t>
            </w:r>
            <w:r>
              <w:rPr>
                <w:rFonts w:hint="eastAsia" w:ascii="Times New Roman" w:hAnsi="Times New Roman" w:cs="Times New Roman"/>
                <w:color w:val="000000" w:themeColor="text1"/>
                <w:sz w:val="24"/>
                <w:u w:val="wave"/>
                <w14:textFill>
                  <w14:solidFill>
                    <w14:schemeClr w14:val="tx1"/>
                  </w14:solidFill>
                </w14:textFill>
              </w:rPr>
              <w:t>，主体设计的道路工程已有挡土墙满足道路建设拦挡防护的需要。在有挡土墙的路段，需在施工前确定施工范围，落实路基挡墙，再进行挖填施工。</w:t>
            </w:r>
          </w:p>
          <w:p w14:paraId="18691444">
            <w:pPr>
              <w:pStyle w:val="87"/>
              <w:spacing w:line="360" w:lineRule="auto"/>
              <w:ind w:firstLine="480" w:firstLineChars="200"/>
              <w:rPr>
                <w:rFonts w:hint="eastAsia" w:ascii="Times New Roman" w:hAnsi="Times New Roman" w:cs="Times New Roman"/>
                <w:color w:val="000000" w:themeColor="text1"/>
                <w:sz w:val="24"/>
                <w:u w:val="wave"/>
                <w14:textFill>
                  <w14:solidFill>
                    <w14:schemeClr w14:val="tx1"/>
                  </w14:solidFill>
                </w14:textFill>
              </w:rPr>
            </w:pPr>
            <w:r>
              <w:rPr>
                <w:rFonts w:hint="eastAsia" w:ascii="Times New Roman" w:hAnsi="Times New Roman" w:cs="Times New Roman"/>
                <w:color w:val="000000" w:themeColor="text1"/>
                <w:sz w:val="24"/>
                <w:u w:val="wave"/>
                <w14:textFill>
                  <w14:solidFill>
                    <w14:schemeClr w14:val="tx1"/>
                  </w14:solidFill>
                </w14:textFill>
              </w:rPr>
              <w:t>地面坡度大的路段，特别是连续直线型的上下坡的路段，积水较多，且对路基路面破坏极大，产生严重的水土流失，针对陡坡路段增设路面截水槽，及时将路面积水引至内侧排水沟中，减少路面冲刷。地面坡度大于 20°的陡坡路段，应开挖、回填边坡高度和坡长增加，易发生水土流失，需在增设截排水沟、挡水坎的基础上，满足坡面上的排水需要，增设坡面消能设施，防止边坡冲刷。</w:t>
            </w:r>
          </w:p>
          <w:p w14:paraId="36FDD09F">
            <w:pPr>
              <w:pStyle w:val="87"/>
              <w:spacing w:line="360" w:lineRule="auto"/>
              <w:ind w:firstLine="480" w:firstLineChars="200"/>
              <w:rPr>
                <w:rFonts w:hint="eastAsia" w:cs="Times New Roman"/>
                <w:color w:val="000000" w:themeColor="text1"/>
                <w:sz w:val="24"/>
                <w:u w:val="wave"/>
                <w:lang w:val="en-US" w:eastAsia="zh-CN"/>
                <w14:textFill>
                  <w14:solidFill>
                    <w14:schemeClr w14:val="tx1"/>
                  </w14:solidFill>
                </w14:textFill>
              </w:rPr>
            </w:pPr>
            <w:r>
              <w:rPr>
                <w:rFonts w:hint="eastAsia" w:cs="Times New Roman"/>
                <w:color w:val="000000" w:themeColor="text1"/>
                <w:sz w:val="24"/>
                <w:u w:val="wave"/>
                <w:lang w:val="en-US" w:eastAsia="zh-CN"/>
                <w14:textFill>
                  <w14:solidFill>
                    <w14:schemeClr w14:val="tx1"/>
                  </w14:solidFill>
                </w14:textFill>
              </w:rPr>
              <w:t>植被恢复措施：</w:t>
            </w:r>
          </w:p>
          <w:p w14:paraId="153B0E7B">
            <w:pPr>
              <w:numPr>
                <w:ilvl w:val="0"/>
                <w:numId w:val="0"/>
              </w:numPr>
              <w:spacing w:line="360" w:lineRule="auto"/>
              <w:ind w:firstLine="480" w:firstLineChars="200"/>
              <w:rPr>
                <w:rFonts w:hint="eastAsia" w:ascii="Calibri" w:hAnsi="Calibri" w:eastAsia="宋体" w:cs="Calibri"/>
                <w:color w:val="000000" w:themeColor="text1"/>
                <w:sz w:val="24"/>
                <w:u w:val="wave"/>
                <w:lang w:eastAsia="zh-CN"/>
                <w14:textFill>
                  <w14:solidFill>
                    <w14:schemeClr w14:val="tx1"/>
                  </w14:solidFill>
                </w14:textFill>
              </w:rPr>
            </w:pPr>
            <w:r>
              <w:rPr>
                <w:rFonts w:hint="default" w:ascii="Calibri" w:hAnsi="Calibri" w:cs="Calibri"/>
                <w:color w:val="000000" w:themeColor="text1"/>
                <w:sz w:val="24"/>
                <w:u w:val="wave"/>
                <w14:textFill>
                  <w14:solidFill>
                    <w14:schemeClr w14:val="tx1"/>
                  </w14:solidFill>
                </w14:textFill>
              </w:rPr>
              <w:t>喷播植草8.65hm</w:t>
            </w:r>
            <w:r>
              <w:rPr>
                <w:rFonts w:hint="default" w:ascii="Calibri" w:hAnsi="Calibri" w:cs="Calibri"/>
                <w:color w:val="000000" w:themeColor="text1"/>
                <w:sz w:val="24"/>
                <w:u w:val="wave"/>
                <w:vertAlign w:val="superscript"/>
                <w14:textFill>
                  <w14:solidFill>
                    <w14:schemeClr w14:val="tx1"/>
                  </w14:solidFill>
                </w14:textFill>
              </w:rPr>
              <w:t>2</w:t>
            </w:r>
            <w:r>
              <w:rPr>
                <w:rFonts w:hint="default" w:ascii="Calibri" w:hAnsi="Calibri" w:cs="Calibri"/>
                <w:color w:val="000000" w:themeColor="text1"/>
                <w:sz w:val="24"/>
                <w:u w:val="wave"/>
                <w14:textFill>
                  <w14:solidFill>
                    <w14:schemeClr w14:val="tx1"/>
                  </w14:solidFill>
                </w14:textFill>
              </w:rPr>
              <w:t>（主体已有），挂网喷播植草5.34hm</w:t>
            </w:r>
            <w:r>
              <w:rPr>
                <w:rFonts w:hint="default" w:ascii="Calibri" w:hAnsi="Calibri" w:cs="Calibri"/>
                <w:color w:val="000000" w:themeColor="text1"/>
                <w:sz w:val="24"/>
                <w:u w:val="wave"/>
                <w:vertAlign w:val="superscript"/>
                <w14:textFill>
                  <w14:solidFill>
                    <w14:schemeClr w14:val="tx1"/>
                  </w14:solidFill>
                </w14:textFill>
              </w:rPr>
              <w:t>2</w:t>
            </w:r>
            <w:r>
              <w:rPr>
                <w:rFonts w:hint="default" w:ascii="Calibri" w:hAnsi="Calibri" w:cs="Calibri"/>
                <w:color w:val="000000" w:themeColor="text1"/>
                <w:sz w:val="24"/>
                <w:u w:val="wave"/>
                <w14:textFill>
                  <w14:solidFill>
                    <w14:schemeClr w14:val="tx1"/>
                  </w14:solidFill>
                </w14:textFill>
              </w:rPr>
              <w:t>，撒 播 草 籽10.41hm</w:t>
            </w:r>
            <w:r>
              <w:rPr>
                <w:rFonts w:hint="default" w:ascii="Calibri" w:hAnsi="Calibri" w:cs="Calibri"/>
                <w:color w:val="000000" w:themeColor="text1"/>
                <w:sz w:val="24"/>
                <w:u w:val="wave"/>
                <w:vertAlign w:val="superscript"/>
                <w14:textFill>
                  <w14:solidFill>
                    <w14:schemeClr w14:val="tx1"/>
                  </w14:solidFill>
                </w14:textFill>
              </w:rPr>
              <w:t>2</w:t>
            </w:r>
            <w:r>
              <w:rPr>
                <w:rFonts w:hint="default" w:ascii="Calibri" w:hAnsi="Calibri" w:cs="Calibri"/>
                <w:color w:val="000000" w:themeColor="text1"/>
                <w:sz w:val="24"/>
                <w:u w:val="wave"/>
                <w14:textFill>
                  <w14:solidFill>
                    <w14:schemeClr w14:val="tx1"/>
                  </w14:solidFill>
                </w14:textFill>
              </w:rPr>
              <w:t>，植胡枝子2551株，杜鹃2551株，迎春花2894株</w:t>
            </w:r>
            <w:r>
              <w:rPr>
                <w:rFonts w:hint="eastAsia" w:ascii="Calibri" w:hAnsi="Calibri" w:cs="Calibri"/>
                <w:color w:val="000000" w:themeColor="text1"/>
                <w:sz w:val="24"/>
                <w:u w:val="wave"/>
                <w:lang w:eastAsia="zh-CN"/>
                <w14:textFill>
                  <w14:solidFill>
                    <w14:schemeClr w14:val="tx1"/>
                  </w14:solidFill>
                </w14:textFill>
              </w:rPr>
              <w:t>。</w:t>
            </w:r>
          </w:p>
          <w:p w14:paraId="6291DF24">
            <w:pPr>
              <w:numPr>
                <w:ilvl w:val="0"/>
                <w:numId w:val="0"/>
              </w:numPr>
              <w:spacing w:line="360" w:lineRule="auto"/>
              <w:ind w:firstLine="480" w:firstLineChars="200"/>
              <w:rPr>
                <w:rFonts w:ascii="Times New Roman" w:hAnsi="Times New Roman" w:cs="Times New Roman"/>
                <w:color w:val="000000" w:themeColor="text1"/>
                <w:sz w:val="24"/>
                <w:u w:val="wave"/>
                <w14:textFill>
                  <w14:solidFill>
                    <w14:schemeClr w14:val="tx1"/>
                  </w14:solidFill>
                </w14:textFill>
              </w:rPr>
            </w:pPr>
            <w:r>
              <w:rPr>
                <w:rFonts w:hint="eastAsia" w:cs="Times New Roman"/>
                <w:color w:val="000000" w:themeColor="text1"/>
                <w:sz w:val="24"/>
                <w:u w:val="wave"/>
                <w:lang w:val="en-US" w:eastAsia="zh-CN"/>
                <w14:textFill>
                  <w14:solidFill>
                    <w14:schemeClr w14:val="tx1"/>
                  </w14:solidFill>
                </w14:textFill>
              </w:rPr>
              <w:t>3）</w:t>
            </w:r>
            <w:r>
              <w:rPr>
                <w:rFonts w:ascii="Times New Roman" w:hAnsi="Times New Roman" w:cs="Times New Roman"/>
                <w:color w:val="000000" w:themeColor="text1"/>
                <w:sz w:val="24"/>
                <w:u w:val="wave"/>
                <w14:textFill>
                  <w14:solidFill>
                    <w14:schemeClr w14:val="tx1"/>
                  </w14:solidFill>
                </w14:textFill>
              </w:rPr>
              <w:t>弃渣场区：施工前</w:t>
            </w:r>
            <w:r>
              <w:rPr>
                <w:rFonts w:hint="eastAsia" w:ascii="Times New Roman" w:hAnsi="Times New Roman" w:cs="Times New Roman"/>
                <w:color w:val="000000" w:themeColor="text1"/>
                <w:sz w:val="24"/>
                <w:u w:val="wave"/>
                <w14:textFill>
                  <w14:solidFill>
                    <w14:schemeClr w14:val="tx1"/>
                  </w14:solidFill>
                </w14:textFill>
              </w:rPr>
              <w:t>均需将各弃渣场内的表土剥离并集中保存，表土采取无纺布苫盖防护等防护措施。弃渣作业时应将表土与其它成份的弃渣分开堆放，以便弃渣完成后将渣场表面覆盖表土，使之达到可恢复利用状态，充分利用土地资源。各弃渣场必须严格按照“先拦后弃”的要求，弃渣前先确定弃渣场范围，在弃渣场下边坡坡脚修建挡渣墙，</w:t>
            </w:r>
            <w:r>
              <w:rPr>
                <w:rFonts w:ascii="Times New Roman" w:hAnsi="Times New Roman" w:cs="Times New Roman"/>
                <w:color w:val="000000" w:themeColor="text1"/>
                <w:sz w:val="24"/>
                <w:u w:val="wave"/>
                <w14:textFill>
                  <w14:solidFill>
                    <w14:schemeClr w14:val="tx1"/>
                  </w14:solidFill>
                </w14:textFill>
              </w:rPr>
              <w:t>渣场周边设截水沟、沉沙池及跌水消能措施，并与自然沟道衔接。施工结束后，对各弃渣场弃渣面进行土地</w:t>
            </w:r>
            <w:r>
              <w:rPr>
                <w:rFonts w:hint="eastAsia" w:ascii="Times New Roman" w:hAnsi="Times New Roman" w:cs="Times New Roman"/>
                <w:color w:val="000000" w:themeColor="text1"/>
                <w:sz w:val="24"/>
                <w:u w:val="wave"/>
                <w14:textFill>
                  <w14:solidFill>
                    <w14:schemeClr w14:val="tx1"/>
                  </w14:solidFill>
                </w14:textFill>
              </w:rPr>
              <w:t>平整</w:t>
            </w:r>
            <w:r>
              <w:rPr>
                <w:rFonts w:ascii="Times New Roman" w:hAnsi="Times New Roman" w:cs="Times New Roman"/>
                <w:color w:val="000000" w:themeColor="text1"/>
                <w:sz w:val="24"/>
                <w:u w:val="wave"/>
                <w14:textFill>
                  <w14:solidFill>
                    <w14:schemeClr w14:val="tx1"/>
                  </w14:solidFill>
                </w14:textFill>
              </w:rPr>
              <w:t>，对弃渣场的边坡进行修整</w:t>
            </w:r>
            <w:r>
              <w:rPr>
                <w:rFonts w:hint="eastAsia" w:ascii="Times New Roman" w:hAnsi="Times New Roman" w:cs="Times New Roman"/>
                <w:color w:val="000000" w:themeColor="text1"/>
                <w:sz w:val="24"/>
                <w:u w:val="wave"/>
                <w14:textFill>
                  <w14:solidFill>
                    <w14:schemeClr w14:val="tx1"/>
                  </w14:solidFill>
                </w14:textFill>
              </w:rPr>
              <w:t>，</w:t>
            </w:r>
            <w:r>
              <w:rPr>
                <w:rFonts w:ascii="Times New Roman" w:hAnsi="Times New Roman" w:cs="Times New Roman"/>
                <w:color w:val="000000" w:themeColor="text1"/>
                <w:sz w:val="24"/>
                <w:u w:val="wave"/>
                <w14:textFill>
                  <w14:solidFill>
                    <w14:schemeClr w14:val="tx1"/>
                  </w14:solidFill>
                </w14:textFill>
              </w:rPr>
              <w:t>开挖分级平台</w:t>
            </w:r>
            <w:r>
              <w:rPr>
                <w:rFonts w:hint="eastAsia" w:ascii="Times New Roman" w:hAnsi="Times New Roman" w:cs="Times New Roman"/>
                <w:color w:val="000000" w:themeColor="text1"/>
                <w:sz w:val="24"/>
                <w:u w:val="wave"/>
                <w14:textFill>
                  <w14:solidFill>
                    <w14:schemeClr w14:val="tx1"/>
                  </w14:solidFill>
                </w14:textFill>
              </w:rPr>
              <w:t>，</w:t>
            </w:r>
            <w:r>
              <w:rPr>
                <w:rFonts w:ascii="Times New Roman" w:hAnsi="Times New Roman" w:cs="Times New Roman"/>
                <w:color w:val="000000" w:themeColor="text1"/>
                <w:sz w:val="24"/>
                <w:u w:val="wave"/>
                <w14:textFill>
                  <w14:solidFill>
                    <w14:schemeClr w14:val="tx1"/>
                  </w14:solidFill>
                </w14:textFill>
              </w:rPr>
              <w:t>回覆表土，并落实林草植被恢复措施。</w:t>
            </w:r>
          </w:p>
          <w:p w14:paraId="5E572DBE">
            <w:pPr>
              <w:pStyle w:val="87"/>
              <w:numPr>
                <w:ilvl w:val="0"/>
                <w:numId w:val="0"/>
              </w:numPr>
              <w:spacing w:line="360" w:lineRule="auto"/>
              <w:ind w:left="0" w:leftChars="0" w:firstLine="420" w:firstLineChars="0"/>
              <w:rPr>
                <w:rFonts w:hint="eastAsia" w:ascii="Times New Roman" w:hAnsi="Times New Roman" w:cs="Times New Roman"/>
                <w:color w:val="000000" w:themeColor="text1"/>
                <w:sz w:val="24"/>
                <w:u w:val="wave"/>
                <w14:textFill>
                  <w14:solidFill>
                    <w14:schemeClr w14:val="tx1"/>
                  </w14:solidFill>
                </w14:textFill>
              </w:rPr>
            </w:pPr>
            <w:r>
              <w:rPr>
                <w:rFonts w:hint="eastAsia" w:ascii="Times New Roman" w:hAnsi="Times New Roman" w:cs="Times New Roman"/>
                <w:color w:val="000000" w:themeColor="text1"/>
                <w:sz w:val="24"/>
                <w:u w:val="wave"/>
                <w14:textFill>
                  <w14:solidFill>
                    <w14:schemeClr w14:val="tx1"/>
                  </w14:solidFill>
                </w14:textFill>
              </w:rPr>
              <w:t>根据当地的自然条件，弃渣场渣顶采用直播种草、栽植乔灌木进行防护和植被建设，弃渣边坡采用直播种草恢复植被，草皮护坡1.49</w:t>
            </w:r>
            <w:r>
              <w:rPr>
                <w:rFonts w:hint="eastAsia" w:cs="Times New Roman"/>
                <w:color w:val="000000" w:themeColor="text1"/>
                <w:sz w:val="24"/>
                <w:u w:val="wave"/>
                <w:lang w:val="en-US" w:eastAsia="zh-CN"/>
                <w14:textFill>
                  <w14:solidFill>
                    <w14:schemeClr w14:val="tx1"/>
                  </w14:solidFill>
                </w14:textFill>
              </w:rPr>
              <w:t>h</w:t>
            </w:r>
            <w:r>
              <w:rPr>
                <w:rFonts w:hint="eastAsia" w:ascii="Times New Roman" w:hAnsi="Times New Roman" w:cs="Times New Roman"/>
                <w:color w:val="000000" w:themeColor="text1"/>
                <w:sz w:val="24"/>
                <w:u w:val="wave"/>
                <w14:textFill>
                  <w14:solidFill>
                    <w14:schemeClr w14:val="tx1"/>
                  </w14:solidFill>
                </w14:textFill>
              </w:rPr>
              <w:t>m</w:t>
            </w:r>
            <w:r>
              <w:rPr>
                <w:rFonts w:hint="eastAsia" w:ascii="Times New Roman" w:hAnsi="Times New Roman" w:cs="Times New Roman"/>
                <w:color w:val="000000" w:themeColor="text1"/>
                <w:sz w:val="24"/>
                <w:u w:val="wave"/>
                <w:vertAlign w:val="superscript"/>
                <w14:textFill>
                  <w14:solidFill>
                    <w14:schemeClr w14:val="tx1"/>
                  </w14:solidFill>
                </w14:textFill>
              </w:rPr>
              <w:t>2</w:t>
            </w:r>
            <w:r>
              <w:rPr>
                <w:rFonts w:hint="eastAsia" w:ascii="Times New Roman" w:hAnsi="Times New Roman" w:cs="Times New Roman"/>
                <w:color w:val="000000" w:themeColor="text1"/>
                <w:sz w:val="24"/>
                <w:u w:val="wave"/>
                <w14:textFill>
                  <w14:solidFill>
                    <w14:schemeClr w14:val="tx1"/>
                  </w14:solidFill>
                </w14:textFill>
              </w:rPr>
              <w:t>，胡枝子2520株、杜鹃2047株、迎春花 1724 株、爬山虎2907 株，撒播草籽5.96hm</w:t>
            </w:r>
            <w:r>
              <w:rPr>
                <w:rFonts w:hint="eastAsia" w:ascii="Times New Roman" w:hAnsi="Times New Roman" w:cs="Times New Roman"/>
                <w:color w:val="000000" w:themeColor="text1"/>
                <w:sz w:val="24"/>
                <w:u w:val="wave"/>
                <w:vertAlign w:val="superscript"/>
                <w14:textFill>
                  <w14:solidFill>
                    <w14:schemeClr w14:val="tx1"/>
                  </w14:solidFill>
                </w14:textFill>
              </w:rPr>
              <w:t>2</w:t>
            </w:r>
            <w:r>
              <w:rPr>
                <w:rFonts w:hint="eastAsia" w:ascii="Times New Roman" w:hAnsi="Times New Roman" w:cs="Times New Roman"/>
                <w:color w:val="000000" w:themeColor="text1"/>
                <w:sz w:val="24"/>
                <w:u w:val="wave"/>
                <w14:textFill>
                  <w14:solidFill>
                    <w14:schemeClr w14:val="tx1"/>
                  </w14:solidFill>
                </w14:textFill>
              </w:rPr>
              <w:t>。</w:t>
            </w:r>
          </w:p>
          <w:p w14:paraId="0E7DF13D">
            <w:pPr>
              <w:pStyle w:val="87"/>
              <w:numPr>
                <w:ilvl w:val="0"/>
                <w:numId w:val="0"/>
              </w:numPr>
              <w:spacing w:line="360" w:lineRule="auto"/>
              <w:ind w:left="0" w:leftChars="0" w:firstLine="420" w:firstLineChars="0"/>
              <w:rPr>
                <w:rFonts w:hint="eastAsia" w:ascii="Calibri" w:hAnsi="Calibri" w:cs="Calibri"/>
                <w:color w:val="000000" w:themeColor="text1"/>
                <w:kern w:val="0"/>
                <w:sz w:val="24"/>
                <w:u w:val="wave"/>
                <w:lang w:val="en-US" w:eastAsia="zh-CN"/>
                <w14:textFill>
                  <w14:solidFill>
                    <w14:schemeClr w14:val="tx1"/>
                  </w14:solidFill>
                </w14:textFill>
              </w:rPr>
            </w:pPr>
            <w:r>
              <w:rPr>
                <w:rFonts w:hint="eastAsia" w:cs="Times New Roman"/>
                <w:color w:val="000000" w:themeColor="text1"/>
                <w:sz w:val="24"/>
                <w:u w:val="wave"/>
                <w:lang w:val="en-US" w:eastAsia="zh-CN"/>
                <w14:textFill>
                  <w14:solidFill>
                    <w14:schemeClr w14:val="tx1"/>
                  </w14:solidFill>
                </w14:textFill>
              </w:rPr>
              <w:t>4）</w:t>
            </w:r>
            <w:r>
              <w:rPr>
                <w:rFonts w:ascii="Times New Roman" w:hAnsi="Times New Roman" w:cs="Times New Roman"/>
                <w:color w:val="000000" w:themeColor="text1"/>
                <w:sz w:val="24"/>
                <w:u w:val="wave"/>
                <w14:textFill>
                  <w14:solidFill>
                    <w14:schemeClr w14:val="tx1"/>
                  </w14:solidFill>
                </w14:textFill>
              </w:rPr>
              <w:t>升压站区：升压站施工后期，需对拟采取植物措施的区域进行填凹平整、覆盖表层土。</w:t>
            </w:r>
            <w:r>
              <w:rPr>
                <w:rFonts w:hint="eastAsia" w:ascii="Times New Roman" w:hAnsi="Times New Roman" w:cs="Times New Roman"/>
                <w:color w:val="000000" w:themeColor="text1"/>
                <w:kern w:val="0"/>
                <w:sz w:val="24"/>
                <w:u w:val="wave"/>
                <w14:textFill>
                  <w14:solidFill>
                    <w14:schemeClr w14:val="tx1"/>
                  </w14:solidFill>
                </w14:textFill>
              </w:rPr>
              <w:t>客土喷播植草、直播种草等采用道路工程区相同设计。园林草皮采用人工铺植，草皮类型为马尼拉草皮。马尼拉草喜温暖、湿润环境，草层茂密，分蘖力强，覆盖度大，抗干旱、耐瘠薄，略耐寒，病虫害少，略耐践踏。</w:t>
            </w:r>
            <w:r>
              <w:rPr>
                <w:rFonts w:hint="default" w:ascii="Calibri" w:hAnsi="Calibri" w:cs="Calibri"/>
                <w:color w:val="000000" w:themeColor="text1"/>
                <w:kern w:val="0"/>
                <w:sz w:val="24"/>
                <w:u w:val="wave"/>
                <w14:textFill>
                  <w14:solidFill>
                    <w14:schemeClr w14:val="tx1"/>
                  </w14:solidFill>
                </w14:textFill>
              </w:rPr>
              <w:t>站区围墙外骨架护坡1520m</w:t>
            </w:r>
            <w:r>
              <w:rPr>
                <w:rFonts w:hint="default" w:ascii="Calibri" w:hAnsi="Calibri" w:cs="Calibri"/>
                <w:color w:val="000000" w:themeColor="text1"/>
                <w:kern w:val="0"/>
                <w:sz w:val="24"/>
                <w:u w:val="wave"/>
                <w:vertAlign w:val="superscript"/>
                <w14:textFill>
                  <w14:solidFill>
                    <w14:schemeClr w14:val="tx1"/>
                  </w14:solidFill>
                </w14:textFill>
              </w:rPr>
              <w:t>2</w:t>
            </w:r>
            <w:r>
              <w:rPr>
                <w:rFonts w:hint="default" w:ascii="Calibri" w:hAnsi="Calibri" w:cs="Calibri"/>
                <w:color w:val="000000" w:themeColor="text1"/>
                <w:kern w:val="0"/>
                <w:sz w:val="24"/>
                <w:u w:val="wave"/>
                <w14:textFill>
                  <w14:solidFill>
                    <w14:schemeClr w14:val="tx1"/>
                  </w14:solidFill>
                </w14:textFill>
              </w:rPr>
              <w:t>，站区内园林绿化0.15hm</w:t>
            </w:r>
            <w:r>
              <w:rPr>
                <w:rFonts w:hint="default" w:ascii="Calibri" w:hAnsi="Calibri" w:cs="Calibri"/>
                <w:color w:val="000000" w:themeColor="text1"/>
                <w:kern w:val="0"/>
                <w:sz w:val="24"/>
                <w:u w:val="wave"/>
                <w:vertAlign w:val="superscript"/>
                <w14:textFill>
                  <w14:solidFill>
                    <w14:schemeClr w14:val="tx1"/>
                  </w14:solidFill>
                </w14:textFill>
              </w:rPr>
              <w:t>2</w:t>
            </w:r>
            <w:r>
              <w:rPr>
                <w:rFonts w:hint="default" w:ascii="Calibri" w:hAnsi="Calibri" w:cs="Calibri"/>
                <w:color w:val="000000" w:themeColor="text1"/>
                <w:kern w:val="0"/>
                <w:sz w:val="24"/>
                <w:u w:val="wave"/>
                <w14:textFill>
                  <w14:solidFill>
                    <w14:schemeClr w14:val="tx1"/>
                  </w14:solidFill>
                </w14:textFill>
              </w:rPr>
              <w:t>。</w:t>
            </w:r>
            <w:r>
              <w:rPr>
                <w:rFonts w:hint="eastAsia" w:ascii="Calibri" w:hAnsi="Calibri" w:cs="Calibri"/>
                <w:color w:val="000000" w:themeColor="text1"/>
                <w:kern w:val="0"/>
                <w:sz w:val="24"/>
                <w:u w:val="wave"/>
                <w:lang w:val="en-US" w:eastAsia="zh-CN"/>
                <w14:textFill>
                  <w14:solidFill>
                    <w14:schemeClr w14:val="tx1"/>
                  </w14:solidFill>
                </w14:textFill>
              </w:rPr>
              <w:t xml:space="preserve"> </w:t>
            </w:r>
          </w:p>
          <w:p w14:paraId="2623A4C8">
            <w:pPr>
              <w:pStyle w:val="87"/>
              <w:numPr>
                <w:ilvl w:val="0"/>
                <w:numId w:val="0"/>
              </w:numPr>
              <w:spacing w:line="360" w:lineRule="auto"/>
              <w:ind w:left="0" w:leftChars="0" w:firstLine="420" w:firstLineChars="0"/>
              <w:rPr>
                <w:rFonts w:hint="eastAsia" w:cs="Times New Roman"/>
                <w:color w:val="000000" w:themeColor="text1"/>
                <w:kern w:val="0"/>
                <w:sz w:val="24"/>
                <w:u w:val="wave"/>
                <w:lang w:val="en-US" w:eastAsia="zh-CN"/>
                <w14:textFill>
                  <w14:solidFill>
                    <w14:schemeClr w14:val="tx1"/>
                  </w14:solidFill>
                </w14:textFill>
              </w:rPr>
            </w:pPr>
            <w:r>
              <w:rPr>
                <w:rFonts w:hint="eastAsia" w:cs="Times New Roman"/>
                <w:color w:val="000000" w:themeColor="text1"/>
                <w:kern w:val="0"/>
                <w:sz w:val="24"/>
                <w:u w:val="wave"/>
                <w:lang w:val="en-US" w:eastAsia="zh-CN"/>
                <w14:textFill>
                  <w14:solidFill>
                    <w14:schemeClr w14:val="tx1"/>
                  </w14:solidFill>
                </w14:textFill>
              </w:rPr>
              <w:t>5）施工场地区：施工生产区立地条件较好，粘土层厚，通过整治后，采用直播种草、种植乔木恢复地表植被，选用适生适地的草种，使人工植被与周边环境协调。撒播草籽0.4hm</w:t>
            </w:r>
            <w:r>
              <w:rPr>
                <w:rFonts w:hint="eastAsia" w:cs="Times New Roman"/>
                <w:color w:val="000000" w:themeColor="text1"/>
                <w:kern w:val="0"/>
                <w:sz w:val="24"/>
                <w:u w:val="wave"/>
                <w:vertAlign w:val="superscript"/>
                <w:lang w:val="en-US" w:eastAsia="zh-CN"/>
                <w14:textFill>
                  <w14:solidFill>
                    <w14:schemeClr w14:val="tx1"/>
                  </w14:solidFill>
                </w14:textFill>
              </w:rPr>
              <w:t>2</w:t>
            </w:r>
            <w:r>
              <w:rPr>
                <w:rFonts w:hint="eastAsia" w:cs="Times New Roman"/>
                <w:color w:val="000000" w:themeColor="text1"/>
                <w:kern w:val="0"/>
                <w:sz w:val="24"/>
                <w:u w:val="wave"/>
                <w:lang w:val="en-US" w:eastAsia="zh-CN"/>
                <w14:textFill>
                  <w14:solidFill>
                    <w14:schemeClr w14:val="tx1"/>
                  </w14:solidFill>
                </w14:textFill>
              </w:rPr>
              <w:t>、栽植杜鹃 800 株。</w:t>
            </w:r>
          </w:p>
          <w:p w14:paraId="171CADA0">
            <w:pPr>
              <w:pStyle w:val="87"/>
              <w:spacing w:line="360" w:lineRule="auto"/>
              <w:ind w:firstLine="480" w:firstLineChars="200"/>
              <w:rPr>
                <w:rFonts w:hint="default" w:cs="Times New Roman"/>
                <w:color w:val="000000" w:themeColor="text1"/>
                <w:kern w:val="0"/>
                <w:sz w:val="24"/>
                <w:u w:val="wave"/>
                <w:lang w:val="en-US" w:eastAsia="zh-CN"/>
                <w14:textFill>
                  <w14:solidFill>
                    <w14:schemeClr w14:val="tx1"/>
                  </w14:solidFill>
                </w14:textFill>
              </w:rPr>
            </w:pPr>
            <w:r>
              <w:rPr>
                <w:rFonts w:hint="eastAsia" w:cs="Times New Roman"/>
                <w:color w:val="000000" w:themeColor="text1"/>
                <w:kern w:val="0"/>
                <w:sz w:val="24"/>
                <w:u w:val="wave"/>
                <w:lang w:val="en-US" w:eastAsia="zh-CN"/>
                <w14:textFill>
                  <w14:solidFill>
                    <w14:schemeClr w14:val="tx1"/>
                  </w14:solidFill>
                </w14:textFill>
              </w:rPr>
              <w:t>6）集电线路区：施工区不宜种植乔灌木。根据立地条件和植被恢复情况，在回填表土开展土地整治后，对扰动区域采用撒播草籽进行植被恢复，撒播草籽0.1hm</w:t>
            </w:r>
            <w:r>
              <w:rPr>
                <w:rFonts w:hint="eastAsia" w:cs="Times New Roman"/>
                <w:color w:val="000000" w:themeColor="text1"/>
                <w:kern w:val="0"/>
                <w:sz w:val="24"/>
                <w:u w:val="wave"/>
                <w:vertAlign w:val="superscript"/>
                <w:lang w:val="en-US" w:eastAsia="zh-CN"/>
                <w14:textFill>
                  <w14:solidFill>
                    <w14:schemeClr w14:val="tx1"/>
                  </w14:solidFill>
                </w14:textFill>
              </w:rPr>
              <w:t>2</w:t>
            </w:r>
            <w:r>
              <w:rPr>
                <w:rFonts w:hint="eastAsia" w:cs="Times New Roman"/>
                <w:color w:val="000000" w:themeColor="text1"/>
                <w:kern w:val="0"/>
                <w:sz w:val="24"/>
                <w:u w:val="wave"/>
                <w:lang w:val="en-US" w:eastAsia="zh-CN"/>
                <w14:textFill>
                  <w14:solidFill>
                    <w14:schemeClr w14:val="tx1"/>
                  </w14:solidFill>
                </w14:textFill>
              </w:rPr>
              <w:t>。植被建设过程中，可适当移植当地土生草类，提高林草植被覆盖率。</w:t>
            </w:r>
          </w:p>
          <w:p w14:paraId="6CFCF84B">
            <w:pPr>
              <w:pStyle w:val="87"/>
              <w:spacing w:line="360" w:lineRule="auto"/>
              <w:ind w:firstLine="480" w:firstLineChars="200"/>
              <w:rPr>
                <w:rFonts w:hint="eastAsia" w:cs="Times New Roman"/>
                <w:color w:val="000000" w:themeColor="text1"/>
                <w:kern w:val="0"/>
                <w:sz w:val="24"/>
                <w:u w:val="wave"/>
                <w:lang w:val="en-US" w:eastAsia="zh-CN"/>
                <w14:textFill>
                  <w14:solidFill>
                    <w14:schemeClr w14:val="tx1"/>
                  </w14:solidFill>
                </w14:textFill>
              </w:rPr>
            </w:pPr>
            <w:r>
              <w:rPr>
                <w:rFonts w:hint="eastAsia" w:cs="Times New Roman"/>
                <w:color w:val="000000" w:themeColor="text1"/>
                <w:kern w:val="0"/>
                <w:sz w:val="24"/>
                <w:u w:val="wave"/>
                <w:lang w:val="en-US" w:eastAsia="zh-CN"/>
                <w14:textFill>
                  <w14:solidFill>
                    <w14:schemeClr w14:val="tx1"/>
                  </w14:solidFill>
                </w14:textFill>
              </w:rPr>
              <w:t>根据《一般工业固体废物贮存和填埋污染控制标准》（GB18599-2020）封场及土地复垦要求，在 2 年内启动封场作业，并采取相应的污染防治措施，防止造成环境污染和生态破坏。封场计划可分期实施；严格控制封场坡度，防止雨水侵蚀；应覆盖土层，其厚度视固体废物的颗粒度大小和拟种植物种类确定；封场后，仍需对覆盖层进行维护管理，防止覆盖层不均匀沉降、开裂；封场后的渣土场应设置标志物，注明封场时间以及使用该土地时应注意的事项；依据当地地形条件、水资源及表土资源等自然环境条件和社会发展需求并按照相关规定进行土地复垦。土地复垦实施过程应满足 TD/T1036 规定的相关土地复垦质量控制要求。土地复垦后用作建设用地的，还应满足 GB36600 的要求；用作农用地的，还应满足 GB15618 的要求。</w:t>
            </w:r>
          </w:p>
          <w:p w14:paraId="28913FD7">
            <w:pPr>
              <w:pStyle w:val="87"/>
              <w:spacing w:line="360" w:lineRule="auto"/>
              <w:ind w:firstLine="480" w:firstLineChars="200"/>
              <w:rPr>
                <w:rFonts w:hint="eastAsia" w:ascii="Times New Roman" w:hAnsi="Times New Roman" w:cs="Times New Roman"/>
                <w:color w:val="000000" w:themeColor="text1"/>
                <w:kern w:val="0"/>
                <w:sz w:val="24"/>
                <w:u w:val="wave"/>
                <w14:textFill>
                  <w14:solidFill>
                    <w14:schemeClr w14:val="tx1"/>
                  </w14:solidFill>
                </w14:textFill>
              </w:rPr>
            </w:pPr>
            <w:r>
              <w:rPr>
                <w:rFonts w:hint="eastAsia" w:cs="Times New Roman"/>
                <w:color w:val="000000" w:themeColor="text1"/>
                <w:kern w:val="0"/>
                <w:sz w:val="24"/>
                <w:u w:val="wave"/>
                <w:lang w:val="en-US" w:eastAsia="zh-CN"/>
                <w14:textFill>
                  <w14:solidFill>
                    <w14:schemeClr w14:val="tx1"/>
                  </w14:solidFill>
                </w14:textFill>
              </w:rPr>
              <w:t>（五）</w:t>
            </w:r>
            <w:r>
              <w:rPr>
                <w:rFonts w:hint="eastAsia" w:ascii="Times New Roman" w:hAnsi="Times New Roman" w:cs="Times New Roman"/>
                <w:color w:val="000000" w:themeColor="text1"/>
                <w:kern w:val="0"/>
                <w:sz w:val="24"/>
                <w:u w:val="wave"/>
                <w14:textFill>
                  <w14:solidFill>
                    <w14:schemeClr w14:val="tx1"/>
                  </w14:solidFill>
                </w14:textFill>
              </w:rPr>
              <w:t>表土剥离剥离暂存及处置方案：</w:t>
            </w:r>
          </w:p>
          <w:p w14:paraId="652CB7DF">
            <w:pPr>
              <w:pStyle w:val="87"/>
              <w:spacing w:line="360" w:lineRule="auto"/>
              <w:ind w:firstLine="480" w:firstLineChars="200"/>
              <w:rPr>
                <w:rFonts w:hint="default" w:ascii="Calibri" w:hAnsi="Calibri" w:eastAsia="宋体" w:cs="Calibri"/>
                <w:color w:val="000000" w:themeColor="text1"/>
                <w:kern w:val="0"/>
                <w:sz w:val="24"/>
                <w:u w:val="wave"/>
                <w:lang w:val="en-US" w:eastAsia="zh-CN"/>
                <w14:textFill>
                  <w14:solidFill>
                    <w14:schemeClr w14:val="tx1"/>
                  </w14:solidFill>
                </w14:textFill>
              </w:rPr>
            </w:pPr>
            <w:r>
              <w:rPr>
                <w:rFonts w:hint="eastAsia" w:ascii="Calibri" w:hAnsi="Calibri" w:cs="Calibri"/>
                <w:color w:val="000000" w:themeColor="text1"/>
                <w:kern w:val="0"/>
                <w:sz w:val="24"/>
                <w:u w:val="wave"/>
                <w:lang w:val="en-US" w:eastAsia="zh-CN"/>
                <w14:textFill>
                  <w14:solidFill>
                    <w14:schemeClr w14:val="tx1"/>
                  </w14:solidFill>
                </w14:textFill>
              </w:rPr>
              <w:t>风机平台区：</w:t>
            </w:r>
          </w:p>
          <w:p w14:paraId="38088D7E">
            <w:pPr>
              <w:pStyle w:val="87"/>
              <w:spacing w:line="360" w:lineRule="auto"/>
              <w:ind w:firstLine="480" w:firstLineChars="200"/>
              <w:rPr>
                <w:rFonts w:hint="eastAsia" w:ascii="Times New Roman" w:hAnsi="Times New Roman" w:cs="Times New Roman"/>
                <w:color w:val="000000" w:themeColor="text1"/>
                <w:kern w:val="0"/>
                <w:sz w:val="24"/>
                <w:u w:val="wave"/>
                <w14:textFill>
                  <w14:solidFill>
                    <w14:schemeClr w14:val="tx1"/>
                  </w14:solidFill>
                </w14:textFill>
              </w:rPr>
            </w:pPr>
            <w:r>
              <w:rPr>
                <w:rFonts w:hint="eastAsia" w:ascii="仿宋" w:hAnsi="仿宋" w:eastAsia="仿宋" w:cs="仿宋"/>
                <w:color w:val="000000" w:themeColor="text1"/>
                <w:kern w:val="0"/>
                <w:sz w:val="24"/>
                <w:u w:val="wave"/>
                <w14:textFill>
                  <w14:solidFill>
                    <w14:schemeClr w14:val="tx1"/>
                  </w14:solidFill>
                </w14:textFill>
              </w:rPr>
              <w:t>①</w:t>
            </w:r>
            <w:r>
              <w:rPr>
                <w:rFonts w:hint="eastAsia" w:ascii="Times New Roman" w:hAnsi="Times New Roman" w:cs="Times New Roman"/>
                <w:color w:val="000000" w:themeColor="text1"/>
                <w:kern w:val="0"/>
                <w:sz w:val="24"/>
                <w:u w:val="wave"/>
                <w14:textFill>
                  <w14:solidFill>
                    <w14:schemeClr w14:val="tx1"/>
                  </w14:solidFill>
                </w14:textFill>
              </w:rPr>
              <w:t>表土资源对于后期植被恢复十分重要。施工前应剥离施工区的表土，在平台边缘设置表土堆置点，集中堆放保存。土地平整6.67hm</w:t>
            </w:r>
            <w:r>
              <w:rPr>
                <w:rFonts w:hint="eastAsia" w:ascii="Times New Roman" w:hAnsi="Times New Roman" w:cs="Times New Roman"/>
                <w:color w:val="000000" w:themeColor="text1"/>
                <w:kern w:val="0"/>
                <w:sz w:val="24"/>
                <w:u w:val="wave"/>
                <w:vertAlign w:val="superscript"/>
                <w14:textFill>
                  <w14:solidFill>
                    <w14:schemeClr w14:val="tx1"/>
                  </w14:solidFill>
                </w14:textFill>
              </w:rPr>
              <w:t>2</w:t>
            </w:r>
            <w:r>
              <w:rPr>
                <w:rFonts w:hint="eastAsia" w:ascii="Times New Roman" w:hAnsi="Times New Roman" w:cs="Times New Roman"/>
                <w:color w:val="000000" w:themeColor="text1"/>
                <w:kern w:val="0"/>
                <w:sz w:val="24"/>
                <w:u w:val="wave"/>
                <w14:textFill>
                  <w14:solidFill>
                    <w14:schemeClr w14:val="tx1"/>
                  </w14:solidFill>
                </w14:textFill>
              </w:rPr>
              <w:t>，表土剥离0.95万m</w:t>
            </w:r>
            <w:r>
              <w:rPr>
                <w:rFonts w:hint="eastAsia" w:ascii="Times New Roman" w:hAnsi="Times New Roman" w:cs="Times New Roman"/>
                <w:color w:val="000000" w:themeColor="text1"/>
                <w:kern w:val="0"/>
                <w:sz w:val="24"/>
                <w:u w:val="wave"/>
                <w:vertAlign w:val="superscript"/>
                <w14:textFill>
                  <w14:solidFill>
                    <w14:schemeClr w14:val="tx1"/>
                  </w14:solidFill>
                </w14:textFill>
              </w:rPr>
              <w:t>3</w:t>
            </w:r>
            <w:r>
              <w:rPr>
                <w:rFonts w:hint="eastAsia" w:ascii="Times New Roman" w:hAnsi="Times New Roman" w:cs="Times New Roman"/>
                <w:color w:val="000000" w:themeColor="text1"/>
                <w:kern w:val="0"/>
                <w:sz w:val="24"/>
                <w:u w:val="wave"/>
                <w14:textFill>
                  <w14:solidFill>
                    <w14:schemeClr w14:val="tx1"/>
                  </w14:solidFill>
                </w14:textFill>
              </w:rPr>
              <w:t>，表土回填2.01万m</w:t>
            </w:r>
            <w:r>
              <w:rPr>
                <w:rFonts w:hint="eastAsia" w:ascii="Times New Roman" w:hAnsi="Times New Roman" w:cs="Times New Roman"/>
                <w:color w:val="000000" w:themeColor="text1"/>
                <w:kern w:val="0"/>
                <w:sz w:val="24"/>
                <w:u w:val="wave"/>
                <w:vertAlign w:val="superscript"/>
                <w14:textFill>
                  <w14:solidFill>
                    <w14:schemeClr w14:val="tx1"/>
                  </w14:solidFill>
                </w14:textFill>
              </w:rPr>
              <w:t>3</w:t>
            </w:r>
            <w:r>
              <w:rPr>
                <w:rFonts w:hint="eastAsia" w:ascii="Times New Roman" w:hAnsi="Times New Roman" w:cs="Times New Roman"/>
                <w:color w:val="000000" w:themeColor="text1"/>
                <w:kern w:val="0"/>
                <w:sz w:val="24"/>
                <w:u w:val="wave"/>
                <w14:textFill>
                  <w14:solidFill>
                    <w14:schemeClr w14:val="tx1"/>
                  </w14:solidFill>
                </w14:textFill>
              </w:rPr>
              <w:t>，边角处用人工收集表土。</w:t>
            </w:r>
          </w:p>
          <w:p w14:paraId="0EA7B85B">
            <w:pPr>
              <w:pStyle w:val="87"/>
              <w:spacing w:line="360" w:lineRule="auto"/>
              <w:ind w:firstLine="480" w:firstLineChars="200"/>
              <w:rPr>
                <w:rFonts w:hint="eastAsia" w:ascii="Times New Roman" w:hAnsi="Times New Roman" w:cs="Times New Roman"/>
                <w:color w:val="000000" w:themeColor="text1"/>
                <w:kern w:val="0"/>
                <w:sz w:val="24"/>
                <w:u w:val="wave"/>
                <w14:textFill>
                  <w14:solidFill>
                    <w14:schemeClr w14:val="tx1"/>
                  </w14:solidFill>
                </w14:textFill>
              </w:rPr>
            </w:pPr>
            <w:r>
              <w:rPr>
                <w:rFonts w:hint="eastAsia" w:ascii="仿宋" w:hAnsi="仿宋" w:eastAsia="仿宋" w:cs="仿宋"/>
                <w:color w:val="000000" w:themeColor="text1"/>
                <w:kern w:val="0"/>
                <w:sz w:val="24"/>
                <w:u w:val="wave"/>
                <w14:textFill>
                  <w14:solidFill>
                    <w14:schemeClr w14:val="tx1"/>
                  </w14:solidFill>
                </w14:textFill>
              </w:rPr>
              <w:t>②</w:t>
            </w:r>
            <w:r>
              <w:rPr>
                <w:rFonts w:hint="eastAsia" w:ascii="Times New Roman" w:hAnsi="Times New Roman" w:cs="Times New Roman"/>
                <w:color w:val="000000" w:themeColor="text1"/>
                <w:kern w:val="0"/>
                <w:sz w:val="24"/>
                <w:u w:val="wave"/>
                <w14:textFill>
                  <w14:solidFill>
                    <w14:schemeClr w14:val="tx1"/>
                  </w14:solidFill>
                </w14:textFill>
              </w:rPr>
              <w:t>表土保护：表土堆置点应采取临时苫盖、临时拦挡、临时排水设施，减少表土流失。堆置点周边，应采用临时挡坎进行拦挡，挡土坎外侧，应开挖临时排水沟，堆土表面，应采用无纺布进行临时苫盖。</w:t>
            </w:r>
          </w:p>
          <w:p w14:paraId="71D98102">
            <w:pPr>
              <w:pStyle w:val="87"/>
              <w:spacing w:line="360" w:lineRule="auto"/>
              <w:ind w:firstLine="480" w:firstLineChars="200"/>
              <w:rPr>
                <w:rFonts w:hint="eastAsia" w:ascii="Times New Roman" w:hAnsi="Times New Roman" w:eastAsia="宋体" w:cs="Times New Roman"/>
                <w:color w:val="000000" w:themeColor="text1"/>
                <w:kern w:val="0"/>
                <w:sz w:val="24"/>
                <w:u w:val="wave"/>
                <w:lang w:eastAsia="zh-CN"/>
                <w14:textFill>
                  <w14:solidFill>
                    <w14:schemeClr w14:val="tx1"/>
                  </w14:solidFill>
                </w14:textFill>
              </w:rPr>
            </w:pPr>
            <w:r>
              <w:rPr>
                <w:rFonts w:hint="eastAsia" w:ascii="仿宋" w:hAnsi="仿宋" w:eastAsia="仿宋" w:cs="仿宋"/>
                <w:color w:val="000000" w:themeColor="text1"/>
                <w:kern w:val="0"/>
                <w:sz w:val="24"/>
                <w:u w:val="wave"/>
                <w14:textFill>
                  <w14:solidFill>
                    <w14:schemeClr w14:val="tx1"/>
                  </w14:solidFill>
                </w14:textFill>
              </w:rPr>
              <w:t>③</w:t>
            </w:r>
            <w:r>
              <w:rPr>
                <w:rFonts w:hint="eastAsia" w:ascii="Times New Roman" w:hAnsi="Times New Roman" w:cs="Times New Roman"/>
                <w:color w:val="000000" w:themeColor="text1"/>
                <w:kern w:val="0"/>
                <w:sz w:val="24"/>
                <w:u w:val="wave"/>
                <w14:textFill>
                  <w14:solidFill>
                    <w14:schemeClr w14:val="tx1"/>
                  </w14:solidFill>
                </w14:textFill>
              </w:rPr>
              <w:t>表土利用：根据施工进度，及时回填表土。风机平台场平结束后，应开展边坡的修整和表土回填利用工作；风机安装后，应开展平台的土地整治和表土回填工作。风机平台剥离的表土全部在平台内回填利用</w:t>
            </w:r>
            <w:r>
              <w:rPr>
                <w:rFonts w:hint="eastAsia" w:cs="Times New Roman"/>
                <w:color w:val="000000" w:themeColor="text1"/>
                <w:kern w:val="0"/>
                <w:sz w:val="24"/>
                <w:u w:val="wave"/>
                <w:lang w:eastAsia="zh-CN"/>
                <w14:textFill>
                  <w14:solidFill>
                    <w14:schemeClr w14:val="tx1"/>
                  </w14:solidFill>
                </w14:textFill>
              </w:rPr>
              <w:t>。</w:t>
            </w:r>
          </w:p>
          <w:p w14:paraId="6848E936">
            <w:pPr>
              <w:pStyle w:val="4"/>
              <w:ind w:firstLine="480" w:firstLineChars="200"/>
              <w:rPr>
                <w:rFonts w:hint="eastAsia"/>
                <w:b w:val="0"/>
                <w:bCs w:val="0"/>
                <w:color w:val="000000" w:themeColor="text1"/>
                <w:u w:val="wave"/>
                <w:lang w:val="en-US" w:eastAsia="zh-CN"/>
                <w14:textFill>
                  <w14:solidFill>
                    <w14:schemeClr w14:val="tx1"/>
                  </w14:solidFill>
                </w14:textFill>
              </w:rPr>
            </w:pPr>
            <w:r>
              <w:rPr>
                <w:rFonts w:hint="eastAsia"/>
                <w:b w:val="0"/>
                <w:bCs w:val="0"/>
                <w:color w:val="000000" w:themeColor="text1"/>
                <w:u w:val="wave"/>
                <w:lang w:val="en-US" w:eastAsia="zh-CN"/>
                <w14:textFill>
                  <w14:solidFill>
                    <w14:schemeClr w14:val="tx1"/>
                  </w14:solidFill>
                </w14:textFill>
              </w:rPr>
              <w:t>道路工程区：</w:t>
            </w:r>
          </w:p>
          <w:p w14:paraId="6E9DEC71">
            <w:pPr>
              <w:ind w:firstLine="480" w:firstLineChars="200"/>
              <w:rPr>
                <w:rFonts w:hint="eastAsia"/>
                <w:color w:val="000000" w:themeColor="text1"/>
                <w:u w:val="wave"/>
                <w14:textFill>
                  <w14:solidFill>
                    <w14:schemeClr w14:val="tx1"/>
                  </w14:solidFill>
                </w14:textFill>
              </w:rPr>
            </w:pPr>
            <w:r>
              <w:rPr>
                <w:rFonts w:hint="eastAsia" w:ascii="Times New Roman" w:hAnsi="Times New Roman" w:cs="Times New Roman"/>
                <w:color w:val="000000" w:themeColor="text1"/>
                <w:kern w:val="0"/>
                <w:sz w:val="24"/>
                <w:u w:val="wave"/>
                <w14:textFill>
                  <w14:solidFill>
                    <w14:schemeClr w14:val="tx1"/>
                  </w14:solidFill>
                </w14:textFill>
              </w:rPr>
              <w:t>各路段剥离的表土，根据现场施工管理要求和施工布置需要，在道路沿线选择宽敞的平地、缓坡地作为堆置点，以利于及时保存和利用，减少转运过程中的流失。同时，表土堆置点最大堆土高度应不超过2m，堆置点周边设置临时挡坎，挡土坎外侧开挖临时排水沟，堆土区域应采用无纺布进行临时苫盖。在开展植被建设工作前，根据施工进度，及时将表土回填至植被</w:t>
            </w:r>
            <w:r>
              <w:rPr>
                <w:rFonts w:hint="eastAsia"/>
                <w:color w:val="000000" w:themeColor="text1"/>
                <w:u w:val="wave"/>
                <w14:textFill>
                  <w14:solidFill>
                    <w14:schemeClr w14:val="tx1"/>
                  </w14:solidFill>
                </w14:textFill>
              </w:rPr>
              <w:t>建设区。</w:t>
            </w:r>
          </w:p>
          <w:p w14:paraId="4F19029D">
            <w:pPr>
              <w:ind w:firstLine="480" w:firstLineChars="200"/>
              <w:rPr>
                <w:rFonts w:hint="default"/>
                <w:u w:val="wave"/>
                <w:lang w:val="en-US" w:eastAsia="zh-CN"/>
              </w:rPr>
            </w:pPr>
            <w:r>
              <w:rPr>
                <w:rFonts w:hint="eastAsia" w:ascii="仿宋" w:hAnsi="仿宋" w:eastAsia="仿宋" w:cs="仿宋"/>
                <w:u w:val="wave"/>
                <w:lang w:val="en-US" w:eastAsia="zh-CN"/>
              </w:rPr>
              <w:t>①</w:t>
            </w:r>
            <w:r>
              <w:rPr>
                <w:rFonts w:hint="default"/>
                <w:u w:val="wave"/>
                <w:lang w:val="en-US" w:eastAsia="zh-CN"/>
              </w:rPr>
              <w:t>表土剥离：为保护和利用表土资源，提高植被建设的林草恢复效果，施工前应对施工区域的表土进行剥离。表土剥离需根据用地类型确定，在措施总量中统计剥离总量，不在典型设计中计列数量。由于道路多沿山脊布线，土层薄，表土资源较少，以机械为主、人工相辅的方式剥离表土。</w:t>
            </w:r>
          </w:p>
          <w:p w14:paraId="650276B2">
            <w:pPr>
              <w:ind w:firstLine="480" w:firstLineChars="200"/>
              <w:rPr>
                <w:rFonts w:hint="default"/>
                <w:u w:val="wave"/>
                <w:lang w:val="en-US" w:eastAsia="zh-CN"/>
              </w:rPr>
            </w:pPr>
            <w:r>
              <w:rPr>
                <w:rFonts w:hint="eastAsia" w:ascii="仿宋" w:hAnsi="仿宋" w:eastAsia="仿宋" w:cs="仿宋"/>
                <w:u w:val="wave"/>
                <w:lang w:val="en-US" w:eastAsia="zh-CN"/>
              </w:rPr>
              <w:t>②</w:t>
            </w:r>
            <w:r>
              <w:rPr>
                <w:rFonts w:hint="default"/>
                <w:u w:val="wave"/>
                <w:lang w:val="en-US" w:eastAsia="zh-CN"/>
              </w:rPr>
              <w:t>表土保护：各路段剥离的表土，根据现场施工管理要求和施工布置需要，在道路沿线选择宽敞的平地、缓坡地作为堆置点，以利于及时保存和利用，减少转运过程中的流失。同时，表土堆置点最大堆土高度应不超过2m，堆置点周边设置临时挡坎，挡土坎外侧开挖临时排水沟，堆土区域应采用无纺布进行临时苫盖。</w:t>
            </w:r>
          </w:p>
          <w:p w14:paraId="41DD46A7">
            <w:pPr>
              <w:ind w:firstLine="480" w:firstLineChars="200"/>
              <w:rPr>
                <w:rFonts w:hint="default"/>
                <w:u w:val="wave"/>
                <w:lang w:val="en-US" w:eastAsia="zh-CN"/>
              </w:rPr>
            </w:pPr>
            <w:r>
              <w:rPr>
                <w:rFonts w:hint="eastAsia" w:ascii="仿宋" w:hAnsi="仿宋" w:eastAsia="仿宋" w:cs="仿宋"/>
                <w:u w:val="wave"/>
                <w:lang w:val="en-US" w:eastAsia="zh-CN"/>
              </w:rPr>
              <w:t>③</w:t>
            </w:r>
            <w:r>
              <w:rPr>
                <w:rFonts w:hint="default"/>
                <w:u w:val="wave"/>
                <w:lang w:val="en-US" w:eastAsia="zh-CN"/>
              </w:rPr>
              <w:t>表土利用：在开展植被建设工作前，根据施工进度，及时将表土回填至植被建设区。</w:t>
            </w:r>
          </w:p>
          <w:p w14:paraId="20EFE1F9">
            <w:pPr>
              <w:pStyle w:val="4"/>
              <w:ind w:firstLine="480" w:firstLineChars="200"/>
              <w:rPr>
                <w:rFonts w:hint="eastAsia"/>
                <w:b w:val="0"/>
                <w:bCs w:val="0"/>
                <w:i w:val="0"/>
                <w:iCs w:val="0"/>
                <w:color w:val="000000" w:themeColor="text1"/>
                <w:u w:val="wave"/>
                <w:lang w:val="en-US" w:eastAsia="zh-CN"/>
                <w14:textFill>
                  <w14:solidFill>
                    <w14:schemeClr w14:val="tx1"/>
                  </w14:solidFill>
                </w14:textFill>
              </w:rPr>
            </w:pPr>
            <w:r>
              <w:rPr>
                <w:rFonts w:hint="eastAsia"/>
                <w:b w:val="0"/>
                <w:bCs w:val="0"/>
                <w:i w:val="0"/>
                <w:iCs w:val="0"/>
                <w:color w:val="000000" w:themeColor="text1"/>
                <w:u w:val="wave"/>
                <w:lang w:val="en-US" w:eastAsia="zh-CN"/>
                <w14:textFill>
                  <w14:solidFill>
                    <w14:schemeClr w14:val="tx1"/>
                  </w14:solidFill>
                </w14:textFill>
              </w:rPr>
              <w:t>弃渣场区：</w:t>
            </w:r>
          </w:p>
          <w:p w14:paraId="64A193EC">
            <w:pPr>
              <w:ind w:firstLine="480" w:firstLineChars="200"/>
              <w:rPr>
                <w:rFonts w:hint="default"/>
                <w:u w:val="wave"/>
                <w:lang w:val="en-US" w:eastAsia="zh-CN"/>
              </w:rPr>
            </w:pPr>
            <w:r>
              <w:rPr>
                <w:rFonts w:hint="default"/>
                <w:u w:val="wave"/>
                <w:lang w:val="en-US" w:eastAsia="zh-CN"/>
              </w:rPr>
              <w:t>弃渣施工过程中应采取临时防护措施，沟道型弃渣场应设置拦挡工程。应预先对弃渣场表土进行剥离，并集中在场内不影响施工的角落堆放，表面采用彩条布覆盖防护，坡脚采用装土编织袋或石块进行拦挡防护。弃渣作业时应将表土与其他成分的弃渣分开堆放，以便弃渣完成后将渣场表面覆盖表土，使之达到可恢复利用状态，充分利用土地资源。弃渣设置必要的防护设施和排水设施，弃土场施工过程做到先挡后弃，防止水土流失</w:t>
            </w:r>
            <w:r>
              <w:rPr>
                <w:rFonts w:hint="eastAsia"/>
                <w:u w:val="wave"/>
                <w:lang w:val="en-US" w:eastAsia="zh-CN"/>
              </w:rPr>
              <w:t>。</w:t>
            </w:r>
          </w:p>
          <w:p w14:paraId="7C1D0820">
            <w:pPr>
              <w:ind w:firstLine="480" w:firstLineChars="200"/>
              <w:rPr>
                <w:rFonts w:hint="default" w:ascii="Calibri" w:hAnsi="Calibri" w:cs="Calibri"/>
                <w:u w:val="wave"/>
                <w:lang w:val="en-US" w:eastAsia="zh-CN"/>
              </w:rPr>
            </w:pPr>
            <w:r>
              <w:rPr>
                <w:rFonts w:hint="eastAsia" w:ascii="仿宋" w:hAnsi="仿宋" w:eastAsia="仿宋" w:cs="仿宋"/>
                <w:u w:val="wave"/>
                <w:lang w:val="en-US" w:eastAsia="zh-CN"/>
              </w:rPr>
              <w:t>①</w:t>
            </w:r>
            <w:r>
              <w:rPr>
                <w:rFonts w:hint="default" w:ascii="Calibri" w:hAnsi="Calibri" w:cs="Calibri"/>
                <w:u w:val="wave"/>
                <w:lang w:val="en-US" w:eastAsia="zh-CN"/>
              </w:rPr>
              <w:t>表土剥离：弃渣场施工前均需将弃渣场内的表土剥离并集中保存。表土剥离量根据用地类型确定，共需剥离表土0.</w:t>
            </w:r>
            <w:r>
              <w:rPr>
                <w:rFonts w:hint="eastAsia" w:ascii="Calibri" w:hAnsi="Calibri" w:cs="Calibri"/>
                <w:u w:val="wave"/>
                <w:lang w:val="en-US" w:eastAsia="zh-CN"/>
              </w:rPr>
              <w:t>84</w:t>
            </w:r>
            <w:r>
              <w:rPr>
                <w:rFonts w:hint="default" w:ascii="Calibri" w:hAnsi="Calibri" w:cs="Calibri"/>
                <w:u w:val="wave"/>
                <w:lang w:val="en-US" w:eastAsia="zh-CN"/>
              </w:rPr>
              <w:t>万m</w:t>
            </w:r>
            <w:r>
              <w:rPr>
                <w:rFonts w:hint="default" w:ascii="Calibri" w:hAnsi="Calibri" w:cs="Calibri"/>
                <w:u w:val="wave"/>
                <w:vertAlign w:val="superscript"/>
                <w:lang w:val="en-US" w:eastAsia="zh-CN"/>
              </w:rPr>
              <w:t>3</w:t>
            </w:r>
            <w:r>
              <w:rPr>
                <w:rFonts w:hint="default" w:ascii="Calibri" w:hAnsi="Calibri" w:cs="Calibri"/>
                <w:u w:val="wave"/>
                <w:lang w:val="en-US" w:eastAsia="zh-CN"/>
              </w:rPr>
              <w:t>。</w:t>
            </w:r>
          </w:p>
          <w:p w14:paraId="07611283">
            <w:pPr>
              <w:ind w:firstLine="480" w:firstLineChars="200"/>
              <w:rPr>
                <w:rFonts w:hint="default" w:ascii="Calibri" w:hAnsi="Calibri" w:cs="Calibri"/>
                <w:u w:val="wave"/>
                <w:lang w:val="en-US" w:eastAsia="zh-CN"/>
              </w:rPr>
            </w:pPr>
            <w:r>
              <w:rPr>
                <w:rFonts w:hint="eastAsia" w:ascii="仿宋" w:hAnsi="仿宋" w:eastAsia="仿宋" w:cs="仿宋"/>
                <w:u w:val="wave"/>
                <w:lang w:val="en-US" w:eastAsia="zh-CN"/>
              </w:rPr>
              <w:t>②</w:t>
            </w:r>
            <w:r>
              <w:rPr>
                <w:rFonts w:hint="default" w:ascii="Calibri" w:hAnsi="Calibri" w:cs="Calibri"/>
                <w:u w:val="wave"/>
                <w:lang w:val="en-US" w:eastAsia="zh-CN"/>
              </w:rPr>
              <w:t>表土保护：弃渣作业时应将表土与渣土分开堆放，以便弃渣完成后在渣场表面覆盖表土，使之达到可恢复利用的要求，充分利用土地资源。表土采取无纺布苫盖防护等防护措施，堆置点周边采用临时挡坎进行拦挡，挡土坎外侧设置临时排水沟。</w:t>
            </w:r>
          </w:p>
          <w:p w14:paraId="3A248EFA">
            <w:pPr>
              <w:ind w:firstLine="480" w:firstLineChars="200"/>
              <w:rPr>
                <w:rFonts w:hint="default" w:ascii="Calibri" w:hAnsi="Calibri" w:cs="Calibri"/>
                <w:u w:val="wave"/>
                <w:lang w:val="en-US" w:eastAsia="zh-CN"/>
              </w:rPr>
            </w:pPr>
            <w:r>
              <w:rPr>
                <w:rFonts w:hint="eastAsia" w:ascii="仿宋" w:hAnsi="仿宋" w:eastAsia="仿宋" w:cs="仿宋"/>
                <w:u w:val="wave"/>
                <w:lang w:val="en-US" w:eastAsia="zh-CN"/>
              </w:rPr>
              <w:t>③</w:t>
            </w:r>
            <w:r>
              <w:rPr>
                <w:rFonts w:hint="default" w:ascii="Calibri" w:hAnsi="Calibri" w:cs="Calibri"/>
                <w:u w:val="wave"/>
                <w:lang w:val="en-US" w:eastAsia="zh-CN"/>
              </w:rPr>
              <w:t>表土利用：各弃渣场表土均在本弃渣场回填利用，施工期需根据施工进度，及时回填表土。弃渣场回填利用量为0.</w:t>
            </w:r>
            <w:r>
              <w:rPr>
                <w:rFonts w:hint="eastAsia" w:ascii="Calibri" w:hAnsi="Calibri" w:cs="Calibri"/>
                <w:u w:val="wave"/>
                <w:lang w:val="en-US" w:eastAsia="zh-CN"/>
              </w:rPr>
              <w:t>84</w:t>
            </w:r>
            <w:r>
              <w:rPr>
                <w:rFonts w:hint="default" w:ascii="Calibri" w:hAnsi="Calibri" w:cs="Calibri"/>
                <w:u w:val="wave"/>
                <w:lang w:val="en-US" w:eastAsia="zh-CN"/>
              </w:rPr>
              <w:t>万m</w:t>
            </w:r>
            <w:r>
              <w:rPr>
                <w:rFonts w:hint="default" w:ascii="Calibri" w:hAnsi="Calibri" w:cs="Calibri"/>
                <w:u w:val="wave"/>
                <w:vertAlign w:val="superscript"/>
                <w:lang w:val="en-US" w:eastAsia="zh-CN"/>
              </w:rPr>
              <w:t>3</w:t>
            </w:r>
            <w:r>
              <w:rPr>
                <w:rFonts w:hint="default" w:ascii="Calibri" w:hAnsi="Calibri" w:cs="Calibri"/>
                <w:u w:val="wave"/>
                <w:lang w:val="en-US" w:eastAsia="zh-CN"/>
              </w:rPr>
              <w:t>。</w:t>
            </w:r>
          </w:p>
          <w:p w14:paraId="673AD2EC">
            <w:pPr>
              <w:ind w:firstLine="480" w:firstLineChars="200"/>
              <w:rPr>
                <w:rFonts w:hint="eastAsia" w:ascii="Calibri" w:hAnsi="Calibri" w:cs="Calibri"/>
                <w:u w:val="wave"/>
                <w:lang w:val="en-US" w:eastAsia="zh-CN"/>
              </w:rPr>
            </w:pPr>
            <w:r>
              <w:rPr>
                <w:rFonts w:hint="eastAsia" w:ascii="Calibri" w:hAnsi="Calibri" w:cs="Calibri"/>
                <w:u w:val="wave"/>
                <w:lang w:val="en-US" w:eastAsia="zh-CN"/>
              </w:rPr>
              <w:t>④截排水措施</w:t>
            </w:r>
          </w:p>
          <w:p w14:paraId="226AC7C3">
            <w:pPr>
              <w:ind w:firstLine="480" w:firstLineChars="200"/>
              <w:rPr>
                <w:rFonts w:hint="default" w:ascii="Calibri" w:hAnsi="Calibri" w:cs="Calibri"/>
                <w:u w:val="wave"/>
                <w:lang w:val="en-US" w:eastAsia="zh-CN"/>
              </w:rPr>
            </w:pPr>
            <w:r>
              <w:rPr>
                <w:rFonts w:hint="eastAsia" w:ascii="Calibri" w:hAnsi="Calibri" w:cs="Calibri"/>
                <w:u w:val="wave"/>
                <w:lang w:val="en-US" w:eastAsia="zh-CN"/>
              </w:rPr>
              <w:t>按照“上截下拦”的原则，该类型弃渣场需在上游沿等高线及边坡修建截水沟，拦截并引开上游坡面径流；弃渣场两侧、下游及弃渣边坡坡顶设置浆砌石排水沟，将场内外汇水排出；堆渣顶应根据渣场推进方向、弃渣方向及积水情况开挖临时排水沟，连接周边浆砌石排水沟；各类截排水沟、临时排水设施须通过沉沙池连接，并通过沉沙池沉降后排入周边排水系统。</w:t>
            </w:r>
          </w:p>
          <w:p w14:paraId="413E42C7">
            <w:pPr>
              <w:pStyle w:val="4"/>
              <w:ind w:firstLine="482" w:firstLineChars="200"/>
              <w:rPr>
                <w:rFonts w:hint="default" w:ascii="Times New Roman" w:hAnsi="Times New Roman" w:eastAsia="宋体" w:cs="Times New Roman"/>
                <w:b/>
                <w:bCs/>
                <w:color w:val="000000" w:themeColor="text1"/>
                <w:kern w:val="0"/>
                <w:sz w:val="24"/>
                <w:szCs w:val="24"/>
                <w:u w:val="wave"/>
                <w:lang w:val="en-US" w:eastAsia="zh-CN" w:bidi="ar-SA"/>
                <w14:textFill>
                  <w14:solidFill>
                    <w14:schemeClr w14:val="tx1"/>
                  </w14:solidFill>
                </w14:textFill>
              </w:rPr>
            </w:pPr>
            <w:r>
              <w:rPr>
                <w:rFonts w:hint="eastAsia" w:cs="Times New Roman"/>
                <w:b/>
                <w:bCs/>
                <w:color w:val="000000" w:themeColor="text1"/>
                <w:kern w:val="0"/>
                <w:sz w:val="24"/>
                <w:szCs w:val="24"/>
                <w:u w:val="wave"/>
                <w:lang w:val="en-US" w:eastAsia="zh-CN" w:bidi="ar-SA"/>
                <w14:textFill>
                  <w14:solidFill>
                    <w14:schemeClr w14:val="tx1"/>
                  </w14:solidFill>
                </w14:textFill>
              </w:rPr>
              <w:t>升压站区：</w:t>
            </w:r>
          </w:p>
          <w:p w14:paraId="57B7BDBC">
            <w:pPr>
              <w:pStyle w:val="4"/>
              <w:ind w:firstLine="480" w:firstLineChars="200"/>
              <w:rPr>
                <w:rFonts w:hint="eastAsia" w:ascii="Times New Roman" w:hAnsi="Times New Roman" w:eastAsia="宋体" w:cs="Times New Roman"/>
                <w:b w:val="0"/>
                <w:bCs w:val="0"/>
                <w:color w:val="000000" w:themeColor="text1"/>
                <w:kern w:val="0"/>
                <w:sz w:val="24"/>
                <w:szCs w:val="24"/>
                <w:u w:val="wav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0"/>
                <w:sz w:val="24"/>
                <w:szCs w:val="24"/>
                <w:u w:val="wave"/>
                <w:lang w:val="en-US" w:eastAsia="zh-CN" w:bidi="ar-SA"/>
                <w14:textFill>
                  <w14:solidFill>
                    <w14:schemeClr w14:val="tx1"/>
                  </w14:solidFill>
                </w14:textFill>
              </w:rPr>
              <w:t>场地挖填施工前应将区域内的表土进行剥离，集中堆放，并采取临时挡护、苫盖措施，用于后期用于场地内的绿化，本区共计剥离回填表土</w:t>
            </w:r>
            <w:r>
              <w:rPr>
                <w:rFonts w:hint="eastAsia" w:cs="Times New Roman"/>
                <w:b w:val="0"/>
                <w:bCs w:val="0"/>
                <w:color w:val="000000" w:themeColor="text1"/>
                <w:kern w:val="0"/>
                <w:sz w:val="24"/>
                <w:szCs w:val="24"/>
                <w:u w:val="wave"/>
                <w:lang w:val="en-US" w:eastAsia="zh-CN" w:bidi="ar-SA"/>
                <w14:textFill>
                  <w14:solidFill>
                    <w14:schemeClr w14:val="tx1"/>
                  </w14:solidFill>
                </w14:textFill>
              </w:rPr>
              <w:t>1300</w:t>
            </w:r>
            <w:r>
              <w:rPr>
                <w:rFonts w:hint="eastAsia" w:ascii="Times New Roman" w:hAnsi="Times New Roman" w:eastAsia="宋体" w:cs="Times New Roman"/>
                <w:b w:val="0"/>
                <w:bCs w:val="0"/>
                <w:color w:val="000000" w:themeColor="text1"/>
                <w:kern w:val="0"/>
                <w:sz w:val="24"/>
                <w:szCs w:val="24"/>
                <w:u w:val="wave"/>
                <w:lang w:val="en-US" w:eastAsia="zh-CN" w:bidi="ar-SA"/>
                <w14:textFill>
                  <w14:solidFill>
                    <w14:schemeClr w14:val="tx1"/>
                  </w14:solidFill>
                </w14:textFill>
              </w:rPr>
              <w:t>m</w:t>
            </w:r>
            <w:r>
              <w:rPr>
                <w:rFonts w:hint="eastAsia" w:ascii="Times New Roman" w:hAnsi="Times New Roman" w:eastAsia="宋体" w:cs="Times New Roman"/>
                <w:b w:val="0"/>
                <w:bCs w:val="0"/>
                <w:color w:val="000000" w:themeColor="text1"/>
                <w:kern w:val="0"/>
                <w:sz w:val="24"/>
                <w:szCs w:val="24"/>
                <w:u w:val="wave"/>
                <w:vertAlign w:val="superscript"/>
                <w:lang w:val="en-US" w:eastAsia="zh-CN" w:bidi="ar-SA"/>
                <w14:textFill>
                  <w14:solidFill>
                    <w14:schemeClr w14:val="tx1"/>
                  </w14:solidFill>
                </w14:textFill>
              </w:rPr>
              <w:t>3</w:t>
            </w:r>
            <w:r>
              <w:rPr>
                <w:rFonts w:hint="eastAsia" w:ascii="Times New Roman" w:hAnsi="Times New Roman" w:eastAsia="宋体" w:cs="Times New Roman"/>
                <w:b w:val="0"/>
                <w:bCs w:val="0"/>
                <w:color w:val="000000" w:themeColor="text1"/>
                <w:kern w:val="0"/>
                <w:sz w:val="24"/>
                <w:szCs w:val="24"/>
                <w:u w:val="wave"/>
                <w:lang w:val="en-US" w:eastAsia="zh-CN" w:bidi="ar-SA"/>
                <w14:textFill>
                  <w14:solidFill>
                    <w14:schemeClr w14:val="tx1"/>
                  </w14:solidFill>
                </w14:textFill>
              </w:rPr>
              <w:t>。</w:t>
            </w:r>
          </w:p>
          <w:p w14:paraId="7C65C2D0">
            <w:pPr>
              <w:pStyle w:val="4"/>
              <w:ind w:firstLine="480" w:firstLineChars="200"/>
              <w:rPr>
                <w:rFonts w:hint="eastAsia" w:cs="Times New Roman"/>
                <w:b w:val="0"/>
                <w:bCs w:val="0"/>
                <w:color w:val="000000" w:themeColor="text1"/>
                <w:kern w:val="0"/>
                <w:sz w:val="24"/>
                <w:szCs w:val="24"/>
                <w:u w:val="wave"/>
                <w:lang w:val="en-US" w:eastAsia="zh-CN" w:bidi="ar-SA"/>
                <w14:textFill>
                  <w14:solidFill>
                    <w14:schemeClr w14:val="tx1"/>
                  </w14:solidFill>
                </w14:textFill>
              </w:rPr>
            </w:pPr>
            <w:r>
              <w:rPr>
                <w:rFonts w:hint="eastAsia" w:cs="Times New Roman"/>
                <w:b w:val="0"/>
                <w:bCs w:val="0"/>
                <w:color w:val="000000" w:themeColor="text1"/>
                <w:kern w:val="0"/>
                <w:sz w:val="24"/>
                <w:szCs w:val="24"/>
                <w:u w:val="wave"/>
                <w:lang w:val="en-US" w:eastAsia="zh-CN" w:bidi="ar-SA"/>
                <w14:textFill>
                  <w14:solidFill>
                    <w14:schemeClr w14:val="tx1"/>
                  </w14:solidFill>
                </w14:textFill>
              </w:rPr>
              <w:t>集电线路区：</w:t>
            </w:r>
          </w:p>
          <w:p w14:paraId="0CF832B1">
            <w:pPr>
              <w:pStyle w:val="4"/>
              <w:ind w:firstLine="480" w:firstLineChars="200"/>
              <w:rPr>
                <w:rFonts w:hint="eastAsia" w:ascii="Times New Roman" w:hAnsi="Times New Roman" w:eastAsia="宋体" w:cs="Times New Roman"/>
                <w:b w:val="0"/>
                <w:bCs w:val="0"/>
                <w:color w:val="000000" w:themeColor="text1"/>
                <w:kern w:val="0"/>
                <w:sz w:val="24"/>
                <w:szCs w:val="24"/>
                <w:u w:val="wav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0"/>
                <w:sz w:val="24"/>
                <w:szCs w:val="24"/>
                <w:u w:val="wave"/>
                <w:lang w:val="en-US" w:eastAsia="zh-CN" w:bidi="ar-SA"/>
                <w14:textFill>
                  <w14:solidFill>
                    <w14:schemeClr w14:val="tx1"/>
                  </w14:solidFill>
                </w14:textFill>
              </w:rPr>
              <w:t>为保护表土资源，同时确保植被恢复效果，直埋电缆沟槽开挖前将区域内的表土进行剥离，并堆放在开挖侧的空地，设置保护措施，后期回填于扰动区域，约</w:t>
            </w:r>
            <w:r>
              <w:rPr>
                <w:rFonts w:hint="eastAsia" w:cs="Times New Roman"/>
                <w:b w:val="0"/>
                <w:bCs w:val="0"/>
                <w:color w:val="000000" w:themeColor="text1"/>
                <w:kern w:val="0"/>
                <w:sz w:val="24"/>
                <w:szCs w:val="24"/>
                <w:u w:val="wave"/>
                <w:lang w:val="en-US" w:eastAsia="zh-CN" w:bidi="ar-SA"/>
                <w14:textFill>
                  <w14:solidFill>
                    <w14:schemeClr w14:val="tx1"/>
                  </w14:solidFill>
                </w14:textFill>
              </w:rPr>
              <w:t>100</w:t>
            </w:r>
            <w:r>
              <w:rPr>
                <w:rFonts w:hint="eastAsia" w:ascii="Times New Roman" w:hAnsi="Times New Roman" w:eastAsia="宋体" w:cs="Times New Roman"/>
                <w:b w:val="0"/>
                <w:bCs w:val="0"/>
                <w:color w:val="000000" w:themeColor="text1"/>
                <w:kern w:val="0"/>
                <w:sz w:val="24"/>
                <w:szCs w:val="24"/>
                <w:u w:val="wave"/>
                <w:lang w:val="en-US" w:eastAsia="zh-CN" w:bidi="ar-SA"/>
                <w14:textFill>
                  <w14:solidFill>
                    <w14:schemeClr w14:val="tx1"/>
                  </w14:solidFill>
                </w14:textFill>
              </w:rPr>
              <w:t>m</w:t>
            </w:r>
            <w:r>
              <w:rPr>
                <w:rFonts w:hint="eastAsia" w:ascii="Times New Roman" w:hAnsi="Times New Roman" w:eastAsia="宋体" w:cs="Times New Roman"/>
                <w:b w:val="0"/>
                <w:bCs w:val="0"/>
                <w:color w:val="000000" w:themeColor="text1"/>
                <w:kern w:val="0"/>
                <w:sz w:val="24"/>
                <w:szCs w:val="24"/>
                <w:u w:val="wave"/>
                <w:vertAlign w:val="superscript"/>
                <w:lang w:val="en-US" w:eastAsia="zh-CN" w:bidi="ar-SA"/>
                <w14:textFill>
                  <w14:solidFill>
                    <w14:schemeClr w14:val="tx1"/>
                  </w14:solidFill>
                </w14:textFill>
              </w:rPr>
              <w:t>3</w:t>
            </w:r>
            <w:r>
              <w:rPr>
                <w:rFonts w:hint="eastAsia" w:ascii="Times New Roman" w:hAnsi="Times New Roman" w:eastAsia="宋体" w:cs="Times New Roman"/>
                <w:b w:val="0"/>
                <w:bCs w:val="0"/>
                <w:color w:val="000000" w:themeColor="text1"/>
                <w:kern w:val="0"/>
                <w:sz w:val="24"/>
                <w:szCs w:val="24"/>
                <w:u w:val="wave"/>
                <w:lang w:val="en-US" w:eastAsia="zh-CN" w:bidi="ar-SA"/>
                <w14:textFill>
                  <w14:solidFill>
                    <w14:schemeClr w14:val="tx1"/>
                  </w14:solidFill>
                </w14:textFill>
              </w:rPr>
              <w:t>。</w:t>
            </w:r>
          </w:p>
          <w:p w14:paraId="1AC005AA">
            <w:pPr>
              <w:pStyle w:val="4"/>
              <w:ind w:firstLine="480" w:firstLineChars="200"/>
              <w:rPr>
                <w:rFonts w:hint="eastAsia" w:ascii="Times New Roman" w:hAnsi="Times New Roman" w:eastAsia="宋体" w:cs="Times New Roman"/>
                <w:b w:val="0"/>
                <w:bCs w:val="0"/>
                <w:color w:val="000000" w:themeColor="text1"/>
                <w:kern w:val="0"/>
                <w:sz w:val="24"/>
                <w:szCs w:val="24"/>
                <w:u w:val="wav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0"/>
                <w:sz w:val="24"/>
                <w:szCs w:val="24"/>
                <w:u w:val="wave"/>
                <w:lang w:val="en-US" w:eastAsia="zh-CN" w:bidi="ar-SA"/>
                <w14:textFill>
                  <w14:solidFill>
                    <w14:schemeClr w14:val="tx1"/>
                  </w14:solidFill>
                </w14:textFill>
              </w:rPr>
              <w:t>施工生产区</w:t>
            </w:r>
            <w:r>
              <w:rPr>
                <w:rFonts w:hint="eastAsia" w:cs="Times New Roman"/>
                <w:b w:val="0"/>
                <w:bCs w:val="0"/>
                <w:color w:val="000000" w:themeColor="text1"/>
                <w:kern w:val="0"/>
                <w:sz w:val="24"/>
                <w:szCs w:val="24"/>
                <w:u w:val="wave"/>
                <w:lang w:val="en-US" w:eastAsia="zh-CN" w:bidi="ar-SA"/>
                <w14:textFill>
                  <w14:solidFill>
                    <w14:schemeClr w14:val="tx1"/>
                  </w14:solidFill>
                </w14:textFill>
              </w:rPr>
              <w:t>：</w:t>
            </w:r>
          </w:p>
          <w:p w14:paraId="45E15FCF">
            <w:pPr>
              <w:pStyle w:val="4"/>
              <w:ind w:firstLine="480" w:firstLineChars="200"/>
              <w:rPr>
                <w:rFonts w:hint="eastAsia" w:ascii="Times New Roman" w:hAnsi="Times New Roman" w:eastAsia="宋体" w:cs="Times New Roman"/>
                <w:b w:val="0"/>
                <w:bCs w:val="0"/>
                <w:color w:val="000000" w:themeColor="text1"/>
                <w:kern w:val="0"/>
                <w:sz w:val="24"/>
                <w:szCs w:val="24"/>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0"/>
                <w:sz w:val="24"/>
                <w:szCs w:val="24"/>
                <w:u w:val="wave"/>
                <w:lang w:val="en-US" w:eastAsia="zh-CN" w:bidi="ar-SA"/>
                <w14:textFill>
                  <w14:solidFill>
                    <w14:schemeClr w14:val="tx1"/>
                  </w14:solidFill>
                </w14:textFill>
              </w:rPr>
              <w:t>施工生产区扰动前，应剥离施工区的表层腐殖土，共计</w:t>
            </w:r>
            <w:r>
              <w:rPr>
                <w:rFonts w:hint="eastAsia" w:cs="Times New Roman"/>
                <w:b w:val="0"/>
                <w:bCs w:val="0"/>
                <w:color w:val="000000" w:themeColor="text1"/>
                <w:kern w:val="0"/>
                <w:sz w:val="24"/>
                <w:szCs w:val="24"/>
                <w:u w:val="wave"/>
                <w:lang w:val="en-US" w:eastAsia="zh-CN" w:bidi="ar-SA"/>
                <w14:textFill>
                  <w14:solidFill>
                    <w14:schemeClr w14:val="tx1"/>
                  </w14:solidFill>
                </w14:textFill>
              </w:rPr>
              <w:t>600</w:t>
            </w:r>
            <w:r>
              <w:rPr>
                <w:rFonts w:hint="eastAsia" w:ascii="Times New Roman" w:hAnsi="Times New Roman" w:eastAsia="宋体" w:cs="Times New Roman"/>
                <w:b w:val="0"/>
                <w:bCs w:val="0"/>
                <w:color w:val="000000" w:themeColor="text1"/>
                <w:kern w:val="0"/>
                <w:sz w:val="24"/>
                <w:szCs w:val="24"/>
                <w:u w:val="wave"/>
                <w:lang w:val="en-US" w:eastAsia="zh-CN" w:bidi="ar-SA"/>
                <w14:textFill>
                  <w14:solidFill>
                    <w14:schemeClr w14:val="tx1"/>
                  </w14:solidFill>
                </w14:textFill>
              </w:rPr>
              <w:t>m</w:t>
            </w:r>
            <w:r>
              <w:rPr>
                <w:rFonts w:hint="eastAsia" w:ascii="Times New Roman" w:hAnsi="Times New Roman" w:eastAsia="宋体" w:cs="Times New Roman"/>
                <w:b w:val="0"/>
                <w:bCs w:val="0"/>
                <w:color w:val="000000" w:themeColor="text1"/>
                <w:kern w:val="0"/>
                <w:sz w:val="24"/>
                <w:szCs w:val="24"/>
                <w:u w:val="wave"/>
                <w:vertAlign w:val="superscript"/>
                <w:lang w:val="en-US" w:eastAsia="zh-CN" w:bidi="ar-SA"/>
                <w14:textFill>
                  <w14:solidFill>
                    <w14:schemeClr w14:val="tx1"/>
                  </w14:solidFill>
                </w14:textFill>
              </w:rPr>
              <w:t>3</w:t>
            </w:r>
            <w:r>
              <w:rPr>
                <w:rFonts w:hint="eastAsia" w:ascii="Times New Roman" w:hAnsi="Times New Roman" w:eastAsia="宋体" w:cs="Times New Roman"/>
                <w:b w:val="0"/>
                <w:bCs w:val="0"/>
                <w:color w:val="000000" w:themeColor="text1"/>
                <w:kern w:val="0"/>
                <w:sz w:val="24"/>
                <w:szCs w:val="24"/>
                <w:u w:val="wave"/>
                <w:lang w:val="en-US" w:eastAsia="zh-CN" w:bidi="ar-SA"/>
                <w14:textFill>
                  <w14:solidFill>
                    <w14:schemeClr w14:val="tx1"/>
                  </w14:solidFill>
                </w14:textFill>
              </w:rPr>
              <w:t>。采用机械剥离为主，剥离的表土集中堆放在场地范围内，在堆土区周边设置临时拦挡、苫盖等防护措施，待使用结束后应回填表土，平整场地。</w:t>
            </w:r>
          </w:p>
          <w:p w14:paraId="1AA55D0A">
            <w:pPr>
              <w:pStyle w:val="4"/>
              <w:rPr>
                <w:color w:val="000000" w:themeColor="text1"/>
                <w14:textFill>
                  <w14:solidFill>
                    <w14:schemeClr w14:val="tx1"/>
                  </w14:solidFill>
                </w14:textFill>
              </w:rPr>
            </w:pPr>
            <w:r>
              <w:rPr>
                <w:color w:val="000000" w:themeColor="text1"/>
                <w14:textFill>
                  <w14:solidFill>
                    <w14:schemeClr w14:val="tx1"/>
                  </w14:solidFill>
                </w14:textFill>
              </w:rPr>
              <w:t>生态环境的管理措施</w:t>
            </w:r>
            <w:bookmarkEnd w:id="236"/>
            <w:bookmarkEnd w:id="237"/>
            <w:bookmarkEnd w:id="238"/>
            <w:bookmarkEnd w:id="239"/>
          </w:p>
          <w:p w14:paraId="5B0D10BD">
            <w:pPr>
              <w:pStyle w:val="87"/>
              <w:spacing w:line="360" w:lineRule="auto"/>
              <w:ind w:firstLine="480" w:firstLineChars="200"/>
              <w:rPr>
                <w:rFonts w:ascii="Times New Roman" w:hAnsi="Times New Roman" w:cs="Times New Roman"/>
                <w:color w:val="000000" w:themeColor="text1"/>
                <w:kern w:val="0"/>
                <w:sz w:val="24"/>
                <w14:textFill>
                  <w14:solidFill>
                    <w14:schemeClr w14:val="tx1"/>
                  </w14:solidFill>
                </w14:textFill>
              </w:rPr>
            </w:pPr>
            <w:r>
              <w:rPr>
                <w:rFonts w:ascii="Times New Roman" w:hAnsi="Times New Roman" w:cs="Times New Roman"/>
                <w:color w:val="000000" w:themeColor="text1"/>
                <w:kern w:val="0"/>
                <w:sz w:val="24"/>
                <w14:textFill>
                  <w14:solidFill>
                    <w14:schemeClr w14:val="tx1"/>
                  </w14:solidFill>
                </w14:textFill>
              </w:rPr>
              <w:t>（1）强化水土流失的综合治理，做好水土保持规划，增加资金和劳力投入，与植树造林相结合。</w:t>
            </w:r>
          </w:p>
          <w:p w14:paraId="45DE090E">
            <w:pPr>
              <w:pStyle w:val="87"/>
              <w:spacing w:line="360" w:lineRule="auto"/>
              <w:ind w:firstLine="480" w:firstLineChars="200"/>
              <w:rPr>
                <w:rFonts w:ascii="Times New Roman" w:hAnsi="Times New Roman" w:cs="Times New Roman"/>
                <w:color w:val="000000" w:themeColor="text1"/>
                <w:kern w:val="0"/>
                <w:sz w:val="24"/>
                <w14:textFill>
                  <w14:solidFill>
                    <w14:schemeClr w14:val="tx1"/>
                  </w14:solidFill>
                </w14:textFill>
              </w:rPr>
            </w:pPr>
            <w:r>
              <w:rPr>
                <w:rFonts w:ascii="Times New Roman" w:hAnsi="Times New Roman" w:cs="Times New Roman"/>
                <w:color w:val="000000" w:themeColor="text1"/>
                <w:kern w:val="0"/>
                <w:sz w:val="24"/>
                <w14:textFill>
                  <w14:solidFill>
                    <w14:schemeClr w14:val="tx1"/>
                  </w14:solidFill>
                </w14:textFill>
              </w:rPr>
              <w:t>（2）要采取有效措施预防火灾。在工程建设期，更应加强防护，如在施工区、临时居住区及周围山上竖立防火警示牌，划出可生火范围、巡回检查、搞好消防队伍及设施的建设等，以预防和杜绝火灾发生。</w:t>
            </w:r>
          </w:p>
          <w:p w14:paraId="3D4D91DC">
            <w:pPr>
              <w:pStyle w:val="87"/>
              <w:spacing w:line="360" w:lineRule="auto"/>
              <w:ind w:firstLine="480" w:firstLineChars="200"/>
              <w:rPr>
                <w:rFonts w:ascii="Times New Roman" w:hAnsi="Times New Roman" w:cs="Times New Roman"/>
                <w:color w:val="000000" w:themeColor="text1"/>
                <w:kern w:val="0"/>
                <w:sz w:val="24"/>
                <w14:textFill>
                  <w14:solidFill>
                    <w14:schemeClr w14:val="tx1"/>
                  </w14:solidFill>
                </w14:textFill>
              </w:rPr>
            </w:pPr>
            <w:r>
              <w:rPr>
                <w:rFonts w:ascii="Times New Roman" w:hAnsi="Times New Roman" w:cs="Times New Roman"/>
                <w:color w:val="000000" w:themeColor="text1"/>
                <w:kern w:val="0"/>
                <w:sz w:val="24"/>
                <w14:textFill>
                  <w14:solidFill>
                    <w14:schemeClr w14:val="tx1"/>
                  </w14:solidFill>
                </w14:textFill>
              </w:rPr>
              <w:t>（3）防止外来入侵种的扩散。加大宣传力度，对外来入侵植物的危害以及传播途径向施工人员进行宣传；对现有的外来种，利用工程施工的机会，采用有效的防治措施，消除其危害。</w:t>
            </w:r>
          </w:p>
          <w:p w14:paraId="06113070">
            <w:pPr>
              <w:pStyle w:val="87"/>
              <w:spacing w:line="360" w:lineRule="auto"/>
              <w:ind w:firstLine="480" w:firstLineChars="200"/>
              <w:rPr>
                <w:rFonts w:ascii="Times New Roman" w:hAnsi="Times New Roman" w:cs="Times New Roman"/>
                <w:color w:val="000000" w:themeColor="text1"/>
                <w:kern w:val="0"/>
                <w:sz w:val="24"/>
                <w14:textFill>
                  <w14:solidFill>
                    <w14:schemeClr w14:val="tx1"/>
                  </w14:solidFill>
                </w14:textFill>
              </w:rPr>
            </w:pPr>
            <w:r>
              <w:rPr>
                <w:rFonts w:ascii="Times New Roman" w:hAnsi="Times New Roman" w:cs="Times New Roman"/>
                <w:color w:val="000000" w:themeColor="text1"/>
                <w:kern w:val="0"/>
                <w:sz w:val="24"/>
                <w14:textFill>
                  <w14:solidFill>
                    <w14:schemeClr w14:val="tx1"/>
                  </w14:solidFill>
                </w14:textFill>
              </w:rPr>
              <w:t>（4）落实监督机制，保证各项生态措施的实施。工程建设施工期、运行期都应进行生态影响的监测或调查。政府职能部门和项目业主要高度重视，落实监督机制，保证各项生态措施的实施。通过监测，了解植被的变化，数量变化以及生态系统整体性变化，加强对生态的管理，在工程管理机构，应设置生态环境管理人员，建立各种管理及报告制度，开展对工程影响区的环境教育，提高施工人员和管理人员环境意识。通过动态监测和完善管理，使生态向良性或有利方向发展。</w:t>
            </w:r>
          </w:p>
          <w:p w14:paraId="3A14AF15">
            <w:pPr>
              <w:pStyle w:val="4"/>
              <w:rPr>
                <w:color w:val="000000" w:themeColor="text1"/>
                <w:u w:val="none"/>
                <w14:textFill>
                  <w14:solidFill>
                    <w14:schemeClr w14:val="tx1"/>
                  </w14:solidFill>
                </w14:textFill>
              </w:rPr>
            </w:pPr>
            <w:bookmarkStart w:id="240" w:name="_Toc28543"/>
            <w:bookmarkStart w:id="241" w:name="_Toc7450_WPSOffice_Level3"/>
            <w:bookmarkStart w:id="242" w:name="_Toc478243939"/>
            <w:bookmarkStart w:id="243" w:name="_Toc119425329"/>
            <w:r>
              <w:rPr>
                <w:color w:val="000000" w:themeColor="text1"/>
                <w:u w:val="none"/>
                <w14:textFill>
                  <w14:solidFill>
                    <w14:schemeClr w14:val="tx1"/>
                  </w14:solidFill>
                </w14:textFill>
              </w:rPr>
              <w:t>对保护植物及古树名木的保护措施</w:t>
            </w:r>
            <w:bookmarkEnd w:id="240"/>
            <w:bookmarkEnd w:id="241"/>
            <w:bookmarkEnd w:id="242"/>
            <w:bookmarkEnd w:id="243"/>
          </w:p>
          <w:p w14:paraId="641664FB">
            <w:pPr>
              <w:pStyle w:val="87"/>
              <w:spacing w:line="360" w:lineRule="auto"/>
              <w:ind w:firstLine="480" w:firstLineChars="200"/>
              <w:rPr>
                <w:rFonts w:ascii="Times New Roman" w:hAnsi="Times New Roman" w:cs="Times New Roman"/>
                <w:color w:val="000000" w:themeColor="text1"/>
                <w:kern w:val="0"/>
                <w:sz w:val="24"/>
                <w:u w:val="none"/>
                <w14:textFill>
                  <w14:solidFill>
                    <w14:schemeClr w14:val="tx1"/>
                  </w14:solidFill>
                </w14:textFill>
              </w:rPr>
            </w:pPr>
            <w:r>
              <w:rPr>
                <w:rFonts w:ascii="Times New Roman" w:hAnsi="Times New Roman" w:cs="Times New Roman"/>
                <w:color w:val="000000" w:themeColor="text1"/>
                <w:kern w:val="0"/>
                <w:sz w:val="24"/>
                <w:u w:val="none"/>
                <w14:textFill>
                  <w14:solidFill>
                    <w14:schemeClr w14:val="tx1"/>
                  </w14:solidFill>
                </w14:textFill>
              </w:rPr>
              <w:t>对保护植物的保护措施</w:t>
            </w:r>
          </w:p>
          <w:p w14:paraId="498D23D9">
            <w:pPr>
              <w:pStyle w:val="87"/>
              <w:spacing w:line="360" w:lineRule="auto"/>
              <w:ind w:firstLine="480" w:firstLineChars="200"/>
              <w:rPr>
                <w:rFonts w:ascii="Times New Roman" w:hAnsi="Times New Roman" w:cs="Times New Roman"/>
                <w:color w:val="000000" w:themeColor="text1"/>
                <w:kern w:val="0"/>
                <w:sz w:val="24"/>
                <w:u w:val="none"/>
                <w14:textFill>
                  <w14:solidFill>
                    <w14:schemeClr w14:val="tx1"/>
                  </w14:solidFill>
                </w14:textFill>
              </w:rPr>
            </w:pPr>
            <w:r>
              <w:rPr>
                <w:rFonts w:ascii="Times New Roman" w:hAnsi="Times New Roman" w:cs="Times New Roman"/>
                <w:color w:val="000000" w:themeColor="text1"/>
                <w:kern w:val="0"/>
                <w:sz w:val="24"/>
                <w:u w:val="none"/>
                <w14:textFill>
                  <w14:solidFill>
                    <w14:schemeClr w14:val="tx1"/>
                  </w14:solidFill>
                </w14:textFill>
              </w:rPr>
              <w:t>（1）在施工过程中对施工区采取洒水除尘措施，减少扬尘；</w:t>
            </w:r>
          </w:p>
          <w:p w14:paraId="01515117">
            <w:pPr>
              <w:pStyle w:val="87"/>
              <w:spacing w:line="360" w:lineRule="auto"/>
              <w:ind w:firstLine="480" w:firstLineChars="200"/>
              <w:rPr>
                <w:rFonts w:ascii="Times New Roman" w:hAnsi="Times New Roman" w:cs="Times New Roman"/>
                <w:color w:val="000000" w:themeColor="text1"/>
                <w:kern w:val="0"/>
                <w:sz w:val="24"/>
                <w:u w:val="none"/>
                <w14:textFill>
                  <w14:solidFill>
                    <w14:schemeClr w14:val="tx1"/>
                  </w14:solidFill>
                </w14:textFill>
              </w:rPr>
            </w:pPr>
            <w:r>
              <w:rPr>
                <w:rFonts w:ascii="Times New Roman" w:hAnsi="Times New Roman" w:cs="Times New Roman"/>
                <w:color w:val="000000" w:themeColor="text1"/>
                <w:kern w:val="0"/>
                <w:sz w:val="24"/>
                <w:u w:val="none"/>
                <w14:textFill>
                  <w14:solidFill>
                    <w14:schemeClr w14:val="tx1"/>
                  </w14:solidFill>
                </w14:textFill>
              </w:rPr>
              <w:t>（2）加强宣教，通过宣传教育活动和相关保护法律宣讲，提高评价区居民和施工人员对评价区内保护植物的保护意识；</w:t>
            </w:r>
          </w:p>
          <w:p w14:paraId="7EB04B48">
            <w:pPr>
              <w:pStyle w:val="87"/>
              <w:spacing w:line="360" w:lineRule="auto"/>
              <w:ind w:firstLine="480" w:firstLineChars="200"/>
              <w:rPr>
                <w:rFonts w:ascii="Times New Roman" w:hAnsi="Times New Roman" w:cs="Times New Roman"/>
                <w:color w:val="000000" w:themeColor="text1"/>
                <w:kern w:val="0"/>
                <w:sz w:val="24"/>
                <w:u w:val="none"/>
                <w14:textFill>
                  <w14:solidFill>
                    <w14:schemeClr w14:val="tx1"/>
                  </w14:solidFill>
                </w14:textFill>
              </w:rPr>
            </w:pPr>
            <w:r>
              <w:rPr>
                <w:rFonts w:ascii="Times New Roman" w:hAnsi="Times New Roman" w:cs="Times New Roman"/>
                <w:color w:val="000000" w:themeColor="text1"/>
                <w:kern w:val="0"/>
                <w:sz w:val="24"/>
                <w:u w:val="none"/>
                <w14:textFill>
                  <w14:solidFill>
                    <w14:schemeClr w14:val="tx1"/>
                  </w14:solidFill>
                </w14:textFill>
              </w:rPr>
              <w:t>（3）在施工过程中，若发现其他重点保护野生植物，及时上报林业部门，并立即采取紧急保护措施。</w:t>
            </w:r>
          </w:p>
          <w:p w14:paraId="0C06E11F">
            <w:pPr>
              <w:pStyle w:val="4"/>
              <w:rPr>
                <w:color w:val="000000" w:themeColor="text1"/>
                <w14:textFill>
                  <w14:solidFill>
                    <w14:schemeClr w14:val="tx1"/>
                  </w14:solidFill>
                </w14:textFill>
              </w:rPr>
            </w:pPr>
            <w:bookmarkStart w:id="244" w:name="_Toc119425330"/>
            <w:bookmarkStart w:id="245" w:name="_Toc12684_WPSOffice_Level2"/>
            <w:bookmarkStart w:id="246" w:name="_Toc26717"/>
            <w:r>
              <w:rPr>
                <w:rFonts w:hint="eastAsia"/>
                <w:color w:val="000000" w:themeColor="text1"/>
                <w14:textFill>
                  <w14:solidFill>
                    <w14:schemeClr w14:val="tx1"/>
                  </w14:solidFill>
                </w14:textFill>
              </w:rPr>
              <w:t>5.1.2</w:t>
            </w:r>
            <w:r>
              <w:rPr>
                <w:color w:val="000000" w:themeColor="text1"/>
                <w14:textFill>
                  <w14:solidFill>
                    <w14:schemeClr w14:val="tx1"/>
                  </w14:solidFill>
                </w14:textFill>
              </w:rPr>
              <w:t>陆生动物保护措施</w:t>
            </w:r>
            <w:bookmarkEnd w:id="244"/>
            <w:bookmarkEnd w:id="245"/>
            <w:bookmarkEnd w:id="246"/>
          </w:p>
          <w:p w14:paraId="775A92E4">
            <w:pPr>
              <w:pStyle w:val="4"/>
              <w:rPr>
                <w:color w:val="000000" w:themeColor="text1"/>
                <w14:textFill>
                  <w14:solidFill>
                    <w14:schemeClr w14:val="tx1"/>
                  </w14:solidFill>
                </w14:textFill>
              </w:rPr>
            </w:pPr>
            <w:bookmarkStart w:id="247" w:name="_Toc119425331"/>
            <w:r>
              <w:rPr>
                <w:color w:val="000000" w:themeColor="text1"/>
                <w14:textFill>
                  <w14:solidFill>
                    <w14:schemeClr w14:val="tx1"/>
                  </w14:solidFill>
                </w14:textFill>
              </w:rPr>
              <w:t>避让与减缓措施</w:t>
            </w:r>
            <w:bookmarkEnd w:id="247"/>
          </w:p>
          <w:p w14:paraId="574BA2E3">
            <w:pPr>
              <w:pStyle w:val="87"/>
              <w:spacing w:line="360" w:lineRule="auto"/>
              <w:ind w:firstLine="480" w:firstLineChars="200"/>
              <w:rPr>
                <w:rFonts w:ascii="Times New Roman" w:hAnsi="Times New Roman" w:cs="Times New Roman"/>
                <w:color w:val="000000" w:themeColor="text1"/>
                <w:kern w:val="0"/>
                <w:sz w:val="24"/>
                <w:u w:val="none"/>
                <w14:textFill>
                  <w14:solidFill>
                    <w14:schemeClr w14:val="tx1"/>
                  </w14:solidFill>
                </w14:textFill>
              </w:rPr>
            </w:pPr>
            <w:r>
              <w:rPr>
                <w:rFonts w:ascii="Times New Roman" w:hAnsi="Times New Roman" w:cs="Times New Roman"/>
                <w:color w:val="000000" w:themeColor="text1"/>
                <w:kern w:val="0"/>
                <w:sz w:val="24"/>
                <w:u w:val="none"/>
                <w14:textFill>
                  <w14:solidFill>
                    <w14:schemeClr w14:val="tx1"/>
                  </w14:solidFill>
                </w14:textFill>
              </w:rPr>
              <w:t>（1）在风机的叶片上涂上能吸引鸟类注意力的反射紫外线涂层或鲜艳颜色，如红色、橙色等提高鸟类的注意力，避免白天鸟类撞击风机。建议在所有的风机上设置“恐怖眼”，使鸟类在迁徙中能及时回避，减少鸟类碰撞风机的概率。</w:t>
            </w:r>
          </w:p>
          <w:tbl>
            <w:tblPr>
              <w:tblStyle w:val="26"/>
              <w:tblW w:w="7406" w:type="dxa"/>
              <w:jc w:val="center"/>
              <w:tblLayout w:type="fixed"/>
              <w:tblCellMar>
                <w:top w:w="0" w:type="dxa"/>
                <w:left w:w="108" w:type="dxa"/>
                <w:bottom w:w="0" w:type="dxa"/>
                <w:right w:w="108" w:type="dxa"/>
              </w:tblCellMar>
            </w:tblPr>
            <w:tblGrid>
              <w:gridCol w:w="7406"/>
            </w:tblGrid>
            <w:tr w14:paraId="0EC27750">
              <w:tblPrEx>
                <w:tblCellMar>
                  <w:top w:w="0" w:type="dxa"/>
                  <w:left w:w="108" w:type="dxa"/>
                  <w:bottom w:w="0" w:type="dxa"/>
                  <w:right w:w="108" w:type="dxa"/>
                </w:tblCellMar>
              </w:tblPrEx>
              <w:trPr>
                <w:trHeight w:val="3537" w:hRule="atLeast"/>
                <w:jc w:val="center"/>
              </w:trPr>
              <w:tc>
                <w:tcPr>
                  <w:tcW w:w="7406" w:type="dxa"/>
                  <w:vAlign w:val="center"/>
                </w:tcPr>
                <w:p w14:paraId="78F904B2">
                  <w:pPr>
                    <w:spacing w:line="240" w:lineRule="auto"/>
                    <w:jc w:val="center"/>
                    <w:rPr>
                      <w:b/>
                      <w:bCs/>
                      <w:color w:val="FF0000"/>
                      <w:u w:val="none"/>
                    </w:rPr>
                  </w:pPr>
                  <w:r>
                    <w:rPr>
                      <w:b/>
                      <w:color w:val="FF0000"/>
                      <w:u w:val="none"/>
                    </w:rPr>
                    <w:drawing>
                      <wp:inline distT="0" distB="0" distL="0" distR="0">
                        <wp:extent cx="4030980" cy="2239645"/>
                        <wp:effectExtent l="0" t="0" r="7620" b="8255"/>
                        <wp:docPr id="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
                                <pic:cNvPicPr>
                                  <a:picLocks noChangeAspect="1" noChangeArrowheads="1"/>
                                </pic:cNvPicPr>
                              </pic:nvPicPr>
                              <pic:blipFill>
                                <a:blip r:embed="rId71"/>
                                <a:srcRect/>
                                <a:stretch>
                                  <a:fillRect/>
                                </a:stretch>
                              </pic:blipFill>
                              <pic:spPr>
                                <a:xfrm>
                                  <a:off x="0" y="0"/>
                                  <a:ext cx="4030980" cy="2239645"/>
                                </a:xfrm>
                                <a:prstGeom prst="rect">
                                  <a:avLst/>
                                </a:prstGeom>
                                <a:noFill/>
                                <a:ln>
                                  <a:noFill/>
                                </a:ln>
                              </pic:spPr>
                            </pic:pic>
                          </a:graphicData>
                        </a:graphic>
                      </wp:inline>
                    </w:drawing>
                  </w:r>
                </w:p>
              </w:tc>
            </w:tr>
            <w:tr w14:paraId="0A5BDAF9">
              <w:tblPrEx>
                <w:tblCellMar>
                  <w:top w:w="0" w:type="dxa"/>
                  <w:left w:w="108" w:type="dxa"/>
                  <w:bottom w:w="0" w:type="dxa"/>
                  <w:right w:w="108" w:type="dxa"/>
                </w:tblCellMar>
              </w:tblPrEx>
              <w:trPr>
                <w:trHeight w:val="23" w:hRule="atLeast"/>
                <w:jc w:val="center"/>
              </w:trPr>
              <w:tc>
                <w:tcPr>
                  <w:tcW w:w="7406" w:type="dxa"/>
                  <w:vAlign w:val="center"/>
                </w:tcPr>
                <w:p w14:paraId="459B3CA4">
                  <w:pPr>
                    <w:spacing w:line="240" w:lineRule="auto"/>
                    <w:jc w:val="center"/>
                    <w:rPr>
                      <w:b/>
                      <w:bCs/>
                      <w:color w:val="000000" w:themeColor="text1"/>
                      <w:u w:val="none"/>
                      <w14:textFill>
                        <w14:solidFill>
                          <w14:schemeClr w14:val="tx1"/>
                        </w14:solidFill>
                      </w14:textFill>
                    </w:rPr>
                  </w:pPr>
                  <w:r>
                    <w:rPr>
                      <w:rFonts w:hint="eastAsia"/>
                      <w:b/>
                      <w:color w:val="000000" w:themeColor="text1"/>
                      <w:sz w:val="21"/>
                      <w:szCs w:val="20"/>
                      <w:u w:val="none"/>
                      <w14:textFill>
                        <w14:solidFill>
                          <w14:schemeClr w14:val="tx1"/>
                        </w14:solidFill>
                      </w14:textFill>
                    </w:rPr>
                    <w:t>图5.1艳化风机叶片示意图</w:t>
                  </w:r>
                </w:p>
              </w:tc>
            </w:tr>
          </w:tbl>
          <w:p w14:paraId="7B98A416">
            <w:pPr>
              <w:pStyle w:val="87"/>
              <w:spacing w:line="360" w:lineRule="auto"/>
              <w:ind w:firstLine="480" w:firstLineChars="200"/>
              <w:rPr>
                <w:rFonts w:ascii="Times New Roman" w:hAnsi="Times New Roman" w:cs="Times New Roman"/>
                <w:color w:val="000000" w:themeColor="text1"/>
                <w:kern w:val="0"/>
                <w:sz w:val="24"/>
                <w:u w:val="none"/>
                <w14:textFill>
                  <w14:solidFill>
                    <w14:schemeClr w14:val="tx1"/>
                  </w14:solidFill>
                </w14:textFill>
              </w:rPr>
            </w:pPr>
            <w:r>
              <w:rPr>
                <w:rFonts w:ascii="Times New Roman" w:hAnsi="Times New Roman" w:cs="Times New Roman"/>
                <w:color w:val="000000" w:themeColor="text1"/>
                <w:kern w:val="0"/>
                <w:sz w:val="24"/>
                <w:u w:val="none"/>
                <w14:textFill>
                  <w14:solidFill>
                    <w14:schemeClr w14:val="tx1"/>
                  </w14:solidFill>
                </w14:textFill>
              </w:rPr>
              <w:t>（2）优选施工时间，避开野生动物活动的高峰时段。野生鸟类和</w:t>
            </w:r>
            <w:r>
              <w:rPr>
                <w:rFonts w:hint="eastAsia" w:cs="Times New Roman"/>
                <w:color w:val="000000" w:themeColor="text1"/>
                <w:kern w:val="0"/>
                <w:sz w:val="24"/>
                <w:u w:val="none"/>
                <w:lang w:val="en-US" w:eastAsia="zh-CN"/>
                <w14:textFill>
                  <w14:solidFill>
                    <w14:schemeClr w14:val="tx1"/>
                  </w14:solidFill>
                </w14:textFill>
              </w:rPr>
              <w:t>兽类</w:t>
            </w:r>
            <w:r>
              <w:rPr>
                <w:rFonts w:ascii="Times New Roman" w:hAnsi="Times New Roman" w:cs="Times New Roman"/>
                <w:color w:val="000000" w:themeColor="text1"/>
                <w:kern w:val="0"/>
                <w:sz w:val="24"/>
                <w:u w:val="none"/>
                <w14:textFill>
                  <w14:solidFill>
                    <w14:schemeClr w14:val="tx1"/>
                  </w14:solidFill>
                </w14:textFill>
              </w:rPr>
              <w:t>大多是晨、昏（早晨、黄昏）或夜间外出觅食，正午是鸟类休息时间。为了减少工程施工噪声对野生动物的惊扰，应做好施工方式和时间的计划，并力求避免在晨昏和夜间施工。</w:t>
            </w:r>
          </w:p>
          <w:p w14:paraId="3EB34B3B">
            <w:pPr>
              <w:pStyle w:val="87"/>
              <w:spacing w:line="360" w:lineRule="auto"/>
              <w:ind w:firstLine="480" w:firstLineChars="200"/>
              <w:rPr>
                <w:rFonts w:ascii="Times New Roman" w:hAnsi="Times New Roman" w:cs="Times New Roman"/>
                <w:color w:val="000000" w:themeColor="text1"/>
                <w:kern w:val="0"/>
                <w:sz w:val="24"/>
                <w:u w:val="none"/>
                <w14:textFill>
                  <w14:solidFill>
                    <w14:schemeClr w14:val="tx1"/>
                  </w14:solidFill>
                </w14:textFill>
              </w:rPr>
            </w:pPr>
            <w:r>
              <w:rPr>
                <w:rFonts w:ascii="Times New Roman" w:hAnsi="Times New Roman" w:cs="Times New Roman"/>
                <w:color w:val="000000" w:themeColor="text1"/>
                <w:kern w:val="0"/>
                <w:sz w:val="24"/>
                <w:u w:val="none"/>
                <w14:textFill>
                  <w14:solidFill>
                    <w14:schemeClr w14:val="tx1"/>
                  </w14:solidFill>
                </w14:textFill>
              </w:rPr>
              <w:t>（3）应统筹整个风场区域的施工时序，在候鸟迁徙季节，加强对夜间光源的管控，减少对外界的漏光量。迁徙季节遇到有雾、雨或强逆风的夜晚，应停止施工。</w:t>
            </w:r>
          </w:p>
          <w:p w14:paraId="78B0F898">
            <w:pPr>
              <w:pStyle w:val="87"/>
              <w:spacing w:line="360" w:lineRule="auto"/>
              <w:ind w:firstLine="480" w:firstLineChars="200"/>
              <w:rPr>
                <w:rFonts w:ascii="Times New Roman" w:hAnsi="Times New Roman" w:cs="Times New Roman"/>
                <w:color w:val="FF0000"/>
                <w:kern w:val="0"/>
                <w:sz w:val="24"/>
                <w:u w:val="none"/>
              </w:rPr>
            </w:pPr>
            <w:r>
              <w:rPr>
                <w:rFonts w:ascii="Times New Roman" w:hAnsi="Times New Roman" w:cs="Times New Roman"/>
                <w:color w:val="000000" w:themeColor="text1"/>
                <w:kern w:val="0"/>
                <w:sz w:val="24"/>
                <w:u w:val="none"/>
                <w14:textFill>
                  <w14:solidFill>
                    <w14:schemeClr w14:val="tx1"/>
                  </w14:solidFill>
                </w14:textFill>
              </w:rPr>
              <w:t>（4）施工期间加强堆料场防护，加强施工人员的各类卫生管理，避免生活垃圾、生活污水的直接排放，减少污染，最大限度保护动物生境。</w:t>
            </w:r>
          </w:p>
          <w:p w14:paraId="307D1677">
            <w:pPr>
              <w:pStyle w:val="4"/>
              <w:rPr>
                <w:color w:val="000000" w:themeColor="text1"/>
                <w14:textFill>
                  <w14:solidFill>
                    <w14:schemeClr w14:val="tx1"/>
                  </w14:solidFill>
                </w14:textFill>
              </w:rPr>
            </w:pPr>
            <w:bookmarkStart w:id="248" w:name="_Toc119425332"/>
            <w:r>
              <w:rPr>
                <w:color w:val="000000" w:themeColor="text1"/>
                <w14:textFill>
                  <w14:solidFill>
                    <w14:schemeClr w14:val="tx1"/>
                  </w14:solidFill>
                </w14:textFill>
              </w:rPr>
              <w:t>恢复与补偿措施</w:t>
            </w:r>
            <w:bookmarkEnd w:id="248"/>
          </w:p>
          <w:p w14:paraId="17DFE2B6">
            <w:pPr>
              <w:pStyle w:val="87"/>
              <w:spacing w:line="360" w:lineRule="auto"/>
              <w:ind w:firstLine="480" w:firstLineChars="200"/>
              <w:rPr>
                <w:rFonts w:ascii="Times New Roman" w:hAnsi="Times New Roman" w:cs="Times New Roman"/>
                <w:color w:val="000000" w:themeColor="text1"/>
                <w:kern w:val="0"/>
                <w:sz w:val="24"/>
                <w14:textFill>
                  <w14:solidFill>
                    <w14:schemeClr w14:val="tx1"/>
                  </w14:solidFill>
                </w14:textFill>
              </w:rPr>
            </w:pPr>
            <w:r>
              <w:rPr>
                <w:rFonts w:ascii="Times New Roman" w:hAnsi="Times New Roman" w:cs="Times New Roman"/>
                <w:color w:val="000000" w:themeColor="text1"/>
                <w:kern w:val="0"/>
                <w:sz w:val="24"/>
                <w14:textFill>
                  <w14:solidFill>
                    <w14:schemeClr w14:val="tx1"/>
                  </w14:solidFill>
                </w14:textFill>
              </w:rPr>
              <w:t>（1）工程完工后尽快做好生态环境的恢复工作，以尽量减少生境破坏对动物的不利影响。每个风机和集电线路施工完成后，在临时占地及其附近合理绿化，种植本地土著的小乔木或灌木，尽快恢复动物生境。</w:t>
            </w:r>
          </w:p>
          <w:p w14:paraId="753670C1">
            <w:pPr>
              <w:ind w:firstLine="480"/>
              <w:rPr>
                <w:color w:val="000000" w:themeColor="text1"/>
                <w:kern w:val="20"/>
                <w14:textFill>
                  <w14:solidFill>
                    <w14:schemeClr w14:val="tx1"/>
                  </w14:solidFill>
                </w14:textFill>
              </w:rPr>
            </w:pPr>
            <w:r>
              <w:rPr>
                <w:rFonts w:ascii="Times New Roman" w:hAnsi="Times New Roman" w:cs="Times New Roman"/>
                <w:color w:val="000000" w:themeColor="text1"/>
                <w:kern w:val="0"/>
                <w:sz w:val="24"/>
                <w14:textFill>
                  <w14:solidFill>
                    <w14:schemeClr w14:val="tx1"/>
                  </w14:solidFill>
                </w14:textFill>
              </w:rPr>
              <w:t>（2）加强野生动物救护。在升压站等区域配套设立野生动物救护站、点，以便于及时对受伤的野生动物进行救治。</w:t>
            </w:r>
          </w:p>
          <w:p w14:paraId="60A208EF">
            <w:pPr>
              <w:pStyle w:val="4"/>
              <w:rPr>
                <w:color w:val="000000" w:themeColor="text1"/>
                <w14:textFill>
                  <w14:solidFill>
                    <w14:schemeClr w14:val="tx1"/>
                  </w14:solidFill>
                </w14:textFill>
              </w:rPr>
            </w:pPr>
            <w:bookmarkStart w:id="249" w:name="_Toc119425333"/>
            <w:r>
              <w:rPr>
                <w:color w:val="000000" w:themeColor="text1"/>
                <w14:textFill>
                  <w14:solidFill>
                    <w14:schemeClr w14:val="tx1"/>
                  </w14:solidFill>
                </w14:textFill>
              </w:rPr>
              <w:t>管理措施</w:t>
            </w:r>
            <w:bookmarkEnd w:id="249"/>
          </w:p>
          <w:p w14:paraId="761BDF8F">
            <w:pPr>
              <w:pStyle w:val="87"/>
              <w:spacing w:line="360" w:lineRule="auto"/>
              <w:ind w:firstLine="480" w:firstLineChars="200"/>
              <w:rPr>
                <w:rFonts w:ascii="Times New Roman" w:hAnsi="Times New Roman" w:cs="Times New Roman"/>
                <w:color w:val="000000" w:themeColor="text1"/>
                <w:kern w:val="0"/>
                <w:sz w:val="24"/>
                <w14:textFill>
                  <w14:solidFill>
                    <w14:schemeClr w14:val="tx1"/>
                  </w14:solidFill>
                </w14:textFill>
              </w:rPr>
            </w:pPr>
            <w:r>
              <w:rPr>
                <w:rFonts w:ascii="Times New Roman" w:hAnsi="Times New Roman" w:cs="Times New Roman"/>
                <w:color w:val="000000" w:themeColor="text1"/>
                <w:kern w:val="0"/>
                <w:sz w:val="24"/>
                <w14:textFill>
                  <w14:solidFill>
                    <w14:schemeClr w14:val="tx1"/>
                  </w14:solidFill>
                </w14:textFill>
              </w:rPr>
              <w:t>（1）提高施工和管理人员的法律、保护意识。教育工作人员遵守《中华人民共和国野生动物保护法》，不偷猎野生动物，特别是对国家和省级重点保护野生动物，偷猎要承担法律责任。同时要尽保护生态环境的社会义务。</w:t>
            </w:r>
          </w:p>
          <w:p w14:paraId="4D76E45A">
            <w:pPr>
              <w:pStyle w:val="87"/>
              <w:spacing w:line="360" w:lineRule="auto"/>
              <w:ind w:firstLine="480" w:firstLineChars="200"/>
              <w:rPr>
                <w:rFonts w:ascii="Times New Roman" w:hAnsi="Times New Roman" w:cs="Times New Roman"/>
                <w:color w:val="000000" w:themeColor="text1"/>
                <w:kern w:val="0"/>
                <w:sz w:val="24"/>
                <w14:textFill>
                  <w14:solidFill>
                    <w14:schemeClr w14:val="tx1"/>
                  </w14:solidFill>
                </w14:textFill>
              </w:rPr>
            </w:pPr>
            <w:r>
              <w:rPr>
                <w:rFonts w:ascii="Times New Roman" w:hAnsi="Times New Roman" w:cs="Times New Roman"/>
                <w:color w:val="000000" w:themeColor="text1"/>
                <w:kern w:val="0"/>
                <w:sz w:val="24"/>
                <w14:textFill>
                  <w14:solidFill>
                    <w14:schemeClr w14:val="tx1"/>
                  </w14:solidFill>
                </w14:textFill>
              </w:rPr>
              <w:t>（2）制定严格的管理纪律和规章制度，规范施工和营运管理行为。施工期，严格控制施工人员数量、设备和施工作业时间，划定施工范围，严禁在未经批准的林地上施工。严禁施工和营运管理人员进入非工程区域或从事与工程无关的活动，杜绝捕杀、伤害、惊吓、袭击动物等行为。</w:t>
            </w:r>
          </w:p>
          <w:p w14:paraId="4EC0CD56">
            <w:pPr>
              <w:pStyle w:val="87"/>
              <w:spacing w:line="360" w:lineRule="auto"/>
              <w:ind w:firstLine="480" w:firstLineChars="200"/>
              <w:rPr>
                <w:rFonts w:ascii="Times New Roman" w:hAnsi="Times New Roman" w:cs="Times New Roman"/>
                <w:color w:val="000000" w:themeColor="text1"/>
                <w:kern w:val="0"/>
                <w:sz w:val="24"/>
                <w14:textFill>
                  <w14:solidFill>
                    <w14:schemeClr w14:val="tx1"/>
                  </w14:solidFill>
                </w14:textFill>
              </w:rPr>
            </w:pPr>
            <w:r>
              <w:rPr>
                <w:rFonts w:ascii="Times New Roman" w:hAnsi="Times New Roman" w:cs="Times New Roman"/>
                <w:color w:val="000000" w:themeColor="text1"/>
                <w:kern w:val="0"/>
                <w:sz w:val="24"/>
                <w14:textFill>
                  <w14:solidFill>
                    <w14:schemeClr w14:val="tx1"/>
                  </w14:solidFill>
                </w14:textFill>
              </w:rPr>
              <w:t>（3）加强救护管理，建立与林业野生动物管理单位的联系制度，接受其指导。施工期和运营期发生于野生动物有关的问题，及时报告。如发现病伤的野生动物或者被遗弃的幼体、鸟卵等，不得私自处理，要及时通知林业野生动物管理部门，派专业技术人员进行救护。</w:t>
            </w:r>
          </w:p>
          <w:p w14:paraId="78A264E7">
            <w:pPr>
              <w:pStyle w:val="87"/>
              <w:spacing w:line="360" w:lineRule="auto"/>
              <w:ind w:firstLine="480" w:firstLineChars="200"/>
              <w:rPr>
                <w:rFonts w:ascii="Times New Roman" w:hAnsi="Times New Roman" w:cs="Times New Roman"/>
                <w:color w:val="000000" w:themeColor="text1"/>
                <w:kern w:val="0"/>
                <w:sz w:val="24"/>
                <w14:textFill>
                  <w14:solidFill>
                    <w14:schemeClr w14:val="tx1"/>
                  </w14:solidFill>
                </w14:textFill>
              </w:rPr>
            </w:pPr>
            <w:r>
              <w:rPr>
                <w:rFonts w:ascii="Times New Roman" w:hAnsi="Times New Roman" w:cs="Times New Roman"/>
                <w:color w:val="000000" w:themeColor="text1"/>
                <w:kern w:val="0"/>
                <w:sz w:val="24"/>
                <w14:textFill>
                  <w14:solidFill>
                    <w14:schemeClr w14:val="tx1"/>
                  </w14:solidFill>
                </w14:textFill>
              </w:rPr>
              <w:t>（4）认真落实工程环境监理工作，切实保障各项保护措施的落实，减缓工程项目建设对植被资源和野生动物的影响。</w:t>
            </w:r>
          </w:p>
          <w:p w14:paraId="210F1FD4">
            <w:pPr>
              <w:pStyle w:val="87"/>
              <w:spacing w:line="360" w:lineRule="auto"/>
              <w:ind w:firstLine="480" w:firstLineChars="200"/>
              <w:rPr>
                <w:rFonts w:ascii="Times New Roman" w:hAnsi="Times New Roman" w:cs="Times New Roman"/>
                <w:color w:val="000000" w:themeColor="text1"/>
                <w:kern w:val="0"/>
                <w:sz w:val="24"/>
                <w14:textFill>
                  <w14:solidFill>
                    <w14:schemeClr w14:val="tx1"/>
                  </w14:solidFill>
                </w14:textFill>
              </w:rPr>
            </w:pPr>
            <w:r>
              <w:rPr>
                <w:rFonts w:ascii="Times New Roman" w:hAnsi="Times New Roman" w:cs="Times New Roman"/>
                <w:color w:val="000000" w:themeColor="text1"/>
                <w:kern w:val="0"/>
                <w:sz w:val="24"/>
                <w14:textFill>
                  <w14:solidFill>
                    <w14:schemeClr w14:val="tx1"/>
                  </w14:solidFill>
                </w14:textFill>
              </w:rPr>
              <w:t>（5）鸟类应急方案与措施：迁徙候鸟撞机事故发生后，能否有效而迅速</w:t>
            </w:r>
            <w:r>
              <w:rPr>
                <w:rFonts w:hint="eastAsia" w:cs="Times New Roman"/>
                <w:color w:val="000000" w:themeColor="text1"/>
                <w:kern w:val="0"/>
                <w:sz w:val="24"/>
                <w:lang w:val="en-US" w:eastAsia="zh-CN"/>
                <w14:textFill>
                  <w14:solidFill>
                    <w14:schemeClr w14:val="tx1"/>
                  </w14:solidFill>
                </w14:textFill>
              </w:rPr>
              <w:t>地</w:t>
            </w:r>
            <w:r>
              <w:rPr>
                <w:rFonts w:ascii="Times New Roman" w:hAnsi="Times New Roman" w:cs="Times New Roman"/>
                <w:color w:val="000000" w:themeColor="text1"/>
                <w:kern w:val="0"/>
                <w:sz w:val="24"/>
                <w14:textFill>
                  <w14:solidFill>
                    <w14:schemeClr w14:val="tx1"/>
                  </w14:solidFill>
                </w14:textFill>
              </w:rPr>
              <w:t>作出应急反应，对于生态保护和候鸟保护起到最关键的作用，因此，设立处理突发性事故的风险资金，配备一定数量的鸟类救护工作必需的器材、设备和药品，做好值班人员与林业部门对接工作。</w:t>
            </w:r>
          </w:p>
          <w:p w14:paraId="3ED04B93">
            <w:pPr>
              <w:pStyle w:val="87"/>
              <w:spacing w:line="360" w:lineRule="auto"/>
              <w:ind w:firstLine="480" w:firstLineChars="200"/>
              <w:rPr>
                <w:rFonts w:ascii="Times New Roman" w:hAnsi="Times New Roman" w:cs="Times New Roman"/>
                <w:color w:val="000000" w:themeColor="text1"/>
                <w:kern w:val="0"/>
                <w:sz w:val="24"/>
                <w14:textFill>
                  <w14:solidFill>
                    <w14:schemeClr w14:val="tx1"/>
                  </w14:solidFill>
                </w14:textFill>
              </w:rPr>
            </w:pPr>
            <w:r>
              <w:rPr>
                <w:rFonts w:ascii="Times New Roman" w:hAnsi="Times New Roman" w:cs="Times New Roman"/>
                <w:color w:val="000000" w:themeColor="text1"/>
                <w:kern w:val="0"/>
                <w:sz w:val="24"/>
                <w14:textFill>
                  <w14:solidFill>
                    <w14:schemeClr w14:val="tx1"/>
                  </w14:solidFill>
                </w14:textFill>
              </w:rPr>
              <w:t>主要内容包括：</w:t>
            </w:r>
          </w:p>
          <w:p w14:paraId="01E9E76A">
            <w:pPr>
              <w:pStyle w:val="87"/>
              <w:spacing w:line="360" w:lineRule="auto"/>
              <w:ind w:firstLine="480" w:firstLineChars="200"/>
              <w:rPr>
                <w:rFonts w:ascii="Times New Roman" w:hAnsi="Times New Roman" w:cs="Times New Roman"/>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①</w:t>
            </w:r>
            <w:r>
              <w:rPr>
                <w:rFonts w:ascii="Times New Roman" w:hAnsi="Times New Roman" w:cs="Times New Roman"/>
                <w:color w:val="000000" w:themeColor="text1"/>
                <w:kern w:val="0"/>
                <w:sz w:val="24"/>
                <w14:textFill>
                  <w14:solidFill>
                    <w14:schemeClr w14:val="tx1"/>
                  </w14:solidFill>
                </w14:textFill>
              </w:rPr>
              <w:t>成立应急领导小组，由建设单位的领导担任组长，风电场值班人员、鸟类观测技术人员等为组员，另外联系当地相关部门，如公安、环保、林业等，成为领导小组的成员。建设单位应根据应急预案，统一应急行动，明确应急责任人和有关部门的职责，确保在最短的时间将事故控制，以减少对环境的破坏；此外，针对本项目的特点，应急预案需要与林业、野生动植物保护部门挂钩，紧急状况下及时告知，并采取应急行动。</w:t>
            </w:r>
          </w:p>
          <w:p w14:paraId="02D1D03E">
            <w:pPr>
              <w:pStyle w:val="87"/>
              <w:spacing w:line="360" w:lineRule="auto"/>
              <w:ind w:firstLine="480" w:firstLineChars="200"/>
              <w:rPr>
                <w:rFonts w:ascii="Times New Roman" w:hAnsi="Times New Roman" w:cs="Times New Roman"/>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②</w:t>
            </w:r>
            <w:r>
              <w:rPr>
                <w:rFonts w:ascii="Times New Roman" w:hAnsi="Times New Roman" w:cs="Times New Roman"/>
                <w:color w:val="000000" w:themeColor="text1"/>
                <w:kern w:val="0"/>
                <w:sz w:val="24"/>
                <w14:textFill>
                  <w14:solidFill>
                    <w14:schemeClr w14:val="tx1"/>
                  </w14:solidFill>
                </w14:textFill>
              </w:rPr>
              <w:t>应急反应过程中，及时对事故的通报是决定整个事故过程和减缓影响的关键，因此须建立快速报警系统和通讯指挥联络系统，保证事故发生后救援器材以最快的时间到达现场；一旦发生鸟群撞击的事故，应及时拨打至应急中心或者是监控中心通过监控设备得知情况后马上通知应急中心，应急中心值班人员了解情况后立即通知应急指挥人，由应急指挥人立即通知事故处理小组的相关人员迅速关闭风机并组织前往现场，采取进一步的应急措施，控制事态发展。</w:t>
            </w:r>
          </w:p>
          <w:p w14:paraId="4A216105">
            <w:pPr>
              <w:pStyle w:val="87"/>
              <w:spacing w:line="360" w:lineRule="auto"/>
              <w:ind w:firstLine="480" w:firstLineChars="200"/>
              <w:rPr>
                <w:rFonts w:ascii="Times New Roman" w:hAnsi="Times New Roman" w:cs="Times New Roman"/>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③</w:t>
            </w:r>
            <w:r>
              <w:rPr>
                <w:rFonts w:ascii="Times New Roman" w:hAnsi="Times New Roman" w:cs="Times New Roman"/>
                <w:color w:val="000000" w:themeColor="text1"/>
                <w:kern w:val="0"/>
                <w:sz w:val="24"/>
                <w14:textFill>
                  <w14:solidFill>
                    <w14:schemeClr w14:val="tx1"/>
                  </w14:solidFill>
                </w14:textFill>
              </w:rPr>
              <w:t>事故应急响应时间：在升压站、项目部安装应急通讯电话，并标注事故应急电话。一旦发生鸟类撞机事故，需要在10分钟内告知风电场区值班人员，30分钟内告知</w:t>
            </w:r>
            <w:r>
              <w:rPr>
                <w:rFonts w:hint="eastAsia" w:cs="Times New Roman"/>
                <w:color w:val="000000" w:themeColor="text1"/>
                <w:kern w:val="0"/>
                <w:sz w:val="24"/>
                <w:lang w:eastAsia="zh-CN"/>
                <w14:textFill>
                  <w14:solidFill>
                    <w14:schemeClr w14:val="tx1"/>
                  </w14:solidFill>
                </w14:textFill>
              </w:rPr>
              <w:t>通道县</w:t>
            </w:r>
            <w:r>
              <w:rPr>
                <w:rFonts w:ascii="Times New Roman" w:hAnsi="Times New Roman" w:cs="Times New Roman"/>
                <w:color w:val="000000" w:themeColor="text1"/>
                <w:kern w:val="0"/>
                <w:sz w:val="24"/>
                <w14:textFill>
                  <w14:solidFill>
                    <w14:schemeClr w14:val="tx1"/>
                  </w14:solidFill>
                </w14:textFill>
              </w:rPr>
              <w:t>林业局。</w:t>
            </w:r>
          </w:p>
          <w:p w14:paraId="19B0745B">
            <w:pPr>
              <w:pStyle w:val="87"/>
              <w:spacing w:line="360" w:lineRule="auto"/>
              <w:ind w:firstLine="480" w:firstLineChars="200"/>
              <w:rPr>
                <w:rFonts w:ascii="Times New Roman" w:hAnsi="Times New Roman" w:cs="Times New Roman"/>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④</w:t>
            </w:r>
            <w:r>
              <w:rPr>
                <w:rFonts w:ascii="Times New Roman" w:hAnsi="Times New Roman" w:cs="Times New Roman"/>
                <w:color w:val="000000" w:themeColor="text1"/>
                <w:kern w:val="0"/>
                <w:sz w:val="24"/>
                <w14:textFill>
                  <w14:solidFill>
                    <w14:schemeClr w14:val="tx1"/>
                  </w14:solidFill>
                </w14:textFill>
              </w:rPr>
              <w:t>事故应急处理：接到报警后，项目部人员和林业部门专业技术人员应携带救护器材和药品前往现场，初步了解事故性质，及时对受伤的鸟类进行紧急救护并同时向建设单位高层和</w:t>
            </w:r>
            <w:r>
              <w:rPr>
                <w:rFonts w:hint="eastAsia" w:cs="Times New Roman"/>
                <w:color w:val="000000" w:themeColor="text1"/>
                <w:kern w:val="0"/>
                <w:sz w:val="24"/>
                <w:lang w:eastAsia="zh-CN"/>
                <w14:textFill>
                  <w14:solidFill>
                    <w14:schemeClr w14:val="tx1"/>
                  </w14:solidFill>
                </w14:textFill>
              </w:rPr>
              <w:t>通道县</w:t>
            </w:r>
            <w:r>
              <w:rPr>
                <w:rFonts w:ascii="Times New Roman" w:hAnsi="Times New Roman" w:cs="Times New Roman"/>
                <w:color w:val="000000" w:themeColor="text1"/>
                <w:kern w:val="0"/>
                <w:sz w:val="24"/>
                <w14:textFill>
                  <w14:solidFill>
                    <w14:schemeClr w14:val="tx1"/>
                  </w14:solidFill>
                </w14:textFill>
              </w:rPr>
              <w:t>林业部门报告。</w:t>
            </w:r>
          </w:p>
          <w:p w14:paraId="35523F8E">
            <w:pPr>
              <w:pStyle w:val="87"/>
              <w:spacing w:line="360" w:lineRule="auto"/>
              <w:ind w:firstLine="480" w:firstLineChars="200"/>
              <w:rPr>
                <w:rFonts w:ascii="Times New Roman" w:hAnsi="Times New Roman" w:cs="Times New Roman"/>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⑤</w:t>
            </w:r>
            <w:r>
              <w:rPr>
                <w:rFonts w:ascii="Times New Roman" w:hAnsi="Times New Roman" w:cs="Times New Roman"/>
                <w:color w:val="000000" w:themeColor="text1"/>
                <w:kern w:val="0"/>
                <w:sz w:val="24"/>
                <w14:textFill>
                  <w14:solidFill>
                    <w14:schemeClr w14:val="tx1"/>
                  </w14:solidFill>
                </w14:textFill>
              </w:rPr>
              <w:t>应急培训计划：对相关应急人员应进行事故应急培训，使其具有相应的救护能力和应急事故处理的能力。</w:t>
            </w:r>
          </w:p>
          <w:p w14:paraId="27A23A9B">
            <w:pPr>
              <w:pStyle w:val="87"/>
              <w:spacing w:line="360" w:lineRule="auto"/>
              <w:ind w:firstLine="480" w:firstLineChars="200"/>
              <w:rPr>
                <w:rFonts w:ascii="Times New Roman" w:hAnsi="Times New Roman" w:cs="Times New Roman"/>
                <w:color w:val="000000" w:themeColor="text1"/>
                <w:kern w:val="0"/>
                <w:sz w:val="24"/>
                <w14:textFill>
                  <w14:solidFill>
                    <w14:schemeClr w14:val="tx1"/>
                  </w14:solidFill>
                </w14:textFill>
              </w:rPr>
            </w:pPr>
            <w:r>
              <w:rPr>
                <w:rFonts w:ascii="Times New Roman" w:hAnsi="Times New Roman" w:cs="Times New Roman"/>
                <w:color w:val="000000" w:themeColor="text1"/>
                <w:kern w:val="0"/>
                <w:sz w:val="24"/>
                <w14:textFill>
                  <w14:solidFill>
                    <w14:schemeClr w14:val="tx1"/>
                  </w14:solidFill>
                </w14:textFill>
              </w:rPr>
              <w:t>（6）应急监测、抢险、救援及控制措施。在事故现场，由领导小组领导，其他各个协调管理机构对现场进行处理，本项目建设单位主要进行协调和沟通工作，并负责工作的汇报。由地方林业部门、环保部门对事故性质、参数与后果进行评估，为指挥部门提供决策依据。</w:t>
            </w:r>
          </w:p>
          <w:p w14:paraId="6D17084D">
            <w:pPr>
              <w:pStyle w:val="4"/>
              <w:rPr>
                <w:color w:val="000000" w:themeColor="text1"/>
                <w14:textFill>
                  <w14:solidFill>
                    <w14:schemeClr w14:val="tx1"/>
                  </w14:solidFill>
                </w14:textFill>
              </w:rPr>
            </w:pPr>
            <w:bookmarkStart w:id="250" w:name="_Toc119425334"/>
            <w:r>
              <w:rPr>
                <w:color w:val="000000" w:themeColor="text1"/>
                <w14:textFill>
                  <w14:solidFill>
                    <w14:schemeClr w14:val="tx1"/>
                  </w14:solidFill>
                </w14:textFill>
              </w:rPr>
              <w:t>对迁徙鸟类的保护措施</w:t>
            </w:r>
            <w:bookmarkEnd w:id="250"/>
          </w:p>
          <w:p w14:paraId="4C913D00">
            <w:pPr>
              <w:widowControl/>
              <w:ind w:firstLine="480"/>
              <w:rPr>
                <w:color w:val="000000" w:themeColor="text1"/>
                <w:kern w:val="20"/>
                <w:u w:val="none"/>
                <w14:textFill>
                  <w14:solidFill>
                    <w14:schemeClr w14:val="tx1"/>
                  </w14:solidFill>
                </w14:textFill>
              </w:rPr>
            </w:pPr>
            <w:r>
              <w:rPr>
                <w:rFonts w:ascii="Times New Roman" w:hAnsi="Times New Roman" w:cs="Times New Roman"/>
                <w:color w:val="000000" w:themeColor="text1"/>
                <w:kern w:val="0"/>
                <w:sz w:val="24"/>
                <w:u w:val="none"/>
                <w14:textFill>
                  <w14:solidFill>
                    <w14:schemeClr w14:val="tx1"/>
                  </w14:solidFill>
                </w14:textFill>
              </w:rPr>
              <w:t>本风电场虽不位于湖南省鸟类迁徙通道上，也不涉及湖南重要的候鸟迁徙地。根据鸟类调查结果可知，评价区内鸟类主要为留鸟，有少量迁徙鸟。因此，建议风电场建成后必须进行长期的鸟类监测，根据监测结果，适时调整风机运行时间。如发现风机运行严重影响到候鸟生存，可在候鸟迁徙季节（每年的4月～5月、9月～10月）采取局部风机停运等运行调整措施降低风机对迁徙鸟类的影响。</w:t>
            </w:r>
          </w:p>
          <w:p w14:paraId="67A75185">
            <w:pPr>
              <w:pStyle w:val="4"/>
              <w:rPr>
                <w:color w:val="000000" w:themeColor="text1"/>
                <w:u w:val="none"/>
                <w14:textFill>
                  <w14:solidFill>
                    <w14:schemeClr w14:val="tx1"/>
                  </w14:solidFill>
                </w14:textFill>
              </w:rPr>
            </w:pPr>
            <w:bookmarkStart w:id="251" w:name="_Toc119425335"/>
            <w:r>
              <w:rPr>
                <w:color w:val="000000" w:themeColor="text1"/>
                <w:u w:val="none"/>
                <w14:textFill>
                  <w14:solidFill>
                    <w14:schemeClr w14:val="tx1"/>
                  </w14:solidFill>
                </w14:textFill>
              </w:rPr>
              <w:t>对重点保护野生动物的保护措施</w:t>
            </w:r>
            <w:bookmarkEnd w:id="251"/>
          </w:p>
          <w:p w14:paraId="5D9524B0">
            <w:pPr>
              <w:pStyle w:val="87"/>
              <w:spacing w:line="360" w:lineRule="auto"/>
              <w:ind w:firstLine="480" w:firstLineChars="200"/>
              <w:rPr>
                <w:rFonts w:hint="eastAsia" w:ascii="Times New Roman" w:hAnsi="Times New Roman" w:eastAsia="宋体" w:cs="Times New Roman"/>
                <w:color w:val="000000" w:themeColor="text1"/>
                <w:kern w:val="0"/>
                <w:sz w:val="24"/>
                <w:u w:val="none"/>
                <w:lang w:eastAsia="zh-CN"/>
                <w14:textFill>
                  <w14:solidFill>
                    <w14:schemeClr w14:val="tx1"/>
                  </w14:solidFill>
                </w14:textFill>
              </w:rPr>
            </w:pPr>
            <w:r>
              <w:rPr>
                <w:rFonts w:ascii="Times New Roman" w:hAnsi="Times New Roman" w:cs="Times New Roman"/>
                <w:color w:val="000000" w:themeColor="text1"/>
                <w:kern w:val="0"/>
                <w:sz w:val="24"/>
                <w:u w:val="none"/>
                <w14:textFill>
                  <w14:solidFill>
                    <w14:schemeClr w14:val="tx1"/>
                  </w14:solidFill>
                </w14:textFill>
              </w:rPr>
              <w:t>（1）加强有关野生动物保护的宣传，在主要的施工区、施工人员的生活区等关键区域设立野生动物保护的宣传栏，对施工区域内可能出现的又极易被捕杀的重点保护野生动物做重点标识及说明，包括动物图片、保护级别、保护意义及对捕杀野生保护动物的惩罚措施，提高施工人员对野生动物的保护意识</w:t>
            </w:r>
            <w:r>
              <w:rPr>
                <w:rFonts w:hint="eastAsia" w:cs="Times New Roman"/>
                <w:color w:val="000000" w:themeColor="text1"/>
                <w:kern w:val="0"/>
                <w:sz w:val="24"/>
                <w:u w:val="none"/>
                <w:lang w:eastAsia="zh-CN"/>
                <w14:textFill>
                  <w14:solidFill>
                    <w14:schemeClr w14:val="tx1"/>
                  </w14:solidFill>
                </w14:textFill>
              </w:rPr>
              <w:t>。</w:t>
            </w:r>
          </w:p>
          <w:p w14:paraId="3F09BDB7">
            <w:pPr>
              <w:pStyle w:val="87"/>
              <w:spacing w:line="360" w:lineRule="auto"/>
              <w:ind w:firstLine="480" w:firstLineChars="200"/>
              <w:rPr>
                <w:rFonts w:ascii="Times New Roman" w:hAnsi="Times New Roman" w:cs="Times New Roman"/>
                <w:color w:val="000000" w:themeColor="text1"/>
                <w:kern w:val="0"/>
                <w:sz w:val="24"/>
                <w:u w:val="none"/>
                <w14:textFill>
                  <w14:solidFill>
                    <w14:schemeClr w14:val="tx1"/>
                  </w14:solidFill>
                </w14:textFill>
              </w:rPr>
            </w:pPr>
            <w:r>
              <w:rPr>
                <w:rFonts w:ascii="Times New Roman" w:hAnsi="Times New Roman" w:cs="Times New Roman"/>
                <w:color w:val="000000" w:themeColor="text1"/>
                <w:kern w:val="0"/>
                <w:sz w:val="24"/>
                <w:u w:val="none"/>
                <w14:textFill>
                  <w14:solidFill>
                    <w14:schemeClr w14:val="tx1"/>
                  </w14:solidFill>
                </w14:textFill>
              </w:rPr>
              <w:t>（2）加大栖息地保护，施工过程应合理安排，尽量避开敏感期，缩小影响范围，缩短影响时间。减少人为对环境的干扰、污染与破坏。合理安排设施设备的使用，减少噪声设备的使用时间和强度。</w:t>
            </w:r>
          </w:p>
          <w:p w14:paraId="6FCA4FF9">
            <w:pPr>
              <w:pStyle w:val="87"/>
              <w:spacing w:line="360" w:lineRule="auto"/>
              <w:ind w:firstLine="480" w:firstLineChars="200"/>
              <w:rPr>
                <w:rFonts w:ascii="Times New Roman" w:hAnsi="Times New Roman" w:cs="Times New Roman"/>
                <w:color w:val="FF0000"/>
                <w:kern w:val="0"/>
                <w:sz w:val="24"/>
                <w:u w:val="none"/>
              </w:rPr>
            </w:pPr>
            <w:r>
              <w:rPr>
                <w:rFonts w:ascii="Times New Roman" w:hAnsi="Times New Roman" w:cs="Times New Roman"/>
                <w:color w:val="000000" w:themeColor="text1"/>
                <w:kern w:val="0"/>
                <w:sz w:val="24"/>
                <w:u w:val="none"/>
                <w14:textFill>
                  <w14:solidFill>
                    <w14:schemeClr w14:val="tx1"/>
                  </w14:solidFill>
                </w14:textFill>
              </w:rPr>
              <w:t>（3）恢复和改善重点保护野生动物的栖息地环境，并开展定期的重点保护野生动物及生境调查监测与研究。保护自然植被，防止因工程施工对植被可能出现的破坏，并通过加快植树造林，尽快恢复工程临时占用的林地，从根本上有效的保护评价区</w:t>
            </w:r>
            <w:r>
              <w:rPr>
                <w:rFonts w:hint="eastAsia" w:cs="Times New Roman"/>
                <w:color w:val="000000" w:themeColor="text1"/>
                <w:kern w:val="0"/>
                <w:sz w:val="24"/>
                <w:u w:val="none"/>
                <w:lang w:val="en-US" w:eastAsia="zh-CN"/>
                <w14:textFill>
                  <w14:solidFill>
                    <w14:schemeClr w14:val="tx1"/>
                  </w14:solidFill>
                </w14:textFill>
              </w:rPr>
              <w:t>内</w:t>
            </w:r>
            <w:r>
              <w:rPr>
                <w:rFonts w:ascii="Times New Roman" w:hAnsi="Times New Roman" w:cs="Times New Roman"/>
                <w:color w:val="000000" w:themeColor="text1"/>
                <w:kern w:val="0"/>
                <w:sz w:val="24"/>
                <w:u w:val="none"/>
                <w14:textFill>
                  <w14:solidFill>
                    <w14:schemeClr w14:val="tx1"/>
                  </w14:solidFill>
                </w14:textFill>
              </w:rPr>
              <w:t>鸟类及其它动物。</w:t>
            </w:r>
          </w:p>
          <w:p w14:paraId="06491965">
            <w:pPr>
              <w:pStyle w:val="4"/>
              <w:rPr>
                <w:color w:val="000000" w:themeColor="text1"/>
                <w14:textFill>
                  <w14:solidFill>
                    <w14:schemeClr w14:val="tx1"/>
                  </w14:solidFill>
                </w14:textFill>
              </w:rPr>
            </w:pPr>
            <w:bookmarkStart w:id="252" w:name="_Toc119425336"/>
            <w:r>
              <w:rPr>
                <w:color w:val="000000" w:themeColor="text1"/>
                <w14:textFill>
                  <w14:solidFill>
                    <w14:schemeClr w14:val="tx1"/>
                  </w14:solidFill>
                </w14:textFill>
              </w:rPr>
              <w:t>施工中生态保护措施</w:t>
            </w:r>
            <w:bookmarkEnd w:id="252"/>
          </w:p>
          <w:p w14:paraId="3C5322E0">
            <w:pPr>
              <w:ind w:firstLine="480"/>
              <w:rPr>
                <w:rFonts w:ascii="Times New Roman" w:hAnsi="Times New Roman" w:cs="Times New Roman"/>
                <w:color w:val="000000" w:themeColor="text1"/>
                <w:kern w:val="20"/>
                <w:sz w:val="24"/>
                <w14:textFill>
                  <w14:solidFill>
                    <w14:schemeClr w14:val="tx1"/>
                  </w14:solidFill>
                </w14:textFill>
              </w:rPr>
            </w:pPr>
            <w:r>
              <w:rPr>
                <w:rFonts w:ascii="Times New Roman" w:hAnsi="Times New Roman" w:cs="Times New Roman"/>
                <w:color w:val="000000" w:themeColor="text1"/>
                <w:kern w:val="20"/>
                <w:sz w:val="24"/>
                <w14:textFill>
                  <w14:solidFill>
                    <w14:schemeClr w14:val="tx1"/>
                  </w14:solidFill>
                </w14:textFill>
              </w:rPr>
              <w:t>本工程总占地面积</w:t>
            </w:r>
            <w:r>
              <w:rPr>
                <w:rFonts w:hint="eastAsia" w:cs="Times New Roman"/>
                <w:color w:val="000000" w:themeColor="text1"/>
                <w:sz w:val="24"/>
                <w:lang w:val="en-US" w:eastAsia="zh-CN"/>
                <w14:textFill>
                  <w14:solidFill>
                    <w14:schemeClr w14:val="tx1"/>
                  </w14:solidFill>
                </w14:textFill>
              </w:rPr>
              <w:t>68.26</w:t>
            </w:r>
            <w:r>
              <w:rPr>
                <w:rFonts w:ascii="Times New Roman" w:hAnsi="Times New Roman" w:cs="Times New Roman"/>
                <w:color w:val="000000" w:themeColor="text1"/>
                <w:sz w:val="24"/>
                <w14:textFill>
                  <w14:solidFill>
                    <w14:schemeClr w14:val="tx1"/>
                  </w14:solidFill>
                </w14:textFill>
              </w:rPr>
              <w:t>hm</w:t>
            </w:r>
            <w:r>
              <w:rPr>
                <w:rFonts w:ascii="Times New Roman" w:hAnsi="Times New Roman" w:cs="Times New Roman"/>
                <w:color w:val="000000" w:themeColor="text1"/>
                <w:sz w:val="24"/>
                <w:vertAlign w:val="superscript"/>
                <w14:textFill>
                  <w14:solidFill>
                    <w14:schemeClr w14:val="tx1"/>
                  </w14:solidFill>
                </w14:textFill>
              </w:rPr>
              <w:t>2</w:t>
            </w:r>
            <w:r>
              <w:rPr>
                <w:rFonts w:ascii="Times New Roman" w:hAnsi="Times New Roman" w:cs="Times New Roman"/>
                <w:color w:val="000000" w:themeColor="text1"/>
                <w:kern w:val="20"/>
                <w:sz w:val="24"/>
                <w14:textFill>
                  <w14:solidFill>
                    <w14:schemeClr w14:val="tx1"/>
                  </w14:solidFill>
                </w14:textFill>
              </w:rPr>
              <w:t>，均是鸟类的觅食地和栖息地。建议弃渣场要尽量利用较空旷、植被较少的土地。施工所用的运输道路尽量利用原有的道路进行改扩建。当场内道路穿越林地时，尽量选择在林地的边缘穿过，以避免形成新的隔离带。同时，建议优化风机吊装平台、施工临建设施等临时用地的占地，尽量减少对植被的破坏。</w:t>
            </w:r>
          </w:p>
          <w:p w14:paraId="643A0C4E">
            <w:pPr>
              <w:pStyle w:val="3"/>
              <w:numPr>
                <w:ilvl w:val="0"/>
                <w:numId w:val="0"/>
              </w:numPr>
              <w:tabs>
                <w:tab w:val="left" w:pos="425"/>
                <w:tab w:val="clear" w:pos="420"/>
              </w:tabs>
              <w:rPr>
                <w:rFonts w:cs="Times New Roman"/>
                <w:color w:val="000000" w:themeColor="text1"/>
                <w:szCs w:val="21"/>
                <w14:textFill>
                  <w14:solidFill>
                    <w14:schemeClr w14:val="tx1"/>
                  </w14:solidFill>
                </w14:textFill>
              </w:rPr>
            </w:pPr>
            <w:bookmarkStart w:id="253" w:name="_Toc30532247"/>
            <w:bookmarkStart w:id="254" w:name="_Toc7428"/>
            <w:bookmarkStart w:id="255" w:name="_Toc23176"/>
            <w:bookmarkStart w:id="256" w:name="_Toc467060356"/>
            <w:r>
              <w:rPr>
                <w:rFonts w:cs="Times New Roman"/>
                <w:color w:val="000000" w:themeColor="text1"/>
                <w:szCs w:val="21"/>
                <w14:textFill>
                  <w14:solidFill>
                    <w14:schemeClr w14:val="tx1"/>
                  </w14:solidFill>
                </w14:textFill>
              </w:rPr>
              <w:t>5.2 施工期声环境保护措施</w:t>
            </w:r>
            <w:bookmarkEnd w:id="253"/>
            <w:bookmarkEnd w:id="254"/>
            <w:bookmarkEnd w:id="255"/>
            <w:bookmarkEnd w:id="256"/>
          </w:p>
          <w:p w14:paraId="709E9CE4">
            <w:pPr>
              <w:pStyle w:val="4"/>
              <w:tabs>
                <w:tab w:val="left" w:pos="425"/>
              </w:tabs>
              <w:rPr>
                <w:color w:val="000000" w:themeColor="text1"/>
                <w:szCs w:val="24"/>
                <w:u w:val="none"/>
                <w14:textFill>
                  <w14:solidFill>
                    <w14:schemeClr w14:val="tx1"/>
                  </w14:solidFill>
                </w14:textFill>
              </w:rPr>
            </w:pPr>
            <w:bookmarkStart w:id="257" w:name="_Toc23612"/>
            <w:r>
              <w:rPr>
                <w:color w:val="000000" w:themeColor="text1"/>
                <w:szCs w:val="24"/>
                <w:u w:val="none"/>
                <w14:textFill>
                  <w14:solidFill>
                    <w14:schemeClr w14:val="tx1"/>
                  </w14:solidFill>
                </w14:textFill>
              </w:rPr>
              <w:t>5.2.1 噪声源控制措施</w:t>
            </w:r>
            <w:bookmarkEnd w:id="257"/>
          </w:p>
          <w:p w14:paraId="266C55EF">
            <w:pPr>
              <w:ind w:firstLine="480" w:firstLineChars="200"/>
              <w:rPr>
                <w:color w:val="000000" w:themeColor="text1"/>
                <w:u w:val="none"/>
                <w14:textFill>
                  <w14:solidFill>
                    <w14:schemeClr w14:val="tx1"/>
                  </w14:solidFill>
                </w14:textFill>
              </w:rPr>
            </w:pPr>
            <w:r>
              <w:rPr>
                <w:color w:val="000000" w:themeColor="text1"/>
                <w:u w:val="none"/>
                <w14:textFill>
                  <w14:solidFill>
                    <w14:schemeClr w14:val="tx1"/>
                  </w14:solidFill>
                </w14:textFill>
              </w:rPr>
              <w:t>主要是指固定点源控制</w:t>
            </w:r>
          </w:p>
          <w:p w14:paraId="324767B2">
            <w:pPr>
              <w:ind w:firstLine="480" w:firstLineChars="200"/>
              <w:rPr>
                <w:color w:val="000000" w:themeColor="text1"/>
                <w:u w:val="none"/>
                <w14:textFill>
                  <w14:solidFill>
                    <w14:schemeClr w14:val="tx1"/>
                  </w14:solidFill>
                </w14:textFill>
              </w:rPr>
            </w:pPr>
            <w:r>
              <w:rPr>
                <w:color w:val="000000" w:themeColor="text1"/>
                <w:u w:val="none"/>
                <w14:textFill>
                  <w14:solidFill>
                    <w14:schemeClr w14:val="tx1"/>
                  </w14:solidFill>
                </w14:textFill>
              </w:rPr>
              <w:t>①施工单位必须选用低噪声的施工机械和设备，从源头上降低噪声的影响；应尽量缩短高噪音机械设备的使用时间，配备、使用减震坐垫和隔音装置，降低噪声源的声级强度；</w:t>
            </w:r>
          </w:p>
          <w:p w14:paraId="1890311E">
            <w:pPr>
              <w:ind w:firstLine="480" w:firstLineChars="200"/>
              <w:rPr>
                <w:color w:val="000000" w:themeColor="text1"/>
                <w:u w:val="none"/>
                <w14:textFill>
                  <w14:solidFill>
                    <w14:schemeClr w14:val="tx1"/>
                  </w14:solidFill>
                </w14:textFill>
              </w:rPr>
            </w:pPr>
            <w:r>
              <w:rPr>
                <w:color w:val="000000" w:themeColor="text1"/>
                <w:u w:val="none"/>
                <w14:textFill>
                  <w14:solidFill>
                    <w14:schemeClr w14:val="tx1"/>
                  </w14:solidFill>
                </w14:textFill>
              </w:rPr>
              <w:t>②加强设备的维护和保养，保持机械润滑，降低运行噪声；</w:t>
            </w:r>
          </w:p>
          <w:p w14:paraId="284003E1">
            <w:pPr>
              <w:ind w:firstLine="480" w:firstLineChars="200"/>
              <w:rPr>
                <w:color w:val="000000" w:themeColor="text1"/>
                <w:u w:val="none"/>
                <w14:textFill>
                  <w14:solidFill>
                    <w14:schemeClr w14:val="tx1"/>
                  </w14:solidFill>
                </w14:textFill>
              </w:rPr>
            </w:pPr>
            <w:r>
              <w:rPr>
                <w:color w:val="000000" w:themeColor="text1"/>
                <w:u w:val="none"/>
                <w14:textFill>
                  <w14:solidFill>
                    <w14:schemeClr w14:val="tx1"/>
                  </w14:solidFill>
                </w14:textFill>
              </w:rPr>
              <w:t>③施工爆破过程中，优先采用先进爆破技术，如微差松动爆破可降低噪声3~10dB。</w:t>
            </w:r>
          </w:p>
          <w:p w14:paraId="1A1AF0D6">
            <w:pPr>
              <w:pStyle w:val="4"/>
              <w:tabs>
                <w:tab w:val="left" w:pos="425"/>
              </w:tabs>
              <w:rPr>
                <w:color w:val="000000" w:themeColor="text1"/>
                <w:szCs w:val="24"/>
                <w:u w:val="none"/>
                <w14:textFill>
                  <w14:solidFill>
                    <w14:schemeClr w14:val="tx1"/>
                  </w14:solidFill>
                </w14:textFill>
              </w:rPr>
            </w:pPr>
            <w:bookmarkStart w:id="258" w:name="_Toc26858"/>
            <w:r>
              <w:rPr>
                <w:color w:val="000000" w:themeColor="text1"/>
                <w:szCs w:val="24"/>
                <w:u w:val="none"/>
                <w14:textFill>
                  <w14:solidFill>
                    <w14:schemeClr w14:val="tx1"/>
                  </w14:solidFill>
                </w14:textFill>
              </w:rPr>
              <w:t>5.2.2 交通噪声控制</w:t>
            </w:r>
            <w:bookmarkEnd w:id="258"/>
          </w:p>
          <w:p w14:paraId="54685F83">
            <w:pPr>
              <w:ind w:firstLine="480" w:firstLineChars="200"/>
              <w:rPr>
                <w:color w:val="000000" w:themeColor="text1"/>
                <w:u w:val="none"/>
                <w14:textFill>
                  <w14:solidFill>
                    <w14:schemeClr w14:val="tx1"/>
                  </w14:solidFill>
                </w14:textFill>
              </w:rPr>
            </w:pPr>
            <w:r>
              <w:rPr>
                <w:color w:val="000000" w:themeColor="text1"/>
                <w:u w:val="none"/>
                <w14:textFill>
                  <w14:solidFill>
                    <w14:schemeClr w14:val="tx1"/>
                  </w14:solidFill>
                </w14:textFill>
              </w:rPr>
              <w:t>为降低新建道路施工和车辆运输对本项目新建道路沿线居民的影响，应采取以下措施：</w:t>
            </w:r>
          </w:p>
          <w:p w14:paraId="2F55986B">
            <w:pPr>
              <w:ind w:firstLine="480" w:firstLineChars="200"/>
              <w:rPr>
                <w:color w:val="000000" w:themeColor="text1"/>
                <w:u w:val="none"/>
                <w14:textFill>
                  <w14:solidFill>
                    <w14:schemeClr w14:val="tx1"/>
                  </w14:solidFill>
                </w14:textFill>
              </w:rPr>
            </w:pPr>
            <w:r>
              <w:rPr>
                <w:color w:val="000000" w:themeColor="text1"/>
                <w:u w:val="none"/>
                <w14:textFill>
                  <w14:solidFill>
                    <w14:schemeClr w14:val="tx1"/>
                  </w14:solidFill>
                </w14:textFill>
              </w:rPr>
              <w:t>①施工单位必须选用符合国家有关环境保护标准的施工机械，如运输车辆噪声符合《汽车定置噪声限制》</w:t>
            </w:r>
            <w:r>
              <w:rPr>
                <w:rFonts w:hint="eastAsia"/>
                <w:color w:val="000000" w:themeColor="text1"/>
                <w:u w:val="none"/>
                <w:lang w:eastAsia="zh-CN"/>
                <w14:textFill>
                  <w14:solidFill>
                    <w14:schemeClr w14:val="tx1"/>
                  </w14:solidFill>
                </w14:textFill>
              </w:rPr>
              <w:t>（</w:t>
            </w:r>
            <w:r>
              <w:rPr>
                <w:color w:val="000000" w:themeColor="text1"/>
                <w:u w:val="none"/>
                <w14:textFill>
                  <w14:solidFill>
                    <w14:schemeClr w14:val="tx1"/>
                  </w14:solidFill>
                </w14:textFill>
              </w:rPr>
              <w:t>GB16170-1996</w:t>
            </w:r>
            <w:r>
              <w:rPr>
                <w:rFonts w:hint="eastAsia"/>
                <w:color w:val="000000" w:themeColor="text1"/>
                <w:u w:val="none"/>
                <w:lang w:eastAsia="zh-CN"/>
                <w14:textFill>
                  <w14:solidFill>
                    <w14:schemeClr w14:val="tx1"/>
                  </w14:solidFill>
                </w14:textFill>
              </w:rPr>
              <w:t>）</w:t>
            </w:r>
            <w:r>
              <w:rPr>
                <w:color w:val="000000" w:themeColor="text1"/>
                <w:u w:val="none"/>
                <w14:textFill>
                  <w14:solidFill>
                    <w14:schemeClr w14:val="tx1"/>
                  </w14:solidFill>
                </w14:textFill>
              </w:rPr>
              <w:t>和《机动车辆允许噪声》</w:t>
            </w:r>
            <w:r>
              <w:rPr>
                <w:rFonts w:hint="eastAsia"/>
                <w:color w:val="000000" w:themeColor="text1"/>
                <w:u w:val="none"/>
                <w:lang w:eastAsia="zh-CN"/>
                <w14:textFill>
                  <w14:solidFill>
                    <w14:schemeClr w14:val="tx1"/>
                  </w14:solidFill>
                </w14:textFill>
              </w:rPr>
              <w:t>（</w:t>
            </w:r>
            <w:r>
              <w:rPr>
                <w:color w:val="000000" w:themeColor="text1"/>
                <w:u w:val="none"/>
                <w14:textFill>
                  <w14:solidFill>
                    <w14:schemeClr w14:val="tx1"/>
                  </w14:solidFill>
                </w14:textFill>
              </w:rPr>
              <w:t>GB1495-79</w:t>
            </w:r>
            <w:r>
              <w:rPr>
                <w:rFonts w:hint="eastAsia"/>
                <w:color w:val="000000" w:themeColor="text1"/>
                <w:u w:val="none"/>
                <w:lang w:eastAsia="zh-CN"/>
                <w14:textFill>
                  <w14:solidFill>
                    <w14:schemeClr w14:val="tx1"/>
                  </w14:solidFill>
                </w14:textFill>
              </w:rPr>
              <w:t>）</w:t>
            </w:r>
            <w:r>
              <w:rPr>
                <w:color w:val="000000" w:themeColor="text1"/>
                <w:u w:val="none"/>
                <w14:textFill>
                  <w14:solidFill>
                    <w14:schemeClr w14:val="tx1"/>
                  </w14:solidFill>
                </w14:textFill>
              </w:rPr>
              <w:t>，其它施工机械符合《建筑施工场界环境噪声排放标准》</w:t>
            </w:r>
            <w:r>
              <w:rPr>
                <w:rFonts w:hint="eastAsia"/>
                <w:color w:val="000000" w:themeColor="text1"/>
                <w:u w:val="none"/>
                <w:lang w:eastAsia="zh-CN"/>
                <w14:textFill>
                  <w14:solidFill>
                    <w14:schemeClr w14:val="tx1"/>
                  </w14:solidFill>
                </w14:textFill>
              </w:rPr>
              <w:t>（</w:t>
            </w:r>
            <w:r>
              <w:rPr>
                <w:color w:val="000000" w:themeColor="text1"/>
                <w:u w:val="none"/>
                <w14:textFill>
                  <w14:solidFill>
                    <w14:schemeClr w14:val="tx1"/>
                  </w14:solidFill>
                </w14:textFill>
              </w:rPr>
              <w:t>GB12523-2011</w:t>
            </w:r>
            <w:r>
              <w:rPr>
                <w:rFonts w:hint="eastAsia"/>
                <w:color w:val="000000" w:themeColor="text1"/>
                <w:u w:val="none"/>
                <w:lang w:eastAsia="zh-CN"/>
                <w14:textFill>
                  <w14:solidFill>
                    <w14:schemeClr w14:val="tx1"/>
                  </w14:solidFill>
                </w14:textFill>
              </w:rPr>
              <w:t>）</w:t>
            </w:r>
            <w:r>
              <w:rPr>
                <w:color w:val="000000" w:themeColor="text1"/>
                <w:u w:val="none"/>
                <w14:textFill>
                  <w14:solidFill>
                    <w14:schemeClr w14:val="tx1"/>
                  </w14:solidFill>
                </w14:textFill>
              </w:rPr>
              <w:t>，从根本上降低噪声源强。</w:t>
            </w:r>
          </w:p>
          <w:p w14:paraId="161B202A">
            <w:pPr>
              <w:ind w:firstLine="480" w:firstLineChars="200"/>
              <w:rPr>
                <w:color w:val="000000" w:themeColor="text1"/>
                <w:u w:val="none"/>
                <w14:textFill>
                  <w14:solidFill>
                    <w14:schemeClr w14:val="tx1"/>
                  </w14:solidFill>
                </w14:textFill>
              </w:rPr>
            </w:pPr>
            <w:r>
              <w:rPr>
                <w:color w:val="000000" w:themeColor="text1"/>
                <w:u w:val="none"/>
                <w14:textFill>
                  <w14:solidFill>
                    <w14:schemeClr w14:val="tx1"/>
                  </w14:solidFill>
                </w14:textFill>
              </w:rPr>
              <w:t>②施工中，加强各种机械设备的维修和保养，做好机械设备使用前的检修，使设备性能处于良好状态，运行时可减少噪声。配备、使用减震坐垫和隔音装置，减低噪声源的声级强度。</w:t>
            </w:r>
          </w:p>
          <w:p w14:paraId="4DCF4712">
            <w:pPr>
              <w:ind w:firstLine="480" w:firstLineChars="200"/>
              <w:rPr>
                <w:color w:val="000000" w:themeColor="text1"/>
                <w:u w:val="none"/>
                <w14:textFill>
                  <w14:solidFill>
                    <w14:schemeClr w14:val="tx1"/>
                  </w14:solidFill>
                </w14:textFill>
              </w:rPr>
            </w:pPr>
            <w:r>
              <w:rPr>
                <w:color w:val="000000" w:themeColor="text1"/>
                <w:u w:val="none"/>
                <w14:textFill>
                  <w14:solidFill>
                    <w14:schemeClr w14:val="tx1"/>
                  </w14:solidFill>
                </w14:textFill>
              </w:rPr>
              <w:t>③</w:t>
            </w:r>
            <w:r>
              <w:rPr>
                <w:rFonts w:hint="eastAsia"/>
                <w:color w:val="000000" w:themeColor="text1"/>
                <w:u w:val="none"/>
                <w14:textFill>
                  <w14:solidFill>
                    <w14:schemeClr w14:val="tx1"/>
                  </w14:solidFill>
                </w14:textFill>
              </w:rPr>
              <w:t>新建</w:t>
            </w:r>
            <w:r>
              <w:rPr>
                <w:color w:val="000000" w:themeColor="text1"/>
                <w:u w:val="none"/>
                <w14:textFill>
                  <w14:solidFill>
                    <w14:schemeClr w14:val="tx1"/>
                  </w14:solidFill>
                </w14:textFill>
              </w:rPr>
              <w:t>道路施工应尽量缩短高噪声施工作业、机械设备的使用时间，靠近居民路段应禁止夜间施工，昼间尽量在上午8:30～11:30、下午2:30～6:30进行施工；并尽量知会受影响的居民，做好防范措施。</w:t>
            </w:r>
          </w:p>
          <w:p w14:paraId="07C925D1">
            <w:pPr>
              <w:ind w:firstLine="480" w:firstLineChars="200"/>
              <w:rPr>
                <w:color w:val="000000" w:themeColor="text1"/>
                <w:u w:val="none"/>
                <w14:textFill>
                  <w14:solidFill>
                    <w14:schemeClr w14:val="tx1"/>
                  </w14:solidFill>
                </w14:textFill>
              </w:rPr>
            </w:pPr>
            <w:r>
              <w:rPr>
                <w:color w:val="000000" w:themeColor="text1"/>
                <w:u w:val="none"/>
                <w14:textFill>
                  <w14:solidFill>
                    <w14:schemeClr w14:val="tx1"/>
                  </w14:solidFill>
                </w14:textFill>
              </w:rPr>
              <w:t>④为减少施工运输车辆对运输道路两侧居民，材料运输应选在白天进行，同时加强道路养护和车辆的维修保养，在靠近居民路段设减速警示牌，降低机动车辆行使的振动速度。</w:t>
            </w:r>
          </w:p>
          <w:p w14:paraId="55573ACE">
            <w:pPr>
              <w:ind w:firstLine="480" w:firstLineChars="200"/>
              <w:rPr>
                <w:color w:val="000000" w:themeColor="text1"/>
                <w:u w:val="none"/>
                <w14:textFill>
                  <w14:solidFill>
                    <w14:schemeClr w14:val="tx1"/>
                  </w14:solidFill>
                </w14:textFill>
              </w:rPr>
            </w:pPr>
            <w:r>
              <w:rPr>
                <w:color w:val="000000" w:themeColor="text1"/>
                <w:u w:val="none"/>
                <w14:textFill>
                  <w14:solidFill>
                    <w14:schemeClr w14:val="tx1"/>
                  </w14:solidFill>
                </w14:textFill>
              </w:rPr>
              <w:t>⑤应加强施工管理措施，要求该区域施工发包合同条款中具有声环境质量保护条款，同时进行噪声监测、环境保护工程监理和政府及社会各界的监督。</w:t>
            </w:r>
          </w:p>
          <w:p w14:paraId="1FEF0A8D">
            <w:pPr>
              <w:ind w:firstLine="480" w:firstLineChars="200"/>
              <w:rPr>
                <w:color w:val="000000" w:themeColor="text1"/>
                <w:u w:val="none"/>
                <w14:textFill>
                  <w14:solidFill>
                    <w14:schemeClr w14:val="tx1"/>
                  </w14:solidFill>
                </w14:textFill>
              </w:rPr>
            </w:pPr>
            <w:r>
              <w:rPr>
                <w:color w:val="000000" w:themeColor="text1"/>
                <w:u w:val="none"/>
                <w14:textFill>
                  <w14:solidFill>
                    <w14:schemeClr w14:val="tx1"/>
                  </w14:solidFill>
                </w14:textFill>
              </w:rPr>
              <w:t>⑥建设单位还应对运输道路沿线有居民居住的路段进行跟踪监测，在本项目施工期，纳入施工期跟踪监测范围，并应作为施工期监理的重要内容，同时预留环保资金。</w:t>
            </w:r>
          </w:p>
          <w:p w14:paraId="6784B5E6">
            <w:pPr>
              <w:pStyle w:val="4"/>
              <w:tabs>
                <w:tab w:val="left" w:pos="425"/>
              </w:tabs>
              <w:rPr>
                <w:color w:val="000000" w:themeColor="text1"/>
                <w:szCs w:val="24"/>
                <w:u w:val="none"/>
                <w14:textFill>
                  <w14:solidFill>
                    <w14:schemeClr w14:val="tx1"/>
                  </w14:solidFill>
                </w14:textFill>
              </w:rPr>
            </w:pPr>
            <w:bookmarkStart w:id="259" w:name="_Toc11339"/>
            <w:r>
              <w:rPr>
                <w:color w:val="000000" w:themeColor="text1"/>
                <w:szCs w:val="24"/>
                <w:u w:val="none"/>
                <w14:textFill>
                  <w14:solidFill>
                    <w14:schemeClr w14:val="tx1"/>
                  </w14:solidFill>
                </w14:textFill>
              </w:rPr>
              <w:t>5.2.3 其他措施</w:t>
            </w:r>
            <w:bookmarkEnd w:id="259"/>
          </w:p>
          <w:p w14:paraId="273E9BA9">
            <w:pPr>
              <w:ind w:firstLine="480" w:firstLineChars="200"/>
              <w:rPr>
                <w:color w:val="000000" w:themeColor="text1"/>
                <w:u w:val="none"/>
                <w14:textFill>
                  <w14:solidFill>
                    <w14:schemeClr w14:val="tx1"/>
                  </w14:solidFill>
                </w14:textFill>
              </w:rPr>
            </w:pPr>
            <w:r>
              <w:rPr>
                <w:color w:val="000000" w:themeColor="text1"/>
                <w:u w:val="none"/>
                <w14:textFill>
                  <w14:solidFill>
                    <w14:schemeClr w14:val="tx1"/>
                  </w14:solidFill>
                </w14:textFill>
              </w:rPr>
              <w:t>（1）合理安排施工时间</w:t>
            </w:r>
          </w:p>
          <w:p w14:paraId="3F783FC7">
            <w:pPr>
              <w:ind w:firstLine="480" w:firstLineChars="200"/>
              <w:rPr>
                <w:color w:val="000000" w:themeColor="text1"/>
                <w:u w:val="none"/>
                <w14:textFill>
                  <w14:solidFill>
                    <w14:schemeClr w14:val="tx1"/>
                  </w14:solidFill>
                </w14:textFill>
              </w:rPr>
            </w:pPr>
            <w:r>
              <w:rPr>
                <w:color w:val="000000" w:themeColor="text1"/>
                <w:u w:val="none"/>
                <w14:textFill>
                  <w14:solidFill>
                    <w14:schemeClr w14:val="tx1"/>
                  </w14:solidFill>
                </w14:textFill>
              </w:rPr>
              <w:t>施工单位应合理安排施工时间，运输和施工作业尽量安排在上午8:30～11:30、下午2:30～6:30进行，严禁夜间进行爆破等源强大的施工活动，尽量避免夜间施工，防止对周围居民的噪声干扰。</w:t>
            </w:r>
          </w:p>
          <w:p w14:paraId="45ADD043">
            <w:pPr>
              <w:ind w:firstLine="480" w:firstLineChars="200"/>
              <w:rPr>
                <w:color w:val="000000" w:themeColor="text1"/>
                <w:u w:val="none"/>
                <w14:textFill>
                  <w14:solidFill>
                    <w14:schemeClr w14:val="tx1"/>
                  </w14:solidFill>
                </w14:textFill>
              </w:rPr>
            </w:pPr>
            <w:r>
              <w:rPr>
                <w:color w:val="000000" w:themeColor="text1"/>
                <w:u w:val="none"/>
                <w14:textFill>
                  <w14:solidFill>
                    <w14:schemeClr w14:val="tx1"/>
                  </w14:solidFill>
                </w14:textFill>
              </w:rPr>
              <w:t>（2）劳动保护措施</w:t>
            </w:r>
          </w:p>
          <w:p w14:paraId="7CD03136">
            <w:pPr>
              <w:ind w:firstLine="480" w:firstLineChars="200"/>
              <w:rPr>
                <w:color w:val="000000" w:themeColor="text1"/>
                <w:u w:val="none"/>
                <w14:textFill>
                  <w14:solidFill>
                    <w14:schemeClr w14:val="tx1"/>
                  </w14:solidFill>
                </w14:textFill>
              </w:rPr>
            </w:pPr>
            <w:r>
              <w:rPr>
                <w:color w:val="000000" w:themeColor="text1"/>
                <w:u w:val="none"/>
                <w14:textFill>
                  <w14:solidFill>
                    <w14:schemeClr w14:val="tx1"/>
                  </w14:solidFill>
                </w14:textFill>
              </w:rPr>
              <w:t>对于强噪声源，如作业区，尽量提高作业的自动化程度，实现远距离的监视操作，既可以减少作业人员，又可以使作业人员尽量远离噪声源。在施工过程中，当施工人员进入强噪声环境中作业时，如凿岩、钻孔、开挖、机械检修工等，应给施工人员配戴防噪声耳塞、耳罩、防声棉、防噪声头盔等个人防护工具，具体的防护工具根据不同岗位择优选取使用。</w:t>
            </w:r>
          </w:p>
          <w:p w14:paraId="506351E2">
            <w:pPr>
              <w:ind w:firstLine="480" w:firstLineChars="200"/>
              <w:rPr>
                <w:color w:val="000000" w:themeColor="text1"/>
                <w:u w:val="none"/>
                <w14:textFill>
                  <w14:solidFill>
                    <w14:schemeClr w14:val="tx1"/>
                  </w14:solidFill>
                </w14:textFill>
              </w:rPr>
            </w:pPr>
            <w:r>
              <w:rPr>
                <w:color w:val="000000" w:themeColor="text1"/>
                <w:u w:val="none"/>
                <w14:textFill>
                  <w14:solidFill>
                    <w14:schemeClr w14:val="tx1"/>
                  </w14:solidFill>
                </w14:textFill>
              </w:rPr>
              <w:t>（3）发布公告公示</w:t>
            </w:r>
          </w:p>
          <w:p w14:paraId="4D270E64">
            <w:pPr>
              <w:ind w:firstLine="480" w:firstLineChars="200"/>
              <w:rPr>
                <w:color w:val="000000" w:themeColor="text1"/>
                <w:u w:val="none"/>
                <w14:textFill>
                  <w14:solidFill>
                    <w14:schemeClr w14:val="tx1"/>
                  </w14:solidFill>
                </w14:textFill>
              </w:rPr>
            </w:pPr>
            <w:r>
              <w:rPr>
                <w:color w:val="000000" w:themeColor="text1"/>
                <w:u w:val="none"/>
                <w14:textFill>
                  <w14:solidFill>
                    <w14:schemeClr w14:val="tx1"/>
                  </w14:solidFill>
                </w14:textFill>
              </w:rPr>
              <w:t>加强与敏感点的沟通，在施工前首先在工程影响范围内，特别是工程周边敏感目标处，以张贴公告或其他方式对施工情况发布公告，以获得谅解。</w:t>
            </w:r>
          </w:p>
          <w:p w14:paraId="6FE4956D">
            <w:pPr>
              <w:pStyle w:val="3"/>
              <w:numPr>
                <w:ilvl w:val="0"/>
                <w:numId w:val="0"/>
              </w:numPr>
              <w:tabs>
                <w:tab w:val="left" w:pos="425"/>
                <w:tab w:val="clear" w:pos="420"/>
              </w:tabs>
              <w:rPr>
                <w:rFonts w:cs="Times New Roman"/>
                <w:color w:val="000000" w:themeColor="text1"/>
                <w:szCs w:val="21"/>
                <w14:textFill>
                  <w14:solidFill>
                    <w14:schemeClr w14:val="tx1"/>
                  </w14:solidFill>
                </w14:textFill>
              </w:rPr>
            </w:pPr>
            <w:bookmarkStart w:id="260" w:name="_Toc10782"/>
            <w:bookmarkStart w:id="261" w:name="_Toc30532248"/>
            <w:bookmarkStart w:id="262" w:name="_Toc3226"/>
            <w:bookmarkStart w:id="263" w:name="_Toc467060357"/>
            <w:r>
              <w:rPr>
                <w:rFonts w:cs="Times New Roman"/>
                <w:color w:val="000000" w:themeColor="text1"/>
                <w:szCs w:val="21"/>
                <w14:textFill>
                  <w14:solidFill>
                    <w14:schemeClr w14:val="tx1"/>
                  </w14:solidFill>
                </w14:textFill>
              </w:rPr>
              <w:t>5.3 施工期地表水环境保护措施</w:t>
            </w:r>
            <w:bookmarkEnd w:id="260"/>
            <w:bookmarkEnd w:id="261"/>
            <w:bookmarkEnd w:id="262"/>
            <w:bookmarkEnd w:id="263"/>
          </w:p>
          <w:p w14:paraId="3904BE1E">
            <w:pPr>
              <w:pStyle w:val="4"/>
              <w:tabs>
                <w:tab w:val="left" w:pos="425"/>
              </w:tabs>
              <w:rPr>
                <w:color w:val="000000" w:themeColor="text1"/>
                <w:szCs w:val="24"/>
                <w14:textFill>
                  <w14:solidFill>
                    <w14:schemeClr w14:val="tx1"/>
                  </w14:solidFill>
                </w14:textFill>
              </w:rPr>
            </w:pPr>
            <w:bookmarkStart w:id="264" w:name="_Toc30791"/>
            <w:r>
              <w:rPr>
                <w:color w:val="000000" w:themeColor="text1"/>
                <w:szCs w:val="24"/>
                <w14:textFill>
                  <w14:solidFill>
                    <w14:schemeClr w14:val="tx1"/>
                  </w14:solidFill>
                </w14:textFill>
              </w:rPr>
              <w:t>5.3.1 施工期地表水环境保护措施</w:t>
            </w:r>
            <w:bookmarkEnd w:id="264"/>
          </w:p>
          <w:p w14:paraId="644DCD7A">
            <w:pPr>
              <w:ind w:firstLine="480" w:firstLineChars="200"/>
              <w:rPr>
                <w:color w:val="000000" w:themeColor="text1"/>
                <w:kern w:val="2"/>
                <w14:textFill>
                  <w14:solidFill>
                    <w14:schemeClr w14:val="tx1"/>
                  </w14:solidFill>
                </w14:textFill>
              </w:rPr>
            </w:pPr>
            <w:r>
              <w:rPr>
                <w:color w:val="000000" w:themeColor="text1"/>
                <w14:textFill>
                  <w14:solidFill>
                    <w14:schemeClr w14:val="tx1"/>
                  </w14:solidFill>
                </w14:textFill>
              </w:rPr>
              <w:t>施工设备与车辆清洗必须集中到施工生产生活区进行，并在施工生产生活区址区布设沉淀池和隔油池对上述废水一并进行处理。集中收集后进入沉淀池，经过沉淀后的污水，回用于道路洒水或场区绿化，污水处理过程中产生的污泥将自行堆肥，主要用于场区的绿化和生态恢复。</w:t>
            </w:r>
          </w:p>
          <w:p w14:paraId="52450224">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由于施工期较短，施工期生活污水可经化粪池处理后回用于场区绿化或植被恢复。从处理方式上看，采用隔油池进行机械和车辆冲洗废水的处理，能除去粒度在150μm以上的油，除油效果稳定、处理费用低；本工程施工期短，生活污水经化粪池处理后回用于场区绿化或植被恢复的处理方式较为经济，同时有利于场区的生态恢复。</w:t>
            </w:r>
          </w:p>
          <w:p w14:paraId="1D76129E">
            <w:pPr>
              <w:ind w:firstLine="480" w:firstLineChars="200"/>
              <w:rPr>
                <w:rFonts w:hint="eastAsia"/>
                <w:color w:val="000000" w:themeColor="text1"/>
                <w:u w:val="wave"/>
                <w14:textFill>
                  <w14:solidFill>
                    <w14:schemeClr w14:val="tx1"/>
                  </w14:solidFill>
                </w14:textFill>
              </w:rPr>
            </w:pPr>
            <w:r>
              <w:rPr>
                <w:rFonts w:hint="eastAsia"/>
                <w:color w:val="000000" w:themeColor="text1"/>
                <w:u w:val="wave"/>
                <w14:textFill>
                  <w14:solidFill>
                    <w14:schemeClr w14:val="tx1"/>
                  </w14:solidFill>
                </w14:textFill>
              </w:rPr>
              <w:t>本项目风机基础、箱变基础、场内道路、施工营地、风机吊装平台的开挖填筑将造成较大面积的地表裸露，自施工开始至施工场地覆土绿化之前，雨季期间雨水冲刷泥土，将造成水土流失，泥土随雨水进入地表水体，将会导致附近地表水体中悬浮物浓度升高，若进入小型溪沟中还可能会由于泥沙淤积堵塞溪沟。因此，本环评建议尽量避免在雨季施工，工程施工时应及时夯实开挖面土层，施工开挖边坡在雨季用塑料布进行遮盖，建议在施工场地的雨水汇流处设置沉淀池，雨水经沉淀后再排放；弃渣场应设置挡石墙和截排水沟，截排水沟尽头设置沉淀池，由于工程所在区域植被覆盖率较高，对弃渣场汇水有较好的过滤作用。</w:t>
            </w:r>
          </w:p>
          <w:p w14:paraId="27714F26">
            <w:pPr>
              <w:ind w:firstLine="480" w:firstLineChars="200"/>
              <w:rPr>
                <w:rFonts w:hint="eastAsia"/>
                <w:color w:val="000000" w:themeColor="text1"/>
                <w:u w:val="wave"/>
                <w14:textFill>
                  <w14:solidFill>
                    <w14:schemeClr w14:val="tx1"/>
                  </w14:solidFill>
                </w14:textFill>
              </w:rPr>
            </w:pPr>
            <w:r>
              <w:rPr>
                <w:rFonts w:hint="eastAsia"/>
                <w:color w:val="000000" w:themeColor="text1"/>
                <w:u w:val="wave"/>
                <w14:textFill>
                  <w14:solidFill>
                    <w14:schemeClr w14:val="tx1"/>
                  </w14:solidFill>
                </w14:textFill>
              </w:rPr>
              <w:t>同时各施工区域完成施工后应及时进行植被恢复（撒播草籽、种植树木、挂网种植等），以恢复其原有的水土保持功能，将场地汇水对周边水体的影响降至最低。</w:t>
            </w:r>
          </w:p>
          <w:p w14:paraId="157822A6">
            <w:pPr>
              <w:keepNext w:val="0"/>
              <w:keepLines w:val="0"/>
              <w:widowControl/>
              <w:suppressLineNumbers w:val="0"/>
              <w:ind w:firstLine="482" w:firstLineChars="200"/>
              <w:jc w:val="left"/>
              <w:rPr>
                <w:u w:val="wave"/>
              </w:rPr>
            </w:pPr>
            <w:r>
              <w:rPr>
                <w:rFonts w:hint="eastAsia" w:ascii="宋体" w:hAnsi="宋体" w:eastAsia="宋体" w:cs="宋体"/>
                <w:b/>
                <w:bCs/>
                <w:color w:val="000000"/>
                <w:kern w:val="0"/>
                <w:sz w:val="24"/>
                <w:szCs w:val="24"/>
                <w:u w:val="wave"/>
                <w:lang w:val="en-US" w:eastAsia="zh-CN" w:bidi="ar"/>
              </w:rPr>
              <w:t xml:space="preserve">周边敏感水体保护措施 </w:t>
            </w:r>
          </w:p>
          <w:p w14:paraId="6F0F38AC">
            <w:pPr>
              <w:keepNext w:val="0"/>
              <w:keepLines w:val="0"/>
              <w:widowControl/>
              <w:suppressLineNumbers w:val="0"/>
              <w:ind w:firstLine="480" w:firstLineChars="200"/>
              <w:jc w:val="left"/>
              <w:rPr>
                <w:u w:val="wave"/>
              </w:rPr>
            </w:pPr>
            <w:r>
              <w:rPr>
                <w:rFonts w:hint="eastAsia" w:ascii="宋体" w:hAnsi="宋体" w:eastAsia="宋体" w:cs="宋体"/>
                <w:color w:val="000000"/>
                <w:kern w:val="0"/>
                <w:sz w:val="24"/>
                <w:szCs w:val="24"/>
                <w:u w:val="wave"/>
                <w:lang w:val="en-US" w:eastAsia="zh-CN" w:bidi="ar"/>
              </w:rPr>
              <w:t xml:space="preserve">为减少水土流失，减轻雨水冲刷施工场地对周边饮用水水源水质的影响，建设单位施工过程中应采取必要的防治措施： </w:t>
            </w:r>
          </w:p>
          <w:p w14:paraId="0471ED88">
            <w:pPr>
              <w:keepNext w:val="0"/>
              <w:keepLines w:val="0"/>
              <w:widowControl/>
              <w:suppressLineNumbers w:val="0"/>
              <w:ind w:firstLine="480" w:firstLineChars="200"/>
              <w:jc w:val="left"/>
              <w:rPr>
                <w:u w:val="wave"/>
              </w:rPr>
            </w:pPr>
            <w:r>
              <w:rPr>
                <w:rFonts w:hint="eastAsia" w:ascii="宋体" w:hAnsi="宋体" w:eastAsia="宋体" w:cs="宋体"/>
                <w:color w:val="000000"/>
                <w:kern w:val="0"/>
                <w:sz w:val="24"/>
                <w:szCs w:val="24"/>
                <w:u w:val="wave"/>
                <w:lang w:val="en-US" w:eastAsia="zh-CN" w:bidi="ar"/>
              </w:rPr>
              <w:t xml:space="preserve">①严格划定施工边界，附近的工程施工根据设计资料已有山脊阻隔，严禁破坏天然阻隔导致施工产生的水体排向保护区内。 </w:t>
            </w:r>
          </w:p>
          <w:p w14:paraId="4A9F48C8">
            <w:pPr>
              <w:keepNext w:val="0"/>
              <w:keepLines w:val="0"/>
              <w:widowControl/>
              <w:suppressLineNumbers w:val="0"/>
              <w:ind w:firstLine="480" w:firstLineChars="200"/>
              <w:jc w:val="left"/>
              <w:rPr>
                <w:u w:val="wave"/>
              </w:rPr>
            </w:pPr>
            <w:r>
              <w:rPr>
                <w:rFonts w:hint="eastAsia" w:ascii="宋体" w:hAnsi="宋体" w:eastAsia="宋体" w:cs="宋体"/>
                <w:color w:val="000000"/>
                <w:kern w:val="0"/>
                <w:sz w:val="24"/>
                <w:szCs w:val="24"/>
                <w:u w:val="wave"/>
                <w:lang w:val="en-US" w:eastAsia="zh-CN" w:bidi="ar"/>
              </w:rPr>
              <w:t xml:space="preserve">②场内道路施工时分段施工，做好路基和路面的排水，设置临时排水沟，临时排水沟与浆砌石排水沟采用永临结合的方式设置。 </w:t>
            </w:r>
          </w:p>
          <w:p w14:paraId="15503F14">
            <w:pPr>
              <w:keepNext w:val="0"/>
              <w:keepLines w:val="0"/>
              <w:widowControl/>
              <w:suppressLineNumbers w:val="0"/>
              <w:ind w:firstLine="480" w:firstLineChars="200"/>
              <w:jc w:val="left"/>
              <w:rPr>
                <w:u w:val="wave"/>
              </w:rPr>
            </w:pPr>
            <w:r>
              <w:rPr>
                <w:rFonts w:hint="eastAsia" w:ascii="宋体" w:hAnsi="宋体" w:eastAsia="宋体" w:cs="宋体"/>
                <w:color w:val="000000"/>
                <w:kern w:val="0"/>
                <w:sz w:val="24"/>
                <w:szCs w:val="24"/>
                <w:u w:val="wave"/>
                <w:lang w:val="en-US" w:eastAsia="zh-CN" w:bidi="ar"/>
              </w:rPr>
              <w:t xml:space="preserve">③工程施工时及时夯实开挖面土层，施工开挖边坡在雨季用苫布进行遮盖。 </w:t>
            </w:r>
          </w:p>
          <w:p w14:paraId="7B40BEF8">
            <w:pPr>
              <w:keepNext w:val="0"/>
              <w:keepLines w:val="0"/>
              <w:widowControl/>
              <w:suppressLineNumbers w:val="0"/>
              <w:ind w:firstLine="480" w:firstLineChars="200"/>
              <w:jc w:val="left"/>
              <w:rPr>
                <w:u w:val="wave"/>
              </w:rPr>
            </w:pPr>
            <w:r>
              <w:rPr>
                <w:rFonts w:hint="eastAsia" w:ascii="宋体" w:hAnsi="宋体" w:eastAsia="宋体" w:cs="宋体"/>
                <w:color w:val="000000"/>
                <w:kern w:val="0"/>
                <w:sz w:val="24"/>
                <w:szCs w:val="24"/>
                <w:u w:val="wave"/>
                <w:lang w:val="en-US" w:eastAsia="zh-CN" w:bidi="ar"/>
              </w:rPr>
              <w:t xml:space="preserve">④弃渣场周边设置浆砌石截水沟，弃渣分层堆放，分层夯实；坡顶设置平台排水沟，堆渣结束后，整治绿化。 </w:t>
            </w:r>
          </w:p>
          <w:p w14:paraId="3626B40D">
            <w:pPr>
              <w:keepNext w:val="0"/>
              <w:keepLines w:val="0"/>
              <w:widowControl/>
              <w:suppressLineNumbers w:val="0"/>
              <w:ind w:firstLine="480" w:firstLineChars="200"/>
              <w:jc w:val="left"/>
              <w:rPr>
                <w:u w:val="wave"/>
              </w:rPr>
            </w:pPr>
            <w:r>
              <w:rPr>
                <w:rFonts w:hint="eastAsia" w:ascii="宋体" w:hAnsi="宋体" w:eastAsia="宋体" w:cs="宋体"/>
                <w:color w:val="000000"/>
                <w:kern w:val="0"/>
                <w:sz w:val="24"/>
                <w:szCs w:val="24"/>
                <w:u w:val="wave"/>
                <w:lang w:val="en-US" w:eastAsia="zh-CN" w:bidi="ar"/>
              </w:rPr>
              <w:t>⑤施工结束后及时清理恢复施工迹地、平整土地，并结合区域原土地利用情况恢复植被。</w:t>
            </w:r>
          </w:p>
          <w:p w14:paraId="0DB4613B">
            <w:pPr>
              <w:pStyle w:val="3"/>
              <w:numPr>
                <w:ilvl w:val="0"/>
                <w:numId w:val="0"/>
              </w:numPr>
              <w:tabs>
                <w:tab w:val="left" w:pos="425"/>
                <w:tab w:val="clear" w:pos="420"/>
              </w:tabs>
              <w:rPr>
                <w:rFonts w:cs="Times New Roman"/>
                <w:color w:val="000000" w:themeColor="text1"/>
                <w:szCs w:val="21"/>
                <w14:textFill>
                  <w14:solidFill>
                    <w14:schemeClr w14:val="tx1"/>
                  </w14:solidFill>
                </w14:textFill>
              </w:rPr>
            </w:pPr>
            <w:bookmarkStart w:id="265" w:name="_Toc22587"/>
            <w:bookmarkStart w:id="266" w:name="_Toc30532249"/>
            <w:bookmarkStart w:id="267" w:name="_Toc467060358"/>
            <w:bookmarkStart w:id="268" w:name="_Toc11173"/>
            <w:r>
              <w:rPr>
                <w:rFonts w:cs="Times New Roman"/>
                <w:color w:val="000000" w:themeColor="text1"/>
                <w:szCs w:val="21"/>
                <w14:textFill>
                  <w14:solidFill>
                    <w14:schemeClr w14:val="tx1"/>
                  </w14:solidFill>
                </w14:textFill>
              </w:rPr>
              <w:t>5.4 施工期地下水环境保护措施</w:t>
            </w:r>
            <w:bookmarkEnd w:id="265"/>
            <w:bookmarkEnd w:id="266"/>
            <w:bookmarkEnd w:id="267"/>
            <w:bookmarkEnd w:id="268"/>
          </w:p>
          <w:p w14:paraId="04C9A26E">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（1）施工废水适当处理后回用于生产，生活污水经处理后用于营地周围植被的灌溉和施工场地的洒水抑尘，减少渗入地下污水的量。</w:t>
            </w:r>
          </w:p>
          <w:p w14:paraId="59D66853">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（2）做好废污水处理设施基础和地坪的防渗措施，防止废污水渗漏污染地下水。</w:t>
            </w:r>
          </w:p>
          <w:p w14:paraId="5F8B99A1">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（3）对生活垃圾采取集中存放、及时清运的措施，并做好垃圾转运站的防渗措施，尽可能减少因雨水淋溶而带来的地下水污染问题。</w:t>
            </w:r>
          </w:p>
          <w:p w14:paraId="585D300A">
            <w:pPr>
              <w:pStyle w:val="3"/>
              <w:numPr>
                <w:ilvl w:val="0"/>
                <w:numId w:val="0"/>
              </w:numPr>
              <w:tabs>
                <w:tab w:val="left" w:pos="425"/>
                <w:tab w:val="clear" w:pos="420"/>
              </w:tabs>
              <w:rPr>
                <w:rFonts w:cs="Times New Roman"/>
                <w:color w:val="000000" w:themeColor="text1"/>
                <w:szCs w:val="21"/>
                <w14:textFill>
                  <w14:solidFill>
                    <w14:schemeClr w14:val="tx1"/>
                  </w14:solidFill>
                </w14:textFill>
              </w:rPr>
            </w:pPr>
            <w:bookmarkStart w:id="269" w:name="_Toc6606"/>
            <w:bookmarkStart w:id="270" w:name="_Toc467060359"/>
            <w:bookmarkStart w:id="271" w:name="_Toc30532250"/>
            <w:bookmarkStart w:id="272" w:name="_Toc3767"/>
            <w:r>
              <w:rPr>
                <w:rFonts w:cs="Times New Roman"/>
                <w:color w:val="000000" w:themeColor="text1"/>
                <w:szCs w:val="21"/>
                <w14:textFill>
                  <w14:solidFill>
                    <w14:schemeClr w14:val="tx1"/>
                  </w14:solidFill>
                </w14:textFill>
              </w:rPr>
              <w:t>5.5 施工期大气环境保护措施</w:t>
            </w:r>
            <w:bookmarkEnd w:id="269"/>
            <w:bookmarkEnd w:id="270"/>
            <w:bookmarkEnd w:id="271"/>
            <w:bookmarkEnd w:id="272"/>
          </w:p>
          <w:p w14:paraId="66BEFBB2">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（1）燃油废气的削减与控制</w:t>
            </w:r>
          </w:p>
          <w:p w14:paraId="5A0A465B">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本工程使用的多为大型运输车辆，尾气排放量与污染物含量均较轻型车辆高，因此，按照国家的有关规定，施工运输车辆必须执行《机动车强制报废标准规定》，推行强制更新报废制度，对于发动机耗油多、效率低、排放尾气严重超标的老、旧车辆，要及时更新；燃油机械设备应选用符合国家有关卫生标准的施工机械，使其排放的废气符合国家有关标准。</w:t>
            </w:r>
          </w:p>
          <w:p w14:paraId="2BF55935">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（2）粉尘的消减与控制</w:t>
            </w:r>
          </w:p>
          <w:p w14:paraId="7251A0C3">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为防止施工粉尘对环境空气质量的影响，施工作业区布置要远离居民区，并及时洒水，非雨天每天洒水不少于4~5次。此外，对施工区道路进行管理与养护，对施工区道路进行硬化，使路面保持清洁，处于良好运行状况；为减少运输过程中的粉尘产生量，采用密闭式自卸运输车辆，原料和成品运输实行口对口密闭传递。同时，对回填土、废弃物和临时堆料应按指定的堆放地堆放，场地周围采取围挡措施，大风季节在临时堆料场上面被以覆盖物，防止大风引起的扬尘污染。</w:t>
            </w:r>
          </w:p>
          <w:p w14:paraId="5069498B">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大气环境保护措施效果分析见下表。</w:t>
            </w:r>
          </w:p>
          <w:p w14:paraId="1EFE16C1">
            <w:pPr>
              <w:pStyle w:val="8"/>
              <w:rPr>
                <w:color w:val="000000" w:themeColor="text1"/>
                <w14:textFill>
                  <w14:solidFill>
                    <w14:schemeClr w14:val="tx1"/>
                  </w14:solidFill>
                </w14:textFill>
              </w:rPr>
            </w:pPr>
            <w:r>
              <w:rPr>
                <w:color w:val="000000" w:themeColor="text1"/>
                <w14:textFill>
                  <w14:solidFill>
                    <w14:schemeClr w14:val="tx1"/>
                  </w14:solidFill>
                </w14:textFill>
              </w:rPr>
              <w:t>表</w:t>
            </w:r>
            <w:r>
              <w:rPr>
                <w:rFonts w:hint="eastAsia"/>
                <w:color w:val="000000" w:themeColor="text1"/>
                <w14:textFill>
                  <w14:solidFill>
                    <w14:schemeClr w14:val="tx1"/>
                  </w14:solidFill>
                </w14:textFill>
              </w:rPr>
              <w:t>5.5</w:t>
            </w:r>
            <w:r>
              <w:rPr>
                <w:rFonts w:hint="eastAsia"/>
                <w:color w:val="000000" w:themeColor="text1"/>
                <w:lang w:val="en-US" w:eastAsia="zh-CN"/>
                <w14:textFill>
                  <w14:solidFill>
                    <w14:schemeClr w14:val="tx1"/>
                  </w14:solidFill>
                </w14:textFill>
              </w:rPr>
              <w:t>-1</w:t>
            </w:r>
            <w:r>
              <w:rPr>
                <w:color w:val="000000" w:themeColor="text1"/>
                <w14:textFill>
                  <w14:solidFill>
                    <w14:schemeClr w14:val="tx1"/>
                  </w14:solidFill>
                </w14:textFill>
              </w:rPr>
              <w:t xml:space="preserve">  本项目施工期扬尘、废气处理情况</w:t>
            </w:r>
          </w:p>
          <w:tbl>
            <w:tblPr>
              <w:tblStyle w:val="26"/>
              <w:tblW w:w="76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1902"/>
              <w:gridCol w:w="3187"/>
              <w:gridCol w:w="1814"/>
            </w:tblGrid>
            <w:tr w14:paraId="6AB01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8" w:type="dxa"/>
                  <w:tcBorders>
                    <w:tl2br w:val="nil"/>
                    <w:tr2bl w:val="nil"/>
                  </w:tcBorders>
                  <w:vAlign w:val="center"/>
                </w:tcPr>
                <w:p w14:paraId="25B1AE96">
                  <w:pPr>
                    <w:pStyle w:val="63"/>
                    <w:spacing w:before="24" w:after="24"/>
                    <w:rPr>
                      <w:rFonts w:ascii="Times New Roman" w:hAnsi="Times New Roman"/>
                      <w:b/>
                      <w:bCs/>
                      <w:color w:val="000000" w:themeColor="text1"/>
                      <w:sz w:val="21"/>
                      <w14:textFill>
                        <w14:solidFill>
                          <w14:schemeClr w14:val="tx1"/>
                        </w14:solidFill>
                      </w14:textFill>
                    </w:rPr>
                  </w:pPr>
                  <w:r>
                    <w:rPr>
                      <w:rFonts w:ascii="Times New Roman" w:hAnsi="Times New Roman"/>
                      <w:b/>
                      <w:bCs/>
                      <w:color w:val="000000" w:themeColor="text1"/>
                      <w:sz w:val="21"/>
                      <w14:textFill>
                        <w14:solidFill>
                          <w14:schemeClr w14:val="tx1"/>
                        </w14:solidFill>
                      </w14:textFill>
                    </w:rPr>
                    <w:t>类别</w:t>
                  </w:r>
                </w:p>
              </w:tc>
              <w:tc>
                <w:tcPr>
                  <w:tcW w:w="1902" w:type="dxa"/>
                  <w:tcBorders>
                    <w:tl2br w:val="nil"/>
                    <w:tr2bl w:val="nil"/>
                  </w:tcBorders>
                  <w:vAlign w:val="center"/>
                </w:tcPr>
                <w:p w14:paraId="4662A58A">
                  <w:pPr>
                    <w:pStyle w:val="63"/>
                    <w:spacing w:before="24" w:after="24"/>
                    <w:rPr>
                      <w:rFonts w:ascii="Times New Roman" w:hAnsi="Times New Roman"/>
                      <w:b/>
                      <w:bCs/>
                      <w:color w:val="000000" w:themeColor="text1"/>
                      <w:sz w:val="21"/>
                      <w14:textFill>
                        <w14:solidFill>
                          <w14:schemeClr w14:val="tx1"/>
                        </w14:solidFill>
                      </w14:textFill>
                    </w:rPr>
                  </w:pPr>
                  <w:r>
                    <w:rPr>
                      <w:rFonts w:ascii="Times New Roman" w:hAnsi="Times New Roman"/>
                      <w:b/>
                      <w:bCs/>
                      <w:color w:val="000000" w:themeColor="text1"/>
                      <w:sz w:val="21"/>
                      <w14:textFill>
                        <w14:solidFill>
                          <w14:schemeClr w14:val="tx1"/>
                        </w14:solidFill>
                      </w14:textFill>
                    </w:rPr>
                    <w:t>排 放 源</w:t>
                  </w:r>
                </w:p>
              </w:tc>
              <w:tc>
                <w:tcPr>
                  <w:tcW w:w="3187" w:type="dxa"/>
                  <w:tcBorders>
                    <w:tl2br w:val="nil"/>
                    <w:tr2bl w:val="nil"/>
                  </w:tcBorders>
                  <w:vAlign w:val="center"/>
                </w:tcPr>
                <w:p w14:paraId="18C5BF43">
                  <w:pPr>
                    <w:pStyle w:val="63"/>
                    <w:spacing w:before="24" w:after="24"/>
                    <w:rPr>
                      <w:rFonts w:ascii="Times New Roman" w:hAnsi="Times New Roman"/>
                      <w:b/>
                      <w:bCs/>
                      <w:color w:val="000000" w:themeColor="text1"/>
                      <w:sz w:val="21"/>
                      <w14:textFill>
                        <w14:solidFill>
                          <w14:schemeClr w14:val="tx1"/>
                        </w14:solidFill>
                      </w14:textFill>
                    </w:rPr>
                  </w:pPr>
                  <w:r>
                    <w:rPr>
                      <w:rFonts w:ascii="Times New Roman" w:hAnsi="Times New Roman"/>
                      <w:b/>
                      <w:bCs/>
                      <w:color w:val="000000" w:themeColor="text1"/>
                      <w:sz w:val="21"/>
                      <w14:textFill>
                        <w14:solidFill>
                          <w14:schemeClr w14:val="tx1"/>
                        </w14:solidFill>
                      </w14:textFill>
                    </w:rPr>
                    <w:t>防 治 措 施</w:t>
                  </w:r>
                </w:p>
              </w:tc>
              <w:tc>
                <w:tcPr>
                  <w:tcW w:w="1814" w:type="dxa"/>
                  <w:tcBorders>
                    <w:tl2br w:val="nil"/>
                    <w:tr2bl w:val="nil"/>
                  </w:tcBorders>
                  <w:vAlign w:val="center"/>
                </w:tcPr>
                <w:p w14:paraId="783ADEF3">
                  <w:pPr>
                    <w:pStyle w:val="63"/>
                    <w:spacing w:before="24" w:after="24"/>
                    <w:rPr>
                      <w:rFonts w:ascii="Times New Roman" w:hAnsi="Times New Roman"/>
                      <w:b/>
                      <w:bCs/>
                      <w:color w:val="000000" w:themeColor="text1"/>
                      <w:sz w:val="21"/>
                      <w14:textFill>
                        <w14:solidFill>
                          <w14:schemeClr w14:val="tx1"/>
                        </w14:solidFill>
                      </w14:textFill>
                    </w:rPr>
                  </w:pPr>
                  <w:r>
                    <w:rPr>
                      <w:rFonts w:ascii="Times New Roman" w:hAnsi="Times New Roman"/>
                      <w:b/>
                      <w:bCs/>
                      <w:color w:val="000000" w:themeColor="text1"/>
                      <w:sz w:val="21"/>
                      <w14:textFill>
                        <w14:solidFill>
                          <w14:schemeClr w14:val="tx1"/>
                        </w14:solidFill>
                      </w14:textFill>
                    </w:rPr>
                    <w:t>预期治理效果</w:t>
                  </w:r>
                </w:p>
              </w:tc>
            </w:tr>
            <w:tr w14:paraId="2AF31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8" w:type="dxa"/>
                  <w:tcBorders>
                    <w:tl2br w:val="nil"/>
                    <w:tr2bl w:val="nil"/>
                  </w:tcBorders>
                  <w:vAlign w:val="center"/>
                </w:tcPr>
                <w:p w14:paraId="1F26998A">
                  <w:pPr>
                    <w:pStyle w:val="63"/>
                    <w:spacing w:before="24" w:after="24"/>
                    <w:rPr>
                      <w:rFonts w:ascii="Times New Roman" w:hAnsi="Times New Roman"/>
                      <w:color w:val="000000" w:themeColor="text1"/>
                      <w:sz w:val="21"/>
                      <w14:textFill>
                        <w14:solidFill>
                          <w14:schemeClr w14:val="tx1"/>
                        </w14:solidFill>
                      </w14:textFill>
                    </w:rPr>
                  </w:pPr>
                  <w:r>
                    <w:rPr>
                      <w:rFonts w:ascii="Times New Roman" w:hAnsi="Times New Roman"/>
                      <w:color w:val="000000" w:themeColor="text1"/>
                      <w:sz w:val="21"/>
                      <w14:textFill>
                        <w14:solidFill>
                          <w14:schemeClr w14:val="tx1"/>
                        </w14:solidFill>
                      </w14:textFill>
                    </w:rPr>
                    <w:t>扬尘</w:t>
                  </w:r>
                </w:p>
              </w:tc>
              <w:tc>
                <w:tcPr>
                  <w:tcW w:w="1902" w:type="dxa"/>
                  <w:tcBorders>
                    <w:tl2br w:val="nil"/>
                    <w:tr2bl w:val="nil"/>
                  </w:tcBorders>
                  <w:vAlign w:val="center"/>
                </w:tcPr>
                <w:p w14:paraId="2D73E09C">
                  <w:pPr>
                    <w:pStyle w:val="63"/>
                    <w:spacing w:before="24" w:after="24"/>
                    <w:rPr>
                      <w:rFonts w:ascii="Times New Roman" w:hAnsi="Times New Roman"/>
                      <w:color w:val="000000" w:themeColor="text1"/>
                      <w:sz w:val="21"/>
                      <w14:textFill>
                        <w14:solidFill>
                          <w14:schemeClr w14:val="tx1"/>
                        </w14:solidFill>
                      </w14:textFill>
                    </w:rPr>
                  </w:pPr>
                  <w:r>
                    <w:rPr>
                      <w:rFonts w:ascii="Times New Roman" w:hAnsi="Times New Roman"/>
                      <w:color w:val="000000" w:themeColor="text1"/>
                      <w:sz w:val="21"/>
                      <w14:textFill>
                        <w14:solidFill>
                          <w14:schemeClr w14:val="tx1"/>
                        </w14:solidFill>
                      </w14:textFill>
                    </w:rPr>
                    <w:t>材料的运输和堆放等作业，道路硬化，道路扬尘，土石方挖掘</w:t>
                  </w:r>
                </w:p>
              </w:tc>
              <w:tc>
                <w:tcPr>
                  <w:tcW w:w="3187" w:type="dxa"/>
                  <w:tcBorders>
                    <w:tl2br w:val="nil"/>
                    <w:tr2bl w:val="nil"/>
                  </w:tcBorders>
                  <w:vAlign w:val="center"/>
                </w:tcPr>
                <w:p w14:paraId="14DB9B6B">
                  <w:pPr>
                    <w:pStyle w:val="63"/>
                    <w:spacing w:before="24" w:after="24"/>
                    <w:rPr>
                      <w:rFonts w:ascii="Times New Roman" w:hAnsi="Times New Roman"/>
                      <w:color w:val="000000" w:themeColor="text1"/>
                      <w:sz w:val="21"/>
                      <w14:textFill>
                        <w14:solidFill>
                          <w14:schemeClr w14:val="tx1"/>
                        </w14:solidFill>
                      </w14:textFill>
                    </w:rPr>
                  </w:pPr>
                  <w:bookmarkStart w:id="273" w:name="OLE_LINK1"/>
                  <w:r>
                    <w:rPr>
                      <w:rFonts w:ascii="Times New Roman" w:hAnsi="Times New Roman"/>
                      <w:color w:val="000000" w:themeColor="text1"/>
                      <w:sz w:val="21"/>
                      <w14:textFill>
                        <w14:solidFill>
                          <w14:schemeClr w14:val="tx1"/>
                        </w14:solidFill>
                      </w14:textFill>
                    </w:rPr>
                    <w:t>加强施工管理，物料堆放和运输遮盖苦布，道路硬化，道路洒水</w:t>
                  </w:r>
                  <w:bookmarkEnd w:id="273"/>
                  <w:r>
                    <w:rPr>
                      <w:rFonts w:ascii="Times New Roman" w:hAnsi="Times New Roman"/>
                      <w:color w:val="000000" w:themeColor="text1"/>
                      <w:sz w:val="21"/>
                      <w14:textFill>
                        <w14:solidFill>
                          <w14:schemeClr w14:val="tx1"/>
                        </w14:solidFill>
                      </w14:textFill>
                    </w:rPr>
                    <w:t>，避免大面积开挖，协调施工季节</w:t>
                  </w:r>
                </w:p>
              </w:tc>
              <w:tc>
                <w:tcPr>
                  <w:tcW w:w="1814" w:type="dxa"/>
                  <w:tcBorders>
                    <w:tl2br w:val="nil"/>
                    <w:tr2bl w:val="nil"/>
                  </w:tcBorders>
                  <w:vAlign w:val="center"/>
                </w:tcPr>
                <w:p w14:paraId="0D9B2F7A">
                  <w:pPr>
                    <w:pStyle w:val="63"/>
                    <w:spacing w:before="24" w:after="24"/>
                    <w:rPr>
                      <w:rFonts w:ascii="Times New Roman" w:hAnsi="Times New Roman"/>
                      <w:color w:val="000000" w:themeColor="text1"/>
                      <w:sz w:val="21"/>
                      <w14:textFill>
                        <w14:solidFill>
                          <w14:schemeClr w14:val="tx1"/>
                        </w14:solidFill>
                      </w14:textFill>
                    </w:rPr>
                  </w:pPr>
                  <w:r>
                    <w:rPr>
                      <w:rFonts w:ascii="Times New Roman" w:hAnsi="Times New Roman"/>
                      <w:color w:val="000000" w:themeColor="text1"/>
                      <w:sz w:val="21"/>
                      <w14:textFill>
                        <w14:solidFill>
                          <w14:schemeClr w14:val="tx1"/>
                        </w14:solidFill>
                      </w14:textFill>
                    </w:rPr>
                    <w:t>基本控制了大气污染排放，不会对区域环境质量产生大影响</w:t>
                  </w:r>
                </w:p>
              </w:tc>
            </w:tr>
            <w:tr w14:paraId="1018E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8" w:type="dxa"/>
                  <w:tcBorders>
                    <w:tl2br w:val="nil"/>
                    <w:tr2bl w:val="nil"/>
                  </w:tcBorders>
                  <w:vAlign w:val="center"/>
                </w:tcPr>
                <w:p w14:paraId="65BB7973">
                  <w:pPr>
                    <w:pStyle w:val="63"/>
                    <w:spacing w:before="24" w:after="24"/>
                    <w:rPr>
                      <w:rFonts w:ascii="Times New Roman" w:hAnsi="Times New Roman"/>
                      <w:color w:val="000000" w:themeColor="text1"/>
                      <w:sz w:val="21"/>
                      <w14:textFill>
                        <w14:solidFill>
                          <w14:schemeClr w14:val="tx1"/>
                        </w14:solidFill>
                      </w14:textFill>
                    </w:rPr>
                  </w:pPr>
                  <w:r>
                    <w:rPr>
                      <w:rFonts w:ascii="Times New Roman" w:hAnsi="Times New Roman"/>
                      <w:color w:val="000000" w:themeColor="text1"/>
                      <w:sz w:val="21"/>
                      <w14:textFill>
                        <w14:solidFill>
                          <w14:schemeClr w14:val="tx1"/>
                        </w14:solidFill>
                      </w14:textFill>
                    </w:rPr>
                    <w:t>废气</w:t>
                  </w:r>
                </w:p>
              </w:tc>
              <w:tc>
                <w:tcPr>
                  <w:tcW w:w="1902" w:type="dxa"/>
                  <w:tcBorders>
                    <w:tl2br w:val="nil"/>
                    <w:tr2bl w:val="nil"/>
                  </w:tcBorders>
                  <w:vAlign w:val="center"/>
                </w:tcPr>
                <w:p w14:paraId="47A9CE91">
                  <w:pPr>
                    <w:pStyle w:val="63"/>
                    <w:spacing w:before="24" w:after="24"/>
                    <w:rPr>
                      <w:rFonts w:ascii="Times New Roman" w:hAnsi="Times New Roman"/>
                      <w:color w:val="000000" w:themeColor="text1"/>
                      <w:sz w:val="21"/>
                      <w14:textFill>
                        <w14:solidFill>
                          <w14:schemeClr w14:val="tx1"/>
                        </w14:solidFill>
                      </w14:textFill>
                    </w:rPr>
                  </w:pPr>
                  <w:r>
                    <w:rPr>
                      <w:rFonts w:ascii="Times New Roman" w:hAnsi="Times New Roman"/>
                      <w:color w:val="000000" w:themeColor="text1"/>
                      <w:sz w:val="21"/>
                      <w14:textFill>
                        <w14:solidFill>
                          <w14:schemeClr w14:val="tx1"/>
                        </w14:solidFill>
                      </w14:textFill>
                    </w:rPr>
                    <w:t>施工机械和运输车辆</w:t>
                  </w:r>
                </w:p>
              </w:tc>
              <w:tc>
                <w:tcPr>
                  <w:tcW w:w="3187" w:type="dxa"/>
                  <w:tcBorders>
                    <w:tl2br w:val="nil"/>
                    <w:tr2bl w:val="nil"/>
                  </w:tcBorders>
                  <w:vAlign w:val="center"/>
                </w:tcPr>
                <w:p w14:paraId="46683A9A">
                  <w:pPr>
                    <w:pStyle w:val="63"/>
                    <w:spacing w:before="24" w:after="24"/>
                    <w:rPr>
                      <w:rFonts w:ascii="Times New Roman" w:hAnsi="Times New Roman"/>
                      <w:color w:val="000000" w:themeColor="text1"/>
                      <w:sz w:val="21"/>
                      <w14:textFill>
                        <w14:solidFill>
                          <w14:schemeClr w14:val="tx1"/>
                        </w14:solidFill>
                      </w14:textFill>
                    </w:rPr>
                  </w:pPr>
                  <w:r>
                    <w:rPr>
                      <w:rFonts w:ascii="Times New Roman" w:hAnsi="Times New Roman"/>
                      <w:color w:val="000000" w:themeColor="text1"/>
                      <w:sz w:val="21"/>
                      <w14:textFill>
                        <w14:solidFill>
                          <w14:schemeClr w14:val="tx1"/>
                        </w14:solidFill>
                      </w14:textFill>
                    </w:rPr>
                    <w:t>施工机械采用技术先进的设备，燃料采用优质燃料，避免超负荷工作，加强对施工机械和施工运输车辆的维护保养</w:t>
                  </w:r>
                </w:p>
              </w:tc>
              <w:tc>
                <w:tcPr>
                  <w:tcW w:w="1814" w:type="dxa"/>
                  <w:tcBorders>
                    <w:tl2br w:val="nil"/>
                    <w:tr2bl w:val="nil"/>
                  </w:tcBorders>
                  <w:vAlign w:val="center"/>
                </w:tcPr>
                <w:p w14:paraId="2DB4620A">
                  <w:pPr>
                    <w:pStyle w:val="63"/>
                    <w:spacing w:before="24" w:after="24"/>
                    <w:rPr>
                      <w:rFonts w:ascii="Times New Roman" w:hAnsi="Times New Roman"/>
                      <w:color w:val="000000" w:themeColor="text1"/>
                      <w:sz w:val="21"/>
                      <w14:textFill>
                        <w14:solidFill>
                          <w14:schemeClr w14:val="tx1"/>
                        </w14:solidFill>
                      </w14:textFill>
                    </w:rPr>
                  </w:pPr>
                  <w:r>
                    <w:rPr>
                      <w:rFonts w:ascii="Times New Roman" w:hAnsi="Times New Roman"/>
                      <w:color w:val="000000" w:themeColor="text1"/>
                      <w:sz w:val="21"/>
                      <w14:textFill>
                        <w14:solidFill>
                          <w14:schemeClr w14:val="tx1"/>
                        </w14:solidFill>
                      </w14:textFill>
                    </w:rPr>
                    <w:t>产生量较少，影响暂时，随施工的结束，污染也随之结束</w:t>
                  </w:r>
                </w:p>
              </w:tc>
            </w:tr>
          </w:tbl>
          <w:p w14:paraId="0AFF1A80">
            <w:pPr>
              <w:pStyle w:val="3"/>
              <w:numPr>
                <w:ilvl w:val="0"/>
                <w:numId w:val="0"/>
              </w:numPr>
              <w:tabs>
                <w:tab w:val="left" w:pos="425"/>
                <w:tab w:val="clear" w:pos="420"/>
              </w:tabs>
              <w:spacing w:before="120" w:beforeLines="50"/>
              <w:rPr>
                <w:rFonts w:cs="Times New Roman"/>
                <w:color w:val="000000" w:themeColor="text1"/>
                <w:szCs w:val="21"/>
                <w14:textFill>
                  <w14:solidFill>
                    <w14:schemeClr w14:val="tx1"/>
                  </w14:solidFill>
                </w14:textFill>
              </w:rPr>
            </w:pPr>
            <w:bookmarkStart w:id="274" w:name="_Toc8827"/>
            <w:bookmarkStart w:id="275" w:name="_Toc13366"/>
            <w:bookmarkStart w:id="276" w:name="_Toc30532251"/>
            <w:bookmarkStart w:id="277" w:name="_Toc467060360"/>
            <w:r>
              <w:rPr>
                <w:rFonts w:cs="Times New Roman"/>
                <w:color w:val="000000" w:themeColor="text1"/>
                <w:szCs w:val="21"/>
                <w14:textFill>
                  <w14:solidFill>
                    <w14:schemeClr w14:val="tx1"/>
                  </w14:solidFill>
                </w14:textFill>
              </w:rPr>
              <w:t>5.6 施工期固体废物处理处置措施</w:t>
            </w:r>
            <w:bookmarkEnd w:id="274"/>
            <w:bookmarkEnd w:id="275"/>
            <w:bookmarkEnd w:id="276"/>
            <w:bookmarkEnd w:id="277"/>
          </w:p>
          <w:p w14:paraId="52A21854">
            <w:pPr>
              <w:pStyle w:val="4"/>
              <w:tabs>
                <w:tab w:val="left" w:pos="425"/>
              </w:tabs>
              <w:rPr>
                <w:color w:val="000000" w:themeColor="text1"/>
                <w:szCs w:val="24"/>
                <w14:textFill>
                  <w14:solidFill>
                    <w14:schemeClr w14:val="tx1"/>
                  </w14:solidFill>
                </w14:textFill>
              </w:rPr>
            </w:pPr>
            <w:bookmarkStart w:id="278" w:name="_Toc32063"/>
            <w:r>
              <w:rPr>
                <w:color w:val="000000" w:themeColor="text1"/>
                <w:szCs w:val="24"/>
                <w14:textFill>
                  <w14:solidFill>
                    <w14:schemeClr w14:val="tx1"/>
                  </w14:solidFill>
                </w14:textFill>
              </w:rPr>
              <w:t>5.6.1施工期</w:t>
            </w:r>
            <w:bookmarkEnd w:id="278"/>
          </w:p>
          <w:p w14:paraId="553BD598">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（1）工程弃渣</w:t>
            </w:r>
          </w:p>
          <w:p w14:paraId="10FE57DB">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为了防止弃渣增加水土流失量，应该对弃渣采取妥善处理处置措施。堆渣前，先拦后弃，砌筑挡墙，在弃渣的过程中要逐层压实，始终保持渣场平整，并且根据弃渣场的现状，修建完善的截排水设施和沉砂池等防护设施，并考虑场内排水，从而避免环境污染和水土流失。施工完毕后要对渣场进行迹地恢复，加强植树种草等绿化措施，防治水土流失。渣场须严格按照水土保持方案有关要求进行防护措施设计，具体措施见</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水土保持方案</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章节。为防止各渣场受降水影响而出现滑坡或被暴雨洪水冲溃的可能，堆渣时严格控制边坡坡度；运行期设置水土保持监测点，对渣体稳定性进行监测，及时发现并排除险情。</w:t>
            </w:r>
          </w:p>
          <w:p w14:paraId="072E3675">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（2）生活垃圾</w:t>
            </w:r>
          </w:p>
          <w:p w14:paraId="2DA7D167">
            <w:pPr>
              <w:ind w:firstLine="480" w:firstLineChars="200"/>
              <w:rPr>
                <w:color w:val="FF0000"/>
              </w:rPr>
            </w:pPr>
            <w:r>
              <w:rPr>
                <w:color w:val="000000" w:themeColor="text1"/>
                <w14:textFill>
                  <w14:solidFill>
                    <w14:schemeClr w14:val="tx1"/>
                  </w14:solidFill>
                </w14:textFill>
              </w:rPr>
              <w:t>为预防施工区生活垃圾任意堆放和丢弃而污染环境，按照《环境卫生设施设置标准》</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CJJ27-20</w:t>
            </w:r>
            <w:r>
              <w:rPr>
                <w:rFonts w:hint="eastAsia"/>
                <w:color w:val="000000" w:themeColor="text1"/>
                <w14:textFill>
                  <w14:solidFill>
                    <w14:schemeClr w14:val="tx1"/>
                  </w14:solidFill>
                </w14:textFill>
              </w:rPr>
              <w:t>12</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的相关要求，施工期间在每个施工区设立垃圾桶</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箱</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，安排专人定期定点收集生活垃圾，交由乡镇环卫部门统一收集后进行卫生填埋。</w:t>
            </w:r>
          </w:p>
        </w:tc>
      </w:tr>
      <w:tr w14:paraId="348D94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96" w:type="dxa"/>
            <w:tcMar>
              <w:left w:w="28" w:type="dxa"/>
              <w:right w:w="28" w:type="dxa"/>
            </w:tcMar>
            <w:vAlign w:val="center"/>
          </w:tcPr>
          <w:p w14:paraId="62CB89CE">
            <w:pPr>
              <w:adjustRightInd w:val="0"/>
              <w:snapToGrid w:val="0"/>
              <w:jc w:val="center"/>
              <w:rPr>
                <w:bCs/>
                <w:color w:val="FF0000"/>
                <w:spacing w:val="10"/>
                <w:szCs w:val="21"/>
              </w:rPr>
            </w:pPr>
            <w:r>
              <w:rPr>
                <w:bCs/>
                <w:color w:val="000000" w:themeColor="text1"/>
                <w:spacing w:val="10"/>
                <w14:textFill>
                  <w14:solidFill>
                    <w14:schemeClr w14:val="tx1"/>
                  </w14:solidFill>
                </w14:textFill>
              </w:rPr>
              <w:t>运营期生态环境保护措施</w:t>
            </w:r>
          </w:p>
        </w:tc>
        <w:tc>
          <w:tcPr>
            <w:tcW w:w="7837" w:type="dxa"/>
          </w:tcPr>
          <w:p w14:paraId="4A4FAC2E">
            <w:pPr>
              <w:pStyle w:val="3"/>
              <w:numPr>
                <w:ilvl w:val="0"/>
                <w:numId w:val="0"/>
              </w:numPr>
              <w:tabs>
                <w:tab w:val="left" w:pos="425"/>
                <w:tab w:val="clear" w:pos="420"/>
              </w:tabs>
              <w:spacing w:before="120" w:beforeLines="50"/>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5.7 运营期声环境保护措施</w:t>
            </w:r>
          </w:p>
          <w:p w14:paraId="6C58739C">
            <w:pPr>
              <w:ind w:firstLine="480" w:firstLineChars="200"/>
              <w:rPr>
                <w:color w:val="000000" w:themeColor="text1"/>
                <w:u w:val="none"/>
                <w14:textFill>
                  <w14:solidFill>
                    <w14:schemeClr w14:val="tx1"/>
                  </w14:solidFill>
                </w14:textFill>
              </w:rPr>
            </w:pPr>
            <w:r>
              <w:rPr>
                <w:color w:val="000000" w:themeColor="text1"/>
                <w:u w:val="none"/>
                <w14:textFill>
                  <w14:solidFill>
                    <w14:schemeClr w14:val="tx1"/>
                  </w14:solidFill>
                </w14:textFill>
              </w:rPr>
              <w:t>为保障风电机组运行不对周围声环境敏感目标产生不利影响，在机组招标设计时，选择低噪并具有较好防噪设施的机组；运行期加强对风电机组的维护，定期检修风机转动连接处，使其处于良好的运行状态。</w:t>
            </w:r>
          </w:p>
          <w:p w14:paraId="2B6A2952">
            <w:pPr>
              <w:ind w:firstLine="480" w:firstLineChars="200"/>
              <w:rPr>
                <w:color w:val="000000" w:themeColor="text1"/>
                <w:u w:val="none"/>
                <w14:textFill>
                  <w14:solidFill>
                    <w14:schemeClr w14:val="tx1"/>
                  </w14:solidFill>
                </w14:textFill>
              </w:rPr>
            </w:pPr>
            <w:r>
              <w:rPr>
                <w:color w:val="000000" w:themeColor="text1"/>
                <w:u w:val="none"/>
                <w14:textFill>
                  <w14:solidFill>
                    <w14:schemeClr w14:val="tx1"/>
                  </w14:solidFill>
                </w14:textFill>
              </w:rPr>
              <w:t>为减少升压站对周围声环境产生不利影响，变电站采用低噪声变压器，并对变电站的总平面布局进行优化，将主变压器布置在站址中央或远离站外环境敏感建筑物一侧的方向，充分利用站内建筑及周围地形对噪声的阻挡作用。</w:t>
            </w:r>
            <w:r>
              <w:rPr>
                <w:rFonts w:hint="eastAsia"/>
                <w:color w:val="000000" w:themeColor="text1"/>
                <w:u w:val="none"/>
                <w14:textFill>
                  <w14:solidFill>
                    <w14:schemeClr w14:val="tx1"/>
                  </w14:solidFill>
                </w14:textFill>
              </w:rPr>
              <w:t>预测</w:t>
            </w:r>
            <w:r>
              <w:rPr>
                <w:color w:val="000000" w:themeColor="text1"/>
                <w:u w:val="none"/>
                <w14:textFill>
                  <w14:solidFill>
                    <w14:schemeClr w14:val="tx1"/>
                  </w14:solidFill>
                </w14:textFill>
              </w:rPr>
              <w:t>结果表明升压站本期工程投入运行后，变电站厂界能够满足《工业企业厂界环境噪声排放标准》（GB12348-2008）表1</w:t>
            </w:r>
            <w:r>
              <w:rPr>
                <w:rFonts w:hint="eastAsia"/>
                <w:color w:val="000000" w:themeColor="text1"/>
                <w:u w:val="none"/>
                <w14:textFill>
                  <w14:solidFill>
                    <w14:schemeClr w14:val="tx1"/>
                  </w14:solidFill>
                </w14:textFill>
              </w:rPr>
              <w:t>中</w:t>
            </w:r>
            <w:r>
              <w:rPr>
                <w:color w:val="000000" w:themeColor="text1"/>
                <w:u w:val="none"/>
                <w14:textFill>
                  <w14:solidFill>
                    <w14:schemeClr w14:val="tx1"/>
                  </w14:solidFill>
                </w14:textFill>
              </w:rPr>
              <w:t>2类标准：昼间60 dB，夜间50 dB。</w:t>
            </w:r>
          </w:p>
          <w:p w14:paraId="13504F17">
            <w:pPr>
              <w:adjustRightInd/>
              <w:snapToGrid/>
              <w:spacing w:line="360" w:lineRule="auto"/>
              <w:ind w:firstLine="480" w:firstLineChars="200"/>
              <w:rPr>
                <w:b w:val="0"/>
                <w:bCs w:val="0"/>
                <w:color w:val="000000" w:themeColor="text1"/>
                <w:u w:val="none"/>
                <w14:textFill>
                  <w14:solidFill>
                    <w14:schemeClr w14:val="tx1"/>
                  </w14:solidFill>
                </w14:textFill>
              </w:rPr>
            </w:pPr>
            <w:r>
              <w:rPr>
                <w:color w:val="000000" w:themeColor="text1"/>
                <w:u w:val="none"/>
                <w14:textFill>
                  <w14:solidFill>
                    <w14:schemeClr w14:val="tx1"/>
                  </w14:solidFill>
                </w14:textFill>
              </w:rPr>
              <w:t>参照</w:t>
            </w:r>
            <w:r>
              <w:rPr>
                <w:rFonts w:hint="eastAsia"/>
                <w:color w:val="000000" w:themeColor="text1"/>
                <w:u w:val="none"/>
                <w:lang w:val="en-US" w:eastAsia="zh-CN"/>
                <w14:textFill>
                  <w14:solidFill>
                    <w14:schemeClr w14:val="tx1"/>
                  </w14:solidFill>
                </w14:textFill>
              </w:rPr>
              <w:t>相关</w:t>
            </w:r>
            <w:r>
              <w:rPr>
                <w:color w:val="000000" w:themeColor="text1"/>
                <w:u w:val="none"/>
                <w14:textFill>
                  <w14:solidFill>
                    <w14:schemeClr w14:val="tx1"/>
                  </w14:solidFill>
                </w14:textFill>
              </w:rPr>
              <w:t>要求，结合环评预测结果，拟对风电场设置噪声</w:t>
            </w:r>
            <w:r>
              <w:rPr>
                <w:rFonts w:hint="eastAsia"/>
                <w:color w:val="000000" w:themeColor="text1"/>
                <w:u w:val="none"/>
                <w14:textFill>
                  <w14:solidFill>
                    <w14:schemeClr w14:val="tx1"/>
                  </w14:solidFill>
                </w14:textFill>
              </w:rPr>
              <w:t>影响控制区</w:t>
            </w:r>
            <w:r>
              <w:rPr>
                <w:color w:val="000000" w:themeColor="text1"/>
                <w:u w:val="none"/>
                <w14:textFill>
                  <w14:solidFill>
                    <w14:schemeClr w14:val="tx1"/>
                  </w14:solidFill>
                </w14:textFill>
              </w:rPr>
              <w:t>为：</w:t>
            </w:r>
            <w:r>
              <w:rPr>
                <w:rFonts w:hint="eastAsia"/>
                <w:color w:val="000000" w:themeColor="text1"/>
                <w:u w:val="none"/>
                <w:lang w:val="en-US" w:eastAsia="zh-CN"/>
                <w14:textFill>
                  <w14:solidFill>
                    <w14:schemeClr w14:val="tx1"/>
                  </w14:solidFill>
                </w14:textFill>
              </w:rPr>
              <w:t>5.0</w:t>
            </w:r>
            <w:r>
              <w:rPr>
                <w:rFonts w:hint="eastAsia"/>
                <w:color w:val="000000" w:themeColor="text1"/>
                <w:u w:val="none"/>
                <w14:textFill>
                  <w14:solidFill>
                    <w14:schemeClr w14:val="tx1"/>
                  </w14:solidFill>
                </w14:textFill>
              </w:rPr>
              <w:t>MW</w:t>
            </w:r>
            <w:r>
              <w:rPr>
                <w:color w:val="000000" w:themeColor="text1"/>
                <w:u w:val="none"/>
                <w14:textFill>
                  <w14:solidFill>
                    <w14:schemeClr w14:val="tx1"/>
                  </w14:solidFill>
                </w14:textFill>
              </w:rPr>
              <w:t>风机以机组</w:t>
            </w:r>
            <w:r>
              <w:rPr>
                <w:rFonts w:hint="eastAsia"/>
                <w:color w:val="000000" w:themeColor="text1"/>
                <w:u w:val="none"/>
                <w14:textFill>
                  <w14:solidFill>
                    <w14:schemeClr w14:val="tx1"/>
                  </w14:solidFill>
                </w14:textFill>
              </w:rPr>
              <w:t>基础</w:t>
            </w:r>
            <w:r>
              <w:rPr>
                <w:color w:val="000000" w:themeColor="text1"/>
                <w:u w:val="none"/>
                <w14:textFill>
                  <w14:solidFill>
                    <w14:schemeClr w14:val="tx1"/>
                  </w14:solidFill>
                </w14:textFill>
              </w:rPr>
              <w:t>平台边界为起点附近</w:t>
            </w:r>
            <w:r>
              <w:rPr>
                <w:rFonts w:hint="eastAsia"/>
                <w:color w:val="000000" w:themeColor="text1"/>
                <w:u w:val="none"/>
                <w:lang w:val="en-US" w:eastAsia="zh-CN"/>
                <w14:textFill>
                  <w14:solidFill>
                    <w14:schemeClr w14:val="tx1"/>
                  </w14:solidFill>
                </w14:textFill>
              </w:rPr>
              <w:t>350</w:t>
            </w:r>
            <w:r>
              <w:rPr>
                <w:color w:val="000000" w:themeColor="text1"/>
                <w:u w:val="none"/>
                <w14:textFill>
                  <w14:solidFill>
                    <w14:schemeClr w14:val="tx1"/>
                  </w14:solidFill>
                </w14:textFill>
              </w:rPr>
              <w:t>m。根据现场调查</w:t>
            </w:r>
            <w:r>
              <w:rPr>
                <w:rFonts w:hint="eastAsia"/>
                <w:color w:val="000000" w:themeColor="text1"/>
                <w:u w:val="none"/>
                <w14:textFill>
                  <w14:solidFill>
                    <w14:schemeClr w14:val="tx1"/>
                  </w14:solidFill>
                </w14:textFill>
              </w:rPr>
              <w:t>，</w:t>
            </w:r>
            <w:r>
              <w:rPr>
                <w:color w:val="000000" w:themeColor="text1"/>
                <w:u w:val="none"/>
                <w14:textFill>
                  <w14:solidFill>
                    <w14:schemeClr w14:val="tx1"/>
                  </w14:solidFill>
                </w14:textFill>
              </w:rPr>
              <w:t>距本项目风机基础</w:t>
            </w:r>
            <w:r>
              <w:rPr>
                <w:rFonts w:hint="eastAsia"/>
                <w:color w:val="000000" w:themeColor="text1"/>
                <w:u w:val="none"/>
                <w14:textFill>
                  <w14:solidFill>
                    <w14:schemeClr w14:val="tx1"/>
                  </w14:solidFill>
                </w14:textFill>
              </w:rPr>
              <w:t>水平距离</w:t>
            </w:r>
            <w:r>
              <w:rPr>
                <w:rFonts w:hint="eastAsia"/>
                <w:color w:val="000000" w:themeColor="text1"/>
                <w:u w:val="none"/>
                <w:lang w:val="en-US" w:eastAsia="zh-CN"/>
                <w14:textFill>
                  <w14:solidFill>
                    <w14:schemeClr w14:val="tx1"/>
                  </w14:solidFill>
                </w14:textFill>
              </w:rPr>
              <w:t>350</w:t>
            </w:r>
            <w:r>
              <w:rPr>
                <w:rFonts w:hint="eastAsia"/>
                <w:color w:val="000000" w:themeColor="text1"/>
                <w:u w:val="none"/>
                <w14:textFill>
                  <w14:solidFill>
                    <w14:schemeClr w14:val="tx1"/>
                  </w14:solidFill>
                </w14:textFill>
              </w:rPr>
              <w:t>m范围内</w:t>
            </w:r>
            <w:r>
              <w:rPr>
                <w:color w:val="000000" w:themeColor="text1"/>
                <w:u w:val="none"/>
                <w14:textFill>
                  <w14:solidFill>
                    <w14:schemeClr w14:val="tx1"/>
                  </w14:solidFill>
                </w14:textFill>
              </w:rPr>
              <w:t>无居民居住。在控制距离内，禁止新建居民点、学校、医院及其他声环境敏感点。考虑到运行期风机运行噪声经过距离衰减、山体植被阻隔消减，项目建设对周边居民点产生噪声影响不大。</w:t>
            </w:r>
            <w:r>
              <w:rPr>
                <w:rFonts w:hint="default"/>
                <w:color w:val="000000" w:themeColor="text1"/>
                <w:u w:val="none"/>
                <w:lang w:val="en-US" w:eastAsia="zh-CN"/>
                <w14:textFill>
                  <w14:solidFill>
                    <w14:schemeClr w14:val="tx1"/>
                  </w14:solidFill>
                </w14:textFill>
              </w:rPr>
              <w:t>建设单位应预留运行期厂区的噪声监测和环保措施的费用</w:t>
            </w:r>
            <w:r>
              <w:rPr>
                <w:rFonts w:hint="eastAsia" w:ascii="Times New Roman" w:hAnsi="Times New Roman" w:eastAsia="宋体" w:cs="Times New Roman"/>
                <w:color w:val="000000" w:themeColor="text1"/>
                <w:u w:val="none"/>
                <w:lang w:val="en-US" w:eastAsia="zh-CN"/>
                <w14:textFill>
                  <w14:solidFill>
                    <w14:schemeClr w14:val="tx1"/>
                  </w14:solidFill>
                </w14:textFill>
              </w:rPr>
              <w:t>。</w:t>
            </w:r>
          </w:p>
          <w:p w14:paraId="5DA994FF">
            <w:pPr>
              <w:rPr>
                <w:b/>
                <w:bCs/>
                <w:color w:val="000000" w:themeColor="text1"/>
                <w:u w:val="none"/>
                <w14:textFill>
                  <w14:solidFill>
                    <w14:schemeClr w14:val="tx1"/>
                  </w14:solidFill>
                </w14:textFill>
              </w:rPr>
            </w:pPr>
            <w:r>
              <w:rPr>
                <w:rFonts w:hint="eastAsia"/>
                <w:b/>
                <w:bCs/>
                <w:color w:val="000000" w:themeColor="text1"/>
                <w:u w:val="none"/>
                <w14:textFill>
                  <w14:solidFill>
                    <w14:schemeClr w14:val="tx1"/>
                  </w14:solidFill>
                </w14:textFill>
              </w:rPr>
              <w:t>风机降噪措施：</w:t>
            </w:r>
          </w:p>
          <w:p w14:paraId="1845ED8B">
            <w:pPr>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尾缘锯齿方案（Trailing-Edge Serrations）：</w:t>
            </w:r>
          </w:p>
          <w:p w14:paraId="1B942701">
            <w:pPr>
              <w:ind w:firstLine="480" w:firstLineChars="200"/>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参考同类风电场项目</w:t>
            </w:r>
            <w:r>
              <w:rPr>
                <w:color w:val="000000" w:themeColor="text1"/>
                <w:u w:val="none"/>
                <w14:textFill>
                  <w14:solidFill>
                    <w14:schemeClr w14:val="tx1"/>
                  </w14:solidFill>
                </w14:textFill>
              </w:rPr>
              <w:t>，为了降低气动噪声，在叶片上采用尾缘锯齿，见图5</w:t>
            </w:r>
            <w:r>
              <w:rPr>
                <w:rFonts w:hint="eastAsia"/>
                <w:color w:val="000000" w:themeColor="text1"/>
                <w:u w:val="none"/>
                <w14:textFill>
                  <w14:solidFill>
                    <w14:schemeClr w14:val="tx1"/>
                  </w14:solidFill>
                </w14:textFill>
              </w:rPr>
              <w:t>.7-1</w:t>
            </w:r>
            <w:r>
              <w:rPr>
                <w:color w:val="000000" w:themeColor="text1"/>
                <w:u w:val="none"/>
                <w14:textFill>
                  <w14:solidFill>
                    <w14:schemeClr w14:val="tx1"/>
                  </w14:solidFill>
                </w14:textFill>
              </w:rPr>
              <w:t>。根据叶片气动噪声源的位置选取锯齿安装位置，一般为叶片尖部1/3长度范围</w:t>
            </w:r>
            <w:r>
              <w:rPr>
                <w:rFonts w:hint="eastAsia"/>
                <w:color w:val="000000" w:themeColor="text1"/>
                <w:u w:val="none"/>
                <w:lang w:eastAsia="zh-CN"/>
                <w14:textFill>
                  <w14:solidFill>
                    <w14:schemeClr w14:val="tx1"/>
                  </w14:solidFill>
                </w14:textFill>
              </w:rPr>
              <w:t>，</w:t>
            </w:r>
            <w:r>
              <w:rPr>
                <w:color w:val="000000" w:themeColor="text1"/>
                <w:u w:val="none"/>
                <w14:textFill>
                  <w14:solidFill>
                    <w14:schemeClr w14:val="tx1"/>
                  </w14:solidFill>
                </w14:textFill>
              </w:rPr>
              <w:t>锯齿一般安装在叶片压力面。</w:t>
            </w:r>
            <w:r>
              <w:rPr>
                <w:rFonts w:hint="eastAsia"/>
                <w:color w:val="000000" w:themeColor="text1"/>
                <w:u w:val="none"/>
                <w14:textFill>
                  <w14:solidFill>
                    <w14:schemeClr w14:val="tx1"/>
                  </w14:solidFill>
                </w14:textFill>
              </w:rPr>
              <w:t>根据</w:t>
            </w:r>
            <w:r>
              <w:rPr>
                <w:color w:val="000000" w:themeColor="text1"/>
                <w:u w:val="none"/>
                <w14:textFill>
                  <w14:solidFill>
                    <w14:schemeClr w14:val="tx1"/>
                  </w14:solidFill>
                </w14:textFill>
              </w:rPr>
              <w:t>叶片几何外形包括弦长、扭角、相对厚度分布、尾缘钝度、叶片表面粗糙度等，以及来流风速、来流风向、来流的湍流度大小、偏航、仰角等整机参数，进行叶片尾缘锯齿设计，包括锯齿的安装区间、锯齿的安装角度、锯齿长度、锯齿宽度等。叶片尾缘锯齿安装区间见图5</w:t>
            </w:r>
            <w:r>
              <w:rPr>
                <w:rFonts w:hint="eastAsia"/>
                <w:color w:val="000000" w:themeColor="text1"/>
                <w:u w:val="none"/>
                <w14:textFill>
                  <w14:solidFill>
                    <w14:schemeClr w14:val="tx1"/>
                  </w14:solidFill>
                </w14:textFill>
              </w:rPr>
              <w:t>.7-2</w:t>
            </w:r>
            <w:r>
              <w:rPr>
                <w:color w:val="000000" w:themeColor="text1"/>
                <w:u w:val="none"/>
                <w14:textFill>
                  <w14:solidFill>
                    <w14:schemeClr w14:val="tx1"/>
                  </w14:solidFill>
                </w14:textFill>
              </w:rPr>
              <w:t>，依据叶片局部弦长分别采用不同锯齿型号。</w:t>
            </w:r>
          </w:p>
          <w:p w14:paraId="47521329">
            <w:pPr>
              <w:jc w:val="center"/>
              <w:rPr>
                <w:color w:val="FF0000"/>
                <w:u w:val="none"/>
              </w:rPr>
            </w:pPr>
            <w:r>
              <w:rPr>
                <w:color w:val="FF0000"/>
                <w:u w:val="none"/>
              </w:rPr>
              <w:drawing>
                <wp:inline distT="0" distB="0" distL="0" distR="0">
                  <wp:extent cx="4492625" cy="1120775"/>
                  <wp:effectExtent l="0" t="0" r="3175" b="3175"/>
                  <wp:docPr id="5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6"/>
                          <pic:cNvPicPr>
                            <a:picLocks noChangeAspect="1" noChangeArrowheads="1"/>
                          </pic:cNvPicPr>
                        </pic:nvPicPr>
                        <pic:blipFill>
                          <a:blip r:embed="rId72"/>
                          <a:srcRect/>
                          <a:stretch>
                            <a:fillRect/>
                          </a:stretch>
                        </pic:blipFill>
                        <pic:spPr>
                          <a:xfrm>
                            <a:off x="0" y="0"/>
                            <a:ext cx="4492625" cy="1120775"/>
                          </a:xfrm>
                          <a:prstGeom prst="rect">
                            <a:avLst/>
                          </a:prstGeom>
                          <a:noFill/>
                          <a:ln>
                            <a:noFill/>
                          </a:ln>
                        </pic:spPr>
                      </pic:pic>
                    </a:graphicData>
                  </a:graphic>
                </wp:inline>
              </w:drawing>
            </w:r>
          </w:p>
          <w:p w14:paraId="6C6474ED">
            <w:pPr>
              <w:pStyle w:val="89"/>
              <w:rPr>
                <w:color w:val="000000" w:themeColor="text1"/>
                <w:kern w:val="2"/>
                <w:u w:val="none"/>
                <w14:textFill>
                  <w14:solidFill>
                    <w14:schemeClr w14:val="tx1"/>
                  </w14:solidFill>
                </w14:textFill>
              </w:rPr>
            </w:pPr>
            <w:r>
              <w:rPr>
                <w:rFonts w:hint="eastAsia"/>
                <w:color w:val="000000" w:themeColor="text1"/>
                <w:kern w:val="2"/>
                <w:u w:val="none"/>
                <w14:textFill>
                  <w14:solidFill>
                    <w14:schemeClr w14:val="tx1"/>
                  </w14:solidFill>
                </w14:textFill>
              </w:rPr>
              <w:t>图5.7-1 尾缘锯齿示意图</w:t>
            </w:r>
          </w:p>
          <w:p w14:paraId="6FED1D43">
            <w:pPr>
              <w:pStyle w:val="89"/>
              <w:rPr>
                <w:color w:val="FF0000"/>
                <w:kern w:val="2"/>
                <w:u w:val="none"/>
              </w:rPr>
            </w:pPr>
            <w:r>
              <w:rPr>
                <w:rFonts w:hint="eastAsia"/>
                <w:color w:val="FF0000"/>
                <w:kern w:val="2"/>
                <w:u w:val="none"/>
              </w:rPr>
              <w:drawing>
                <wp:inline distT="0" distB="0" distL="0" distR="0">
                  <wp:extent cx="4397375" cy="1333500"/>
                  <wp:effectExtent l="0" t="0" r="3175" b="0"/>
                  <wp:docPr id="51"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8"/>
                          <pic:cNvPicPr>
                            <a:picLocks noChangeAspect="1" noChangeArrowheads="1"/>
                          </pic:cNvPicPr>
                        </pic:nvPicPr>
                        <pic:blipFill>
                          <a:blip r:embed="rId73"/>
                          <a:srcRect/>
                          <a:stretch>
                            <a:fillRect/>
                          </a:stretch>
                        </pic:blipFill>
                        <pic:spPr>
                          <a:xfrm>
                            <a:off x="0" y="0"/>
                            <a:ext cx="4397375" cy="1333500"/>
                          </a:xfrm>
                          <a:prstGeom prst="rect">
                            <a:avLst/>
                          </a:prstGeom>
                          <a:noFill/>
                          <a:ln>
                            <a:noFill/>
                          </a:ln>
                        </pic:spPr>
                      </pic:pic>
                    </a:graphicData>
                  </a:graphic>
                </wp:inline>
              </w:drawing>
            </w:r>
          </w:p>
          <w:p w14:paraId="4D2DA23E">
            <w:pPr>
              <w:pStyle w:val="89"/>
              <w:spacing w:line="360" w:lineRule="auto"/>
              <w:rPr>
                <w:color w:val="000000" w:themeColor="text1"/>
                <w:kern w:val="2"/>
                <w:u w:val="none"/>
                <w14:textFill>
                  <w14:solidFill>
                    <w14:schemeClr w14:val="tx1"/>
                  </w14:solidFill>
                </w14:textFill>
              </w:rPr>
            </w:pPr>
            <w:r>
              <w:rPr>
                <w:rFonts w:hint="eastAsia"/>
                <w:color w:val="000000" w:themeColor="text1"/>
                <w:kern w:val="2"/>
                <w:u w:val="none"/>
                <w14:textFill>
                  <w14:solidFill>
                    <w14:schemeClr w14:val="tx1"/>
                  </w14:solidFill>
                </w14:textFill>
              </w:rPr>
              <w:t>图5.7-2 叶片尾缘锯齿安装区间</w:t>
            </w:r>
          </w:p>
          <w:p w14:paraId="07A25340">
            <w:pPr>
              <w:spacing w:line="360" w:lineRule="auto"/>
              <w:ind w:firstLine="480" w:firstLineChars="200"/>
              <w:rPr>
                <w:color w:val="000000" w:themeColor="text1"/>
                <w:u w:val="none"/>
                <w14:textFill>
                  <w14:solidFill>
                    <w14:schemeClr w14:val="tx1"/>
                  </w14:solidFill>
                </w14:textFill>
              </w:rPr>
            </w:pPr>
            <w:r>
              <w:rPr>
                <w:color w:val="000000" w:themeColor="text1"/>
                <w:u w:val="none"/>
                <w14:textFill>
                  <w14:solidFill>
                    <w14:schemeClr w14:val="tx1"/>
                  </w14:solidFill>
                </w14:textFill>
              </w:rPr>
              <w:t>根据</w:t>
            </w:r>
            <w:r>
              <w:rPr>
                <w:rFonts w:hint="eastAsia"/>
                <w:color w:val="000000" w:themeColor="text1"/>
                <w:u w:val="none"/>
                <w14:textFill>
                  <w14:solidFill>
                    <w14:schemeClr w14:val="tx1"/>
                  </w14:solidFill>
                </w14:textFill>
              </w:rPr>
              <w:t>理论计算，</w:t>
            </w:r>
            <w:r>
              <w:rPr>
                <w:color w:val="000000" w:themeColor="text1"/>
                <w:u w:val="none"/>
                <w14:textFill>
                  <w14:solidFill>
                    <w14:schemeClr w14:val="tx1"/>
                  </w14:solidFill>
                </w14:textFill>
              </w:rPr>
              <w:t>安装锯齿尾缘之后，气动噪声</w:t>
            </w:r>
            <w:r>
              <w:rPr>
                <w:rFonts w:hint="eastAsia"/>
                <w:color w:val="000000" w:themeColor="text1"/>
                <w:u w:val="none"/>
                <w14:textFill>
                  <w14:solidFill>
                    <w14:schemeClr w14:val="tx1"/>
                  </w14:solidFill>
                </w14:textFill>
              </w:rPr>
              <w:t>可</w:t>
            </w:r>
            <w:r>
              <w:rPr>
                <w:color w:val="000000" w:themeColor="text1"/>
                <w:u w:val="none"/>
                <w14:textFill>
                  <w14:solidFill>
                    <w14:schemeClr w14:val="tx1"/>
                  </w14:solidFill>
                </w14:textFill>
              </w:rPr>
              <w:t>普遍下降2.1-2.5分贝。在轮毂高度风速为9米/秒以上，出现了理论上的最高噪声等级，风速变大后，由于叶片变桨导致噪声等级降低。风力机实际运行过程中，考虑湍流、风切、偏航等情况，噪声等级也会相应降低。</w:t>
            </w:r>
          </w:p>
          <w:p w14:paraId="47F24ED9">
            <w:pPr>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降噪VG方案（Vortex generation for noise reduction）：</w:t>
            </w:r>
          </w:p>
          <w:p w14:paraId="0C9B8563">
            <w:pPr>
              <w:ind w:firstLine="480" w:firstLineChars="200"/>
              <w:rPr>
                <w:color w:val="000000" w:themeColor="text1"/>
                <w:u w:val="none"/>
                <w14:textFill>
                  <w14:solidFill>
                    <w14:schemeClr w14:val="tx1"/>
                  </w14:solidFill>
                </w14:textFill>
              </w:rPr>
            </w:pPr>
            <w:r>
              <w:rPr>
                <w:color w:val="000000" w:themeColor="text1"/>
                <w:u w:val="none"/>
                <w14:textFill>
                  <w14:solidFill>
                    <w14:schemeClr w14:val="tx1"/>
                  </w14:solidFill>
                </w14:textFill>
              </w:rPr>
              <w:t>降噪VG主要安装在叶片尖部30%叶片长度区域，安装降噪VG后，减少翼型表面紊流附面层压力脉动及叶片前缘对空气的冲击噪声，将叶片表面产生的大涡转变为无数微小湍流，延缓翼型后部涡脱落，见图5</w:t>
            </w:r>
            <w:r>
              <w:rPr>
                <w:rFonts w:hint="eastAsia"/>
                <w:color w:val="000000" w:themeColor="text1"/>
                <w:u w:val="none"/>
                <w14:textFill>
                  <w14:solidFill>
                    <w14:schemeClr w14:val="tx1"/>
                  </w14:solidFill>
                </w14:textFill>
              </w:rPr>
              <w:t>.7</w:t>
            </w:r>
            <w:r>
              <w:rPr>
                <w:color w:val="000000" w:themeColor="text1"/>
                <w:u w:val="none"/>
                <w14:textFill>
                  <w14:solidFill>
                    <w14:schemeClr w14:val="tx1"/>
                  </w14:solidFill>
                </w14:textFill>
              </w:rPr>
              <w:t>-3。降低噪音的同时还可以增加升力，降噪效果一般为2dB（A），发电量提升0.5%~1.0%。安装示意见图5</w:t>
            </w:r>
            <w:r>
              <w:rPr>
                <w:rFonts w:hint="eastAsia"/>
                <w:color w:val="000000" w:themeColor="text1"/>
                <w:u w:val="none"/>
                <w14:textFill>
                  <w14:solidFill>
                    <w14:schemeClr w14:val="tx1"/>
                  </w14:solidFill>
                </w14:textFill>
              </w:rPr>
              <w:t>.7</w:t>
            </w:r>
            <w:r>
              <w:rPr>
                <w:color w:val="000000" w:themeColor="text1"/>
                <w:u w:val="none"/>
                <w14:textFill>
                  <w14:solidFill>
                    <w14:schemeClr w14:val="tx1"/>
                  </w14:solidFill>
                </w14:textFill>
              </w:rPr>
              <w:t>-4，位于叶片吸力面。</w:t>
            </w:r>
          </w:p>
          <w:p w14:paraId="296458B2">
            <w:pPr>
              <w:pStyle w:val="89"/>
              <w:rPr>
                <w:color w:val="FF0000"/>
                <w:kern w:val="2"/>
                <w:u w:val="none"/>
              </w:rPr>
            </w:pPr>
            <w:r>
              <w:rPr>
                <w:rFonts w:hint="eastAsia"/>
                <w:color w:val="FF0000"/>
                <w:kern w:val="2"/>
                <w:u w:val="none"/>
              </w:rPr>
              <w:drawing>
                <wp:inline distT="0" distB="0" distL="0" distR="0">
                  <wp:extent cx="2412365" cy="1614170"/>
                  <wp:effectExtent l="0" t="0" r="6985" b="5080"/>
                  <wp:docPr id="5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9"/>
                          <pic:cNvPicPr>
                            <a:picLocks noChangeAspect="1" noChangeArrowheads="1"/>
                          </pic:cNvPicPr>
                        </pic:nvPicPr>
                        <pic:blipFill>
                          <a:blip r:embed="rId74"/>
                          <a:srcRect/>
                          <a:stretch>
                            <a:fillRect/>
                          </a:stretch>
                        </pic:blipFill>
                        <pic:spPr>
                          <a:xfrm>
                            <a:off x="0" y="0"/>
                            <a:ext cx="2412365" cy="1614170"/>
                          </a:xfrm>
                          <a:prstGeom prst="rect">
                            <a:avLst/>
                          </a:prstGeom>
                          <a:noFill/>
                          <a:ln>
                            <a:noFill/>
                          </a:ln>
                        </pic:spPr>
                      </pic:pic>
                    </a:graphicData>
                  </a:graphic>
                </wp:inline>
              </w:drawing>
            </w:r>
            <w:r>
              <w:rPr>
                <w:rFonts w:hint="eastAsia"/>
                <w:color w:val="FF0000"/>
                <w:kern w:val="2"/>
                <w:u w:val="none"/>
              </w:rPr>
              <w:t xml:space="preserve"> </w:t>
            </w:r>
            <w:r>
              <w:rPr>
                <w:rFonts w:hint="eastAsia"/>
                <w:color w:val="FF0000"/>
                <w:kern w:val="2"/>
                <w:u w:val="none"/>
              </w:rPr>
              <w:drawing>
                <wp:inline distT="0" distB="0" distL="0" distR="0">
                  <wp:extent cx="2175510" cy="1629410"/>
                  <wp:effectExtent l="0" t="0" r="15240" b="8890"/>
                  <wp:docPr id="5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0"/>
                          <pic:cNvPicPr>
                            <a:picLocks noChangeAspect="1" noChangeArrowheads="1"/>
                          </pic:cNvPicPr>
                        </pic:nvPicPr>
                        <pic:blipFill>
                          <a:blip r:embed="rId75"/>
                          <a:srcRect/>
                          <a:stretch>
                            <a:fillRect/>
                          </a:stretch>
                        </pic:blipFill>
                        <pic:spPr>
                          <a:xfrm>
                            <a:off x="0" y="0"/>
                            <a:ext cx="2175510" cy="1629410"/>
                          </a:xfrm>
                          <a:prstGeom prst="rect">
                            <a:avLst/>
                          </a:prstGeom>
                          <a:noFill/>
                          <a:ln>
                            <a:noFill/>
                          </a:ln>
                        </pic:spPr>
                      </pic:pic>
                    </a:graphicData>
                  </a:graphic>
                </wp:inline>
              </w:drawing>
            </w:r>
          </w:p>
          <w:p w14:paraId="282E3848">
            <w:pPr>
              <w:pStyle w:val="89"/>
              <w:rPr>
                <w:color w:val="000000" w:themeColor="text1"/>
                <w:kern w:val="2"/>
                <w:u w:val="none"/>
                <w14:textFill>
                  <w14:solidFill>
                    <w14:schemeClr w14:val="tx1"/>
                  </w14:solidFill>
                </w14:textFill>
              </w:rPr>
            </w:pPr>
            <w:r>
              <w:rPr>
                <w:rFonts w:hint="eastAsia"/>
                <w:color w:val="000000" w:themeColor="text1"/>
                <w:kern w:val="2"/>
                <w:u w:val="none"/>
                <w14:textFill>
                  <w14:solidFill>
                    <w14:schemeClr w14:val="tx1"/>
                  </w14:solidFill>
                </w14:textFill>
              </w:rPr>
              <w:t>图5.7-3 降噪VG原理</w:t>
            </w:r>
          </w:p>
          <w:p w14:paraId="1A054658">
            <w:pPr>
              <w:pStyle w:val="89"/>
              <w:rPr>
                <w:color w:val="FF0000"/>
                <w:kern w:val="2"/>
                <w:u w:val="none"/>
              </w:rPr>
            </w:pPr>
            <w:r>
              <w:rPr>
                <w:rFonts w:hint="eastAsia"/>
                <w:color w:val="FF0000"/>
                <w:kern w:val="2"/>
                <w:u w:val="none"/>
              </w:rPr>
              <w:drawing>
                <wp:inline distT="0" distB="0" distL="0" distR="0">
                  <wp:extent cx="4357370" cy="1981835"/>
                  <wp:effectExtent l="0" t="0" r="5080" b="18415"/>
                  <wp:docPr id="54"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81"/>
                          <pic:cNvPicPr>
                            <a:picLocks noChangeAspect="1" noChangeArrowheads="1"/>
                          </pic:cNvPicPr>
                        </pic:nvPicPr>
                        <pic:blipFill>
                          <a:blip r:embed="rId76"/>
                          <a:srcRect/>
                          <a:stretch>
                            <a:fillRect/>
                          </a:stretch>
                        </pic:blipFill>
                        <pic:spPr>
                          <a:xfrm>
                            <a:off x="0" y="0"/>
                            <a:ext cx="4357370" cy="1981835"/>
                          </a:xfrm>
                          <a:prstGeom prst="rect">
                            <a:avLst/>
                          </a:prstGeom>
                          <a:noFill/>
                          <a:ln>
                            <a:noFill/>
                          </a:ln>
                        </pic:spPr>
                      </pic:pic>
                    </a:graphicData>
                  </a:graphic>
                </wp:inline>
              </w:drawing>
            </w:r>
          </w:p>
          <w:p w14:paraId="29CB33EA">
            <w:pPr>
              <w:pStyle w:val="89"/>
              <w:rPr>
                <w:color w:val="000000" w:themeColor="text1"/>
                <w:kern w:val="2"/>
                <w:u w:val="none"/>
                <w14:textFill>
                  <w14:solidFill>
                    <w14:schemeClr w14:val="tx1"/>
                  </w14:solidFill>
                </w14:textFill>
              </w:rPr>
            </w:pPr>
            <w:r>
              <w:rPr>
                <w:rFonts w:hint="eastAsia"/>
                <w:color w:val="000000" w:themeColor="text1"/>
                <w:kern w:val="2"/>
                <w:u w:val="none"/>
                <w14:textFill>
                  <w14:solidFill>
                    <w14:schemeClr w14:val="tx1"/>
                  </w14:solidFill>
                </w14:textFill>
              </w:rPr>
              <w:t>图5</w:t>
            </w:r>
            <w:r>
              <w:rPr>
                <w:rFonts w:hint="eastAsia"/>
                <w:color w:val="000000" w:themeColor="text1"/>
                <w:kern w:val="2"/>
                <w:u w:val="none"/>
                <w:lang w:val="en-US" w:eastAsia="zh-CN"/>
                <w14:textFill>
                  <w14:solidFill>
                    <w14:schemeClr w14:val="tx1"/>
                  </w14:solidFill>
                </w14:textFill>
              </w:rPr>
              <w:t>.7</w:t>
            </w:r>
            <w:r>
              <w:rPr>
                <w:rFonts w:hint="eastAsia"/>
                <w:color w:val="000000" w:themeColor="text1"/>
                <w:kern w:val="2"/>
                <w:u w:val="none"/>
                <w14:textFill>
                  <w14:solidFill>
                    <w14:schemeClr w14:val="tx1"/>
                  </w14:solidFill>
                </w14:textFill>
              </w:rPr>
              <w:t>-4 叶片表面降噪VG安装示意图</w:t>
            </w:r>
          </w:p>
          <w:p w14:paraId="395CEA01">
            <w:pPr>
              <w:ind w:firstLine="480" w:firstLineChars="200"/>
              <w:rPr>
                <w:color w:val="000000" w:themeColor="text1"/>
                <w:u w:val="none"/>
                <w14:textFill>
                  <w14:solidFill>
                    <w14:schemeClr w14:val="tx1"/>
                  </w14:solidFill>
                </w14:textFill>
              </w:rPr>
            </w:pPr>
            <w:r>
              <w:rPr>
                <w:rFonts w:hint="eastAsia"/>
                <w:color w:val="000000" w:themeColor="text1"/>
                <w:u w:val="none"/>
                <w:lang w:val="en-US" w:eastAsia="zh-CN"/>
                <w14:textFill>
                  <w14:solidFill>
                    <w14:schemeClr w14:val="tx1"/>
                  </w14:solidFill>
                </w14:textFill>
              </w:rPr>
              <w:t>降噪措施</w:t>
            </w:r>
            <w:r>
              <w:rPr>
                <w:rFonts w:hint="eastAsia"/>
                <w:color w:val="000000" w:themeColor="text1"/>
                <w:u w:val="none"/>
                <w14:textFill>
                  <w14:solidFill>
                    <w14:schemeClr w14:val="tx1"/>
                  </w14:solidFill>
                </w14:textFill>
              </w:rPr>
              <w:t>总结：</w:t>
            </w:r>
          </w:p>
          <w:p w14:paraId="30EAFF24">
            <w:pPr>
              <w:ind w:firstLine="480" w:firstLineChars="200"/>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叶片加装锯齿尾缘后，气动噪声源声功率最大降低2.5dB(A)。</w:t>
            </w:r>
          </w:p>
          <w:p w14:paraId="69E4C0ED">
            <w:pPr>
              <w:ind w:firstLine="480" w:firstLineChars="200"/>
              <w:rPr>
                <w:rFonts w:hint="eastAsia"/>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叶片加装降噪VG后，气动噪声源声功率最大降低2dB(A)。</w:t>
            </w:r>
          </w:p>
          <w:p w14:paraId="284C0A1C">
            <w:pPr>
              <w:ind w:firstLine="480" w:firstLineChars="200"/>
              <w:rPr>
                <w:rFonts w:hint="eastAsia"/>
                <w:color w:val="000000" w:themeColor="text1"/>
                <w:u w:val="none"/>
                <w:lang w:val="en-US" w:eastAsia="zh-CN"/>
                <w14:textFill>
                  <w14:solidFill>
                    <w14:schemeClr w14:val="tx1"/>
                  </w14:solidFill>
                </w14:textFill>
              </w:rPr>
            </w:pPr>
            <w:r>
              <w:rPr>
                <w:rFonts w:hint="eastAsia"/>
                <w:color w:val="000000" w:themeColor="text1"/>
                <w:u w:val="none"/>
                <w14:textFill>
                  <w14:solidFill>
                    <w14:schemeClr w14:val="tx1"/>
                  </w14:solidFill>
                </w14:textFill>
              </w:rPr>
              <w:t>敏感点噪声控制措施</w:t>
            </w:r>
            <w:r>
              <w:rPr>
                <w:rFonts w:hint="eastAsia"/>
                <w:color w:val="000000" w:themeColor="text1"/>
                <w:u w:val="none"/>
                <w:lang w:val="en-US" w:eastAsia="zh-CN"/>
                <w14:textFill>
                  <w14:solidFill>
                    <w14:schemeClr w14:val="tx1"/>
                  </w14:solidFill>
                </w14:textFill>
              </w:rPr>
              <w:t>:</w:t>
            </w:r>
          </w:p>
          <w:p w14:paraId="388B5754">
            <w:pPr>
              <w:ind w:firstLine="480" w:firstLineChars="200"/>
              <w:rPr>
                <w:rFonts w:hint="eastAsia"/>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 xml:space="preserve"> ①预留噪声防治资金，做好运营期居民点噪声跟踪监测； </w:t>
            </w:r>
          </w:p>
          <w:p w14:paraId="3AF66444">
            <w:pPr>
              <w:ind w:firstLine="480" w:firstLineChars="200"/>
              <w:rPr>
                <w:rFonts w:hint="eastAsia"/>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 xml:space="preserve">②根据跟踪监测结果，若出现超标，应与居民友好协商，采取安装隔声窗或对房屋进行功能置换处置，确保风机噪声不扰民。 </w:t>
            </w:r>
          </w:p>
          <w:p w14:paraId="4502C3FC">
            <w:pPr>
              <w:ind w:firstLine="480" w:firstLineChars="200"/>
              <w:rPr>
                <w:rFonts w:hint="eastAsia"/>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 xml:space="preserve"> 参考《湖南省风电场项目建设管理办法》湘发改能源（2012）445号文中提出的“场址距离最近的建筑物原则上应不小于300m，噪声控制应符合国家相关标准限值”的要求，结合本项目风机单机容量及噪声预测结果情况和同类工程已运行情况，建议本项目噪声规划控制距离为风机平台边界和升压站厂界3</w:t>
            </w:r>
            <w:r>
              <w:rPr>
                <w:rFonts w:hint="eastAsia"/>
                <w:color w:val="000000" w:themeColor="text1"/>
                <w:u w:val="none"/>
                <w:lang w:val="en-US" w:eastAsia="zh-CN"/>
                <w14:textFill>
                  <w14:solidFill>
                    <w14:schemeClr w14:val="tx1"/>
                  </w14:solidFill>
                </w14:textFill>
              </w:rPr>
              <w:t>5</w:t>
            </w:r>
            <w:r>
              <w:rPr>
                <w:rFonts w:hint="eastAsia"/>
                <w:color w:val="000000" w:themeColor="text1"/>
                <w:u w:val="none"/>
                <w14:textFill>
                  <w14:solidFill>
                    <w14:schemeClr w14:val="tx1"/>
                  </w14:solidFill>
                </w14:textFill>
              </w:rPr>
              <w:t>0m范围。因此，若需在本项目区风机与升压站附近新建噪声敏感建筑物或建设对周边噪声敏感建筑物产生较大噪声影响的建设项目，应协调控制好项目建设用地，并满足相应的噪声规划控制距离要求。</w:t>
            </w:r>
          </w:p>
          <w:p w14:paraId="7567E813">
            <w:pPr>
              <w:pStyle w:val="3"/>
              <w:numPr>
                <w:ilvl w:val="0"/>
                <w:numId w:val="0"/>
              </w:numPr>
              <w:tabs>
                <w:tab w:val="left" w:pos="425"/>
                <w:tab w:val="clear" w:pos="420"/>
              </w:tabs>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5.8 运营期地表水环境保护措施</w:t>
            </w:r>
          </w:p>
          <w:p w14:paraId="7A49B832">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为预防变压器油泄漏，主体工程设计在变压器底部设置一个小型集油池，当发生油泄漏时，废油可进入集油池，避免流入周围区域。含油废水在集油池进行油水分离，分离后废水经一体化生活污水处理系统处理后用于绿化。经过处理后的污水不会对周围环境造成污染。</w:t>
            </w:r>
          </w:p>
          <w:p w14:paraId="052CB869">
            <w:pPr>
              <w:ind w:firstLine="480" w:firstLineChars="200"/>
              <w:rPr>
                <w:color w:val="000000" w:themeColor="text1"/>
                <w:u w:val="none"/>
                <w14:textFill>
                  <w14:solidFill>
                    <w14:schemeClr w14:val="tx1"/>
                  </w14:solidFill>
                </w14:textFill>
              </w:rPr>
            </w:pPr>
            <w:r>
              <w:rPr>
                <w:color w:val="000000" w:themeColor="text1"/>
                <w:u w:val="none"/>
                <w14:textFill>
                  <w14:solidFill>
                    <w14:schemeClr w14:val="tx1"/>
                  </w14:solidFill>
                </w14:textFill>
              </w:rPr>
              <w:t>运行期电站管理人员生活污水经一体化污水处理设备</w:t>
            </w:r>
            <w:r>
              <w:rPr>
                <w:rFonts w:hint="eastAsia"/>
                <w:color w:val="000000" w:themeColor="text1"/>
                <w:u w:val="none"/>
                <w:lang w:eastAsia="zh-CN"/>
                <w14:textFill>
                  <w14:solidFill>
                    <w14:schemeClr w14:val="tx1"/>
                  </w14:solidFill>
                </w14:textFill>
              </w:rPr>
              <w:t>（</w:t>
            </w:r>
            <w:r>
              <w:rPr>
                <w:color w:val="000000" w:themeColor="text1"/>
                <w:u w:val="none"/>
                <w14:textFill>
                  <w14:solidFill>
                    <w14:schemeClr w14:val="tx1"/>
                  </w14:solidFill>
                </w14:textFill>
              </w:rPr>
              <w:t>处理量为0.5m</w:t>
            </w:r>
            <w:r>
              <w:rPr>
                <w:color w:val="000000" w:themeColor="text1"/>
                <w:u w:val="none"/>
                <w:vertAlign w:val="superscript"/>
                <w14:textFill>
                  <w14:solidFill>
                    <w14:schemeClr w14:val="tx1"/>
                  </w14:solidFill>
                </w14:textFill>
              </w:rPr>
              <w:t>3</w:t>
            </w:r>
            <w:r>
              <w:rPr>
                <w:color w:val="000000" w:themeColor="text1"/>
                <w:u w:val="none"/>
                <w14:textFill>
                  <w14:solidFill>
                    <w14:schemeClr w14:val="tx1"/>
                  </w14:solidFill>
                </w14:textFill>
              </w:rPr>
              <w:t>/h</w:t>
            </w:r>
            <w:r>
              <w:rPr>
                <w:rFonts w:hint="eastAsia"/>
                <w:color w:val="000000" w:themeColor="text1"/>
                <w:u w:val="none"/>
                <w:lang w:eastAsia="zh-CN"/>
                <w14:textFill>
                  <w14:solidFill>
                    <w14:schemeClr w14:val="tx1"/>
                  </w14:solidFill>
                </w14:textFill>
              </w:rPr>
              <w:t>）</w:t>
            </w:r>
            <w:r>
              <w:rPr>
                <w:color w:val="000000" w:themeColor="text1"/>
                <w:u w:val="none"/>
                <w14:textFill>
                  <w14:solidFill>
                    <w14:schemeClr w14:val="tx1"/>
                  </w14:solidFill>
                </w14:textFill>
              </w:rPr>
              <w:t>、处理系统。生活污水处理流程见下图。经一体化污水处理设备处理后排放至蓄水池，</w:t>
            </w:r>
            <w:r>
              <w:rPr>
                <w:rFonts w:hint="eastAsia"/>
                <w:color w:val="000000" w:themeColor="text1"/>
                <w:u w:val="none"/>
                <w:lang w:val="en-US" w:eastAsia="zh-CN"/>
                <w14:textFill>
                  <w14:solidFill>
                    <w14:schemeClr w14:val="tx1"/>
                  </w14:solidFill>
                </w14:textFill>
              </w:rPr>
              <w:t>回</w:t>
            </w:r>
            <w:r>
              <w:rPr>
                <w:color w:val="000000" w:themeColor="text1"/>
                <w:u w:val="none"/>
                <w14:textFill>
                  <w14:solidFill>
                    <w14:schemeClr w14:val="tx1"/>
                  </w14:solidFill>
                </w14:textFill>
              </w:rPr>
              <w:t>用于升压站周边绿化灌溉</w:t>
            </w:r>
            <w:r>
              <w:rPr>
                <w:rFonts w:hint="eastAsia"/>
                <w:color w:val="000000" w:themeColor="text1"/>
                <w:u w:val="none"/>
                <w:lang w:eastAsia="zh-CN"/>
                <w14:textFill>
                  <w14:solidFill>
                    <w14:schemeClr w14:val="tx1"/>
                  </w14:solidFill>
                </w14:textFill>
              </w:rPr>
              <w:t>，</w:t>
            </w:r>
            <w:r>
              <w:rPr>
                <w:rFonts w:hint="eastAsia"/>
                <w:color w:val="000000" w:themeColor="text1"/>
                <w:u w:val="none"/>
                <w:lang w:val="en-US" w:eastAsia="zh-CN"/>
                <w14:textFill>
                  <w14:solidFill>
                    <w14:schemeClr w14:val="tx1"/>
                  </w14:solidFill>
                </w14:textFill>
              </w:rPr>
              <w:t>不外排</w:t>
            </w:r>
            <w:r>
              <w:rPr>
                <w:color w:val="000000" w:themeColor="text1"/>
                <w:u w:val="none"/>
                <w14:textFill>
                  <w14:solidFill>
                    <w14:schemeClr w14:val="tx1"/>
                  </w14:solidFill>
                </w14:textFill>
              </w:rPr>
              <w:t>。污水处理过程中产生的污泥将自行堆肥，主要用于场区的绿化和生态恢复。</w:t>
            </w:r>
          </w:p>
          <w:p w14:paraId="5FAE9821">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本项目采用地埋式生化处理池是近年发展起来的生活污水处理技术，其特点是占地体积小，运行稳定，处理效果理想，地埋处理费用约0.6元/t。一体化污水处理设备采用A/O工艺，该工艺成熟可靠，能够保证废水处理达到《污水综合排放标准》</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GB8978-1996</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一级标准。因此，本项目废水处理工艺无论从技术角度还是经济角度来看，都是可行的。</w:t>
            </w:r>
          </w:p>
          <w:p w14:paraId="44F4EF22">
            <w:pPr>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g">
                  <w:drawing>
                    <wp:anchor distT="0" distB="0" distL="114300" distR="114300" simplePos="0" relativeHeight="251672576" behindDoc="0" locked="0" layoutInCell="1" allowOverlap="1">
                      <wp:simplePos x="0" y="0"/>
                      <wp:positionH relativeFrom="column">
                        <wp:posOffset>153035</wp:posOffset>
                      </wp:positionH>
                      <wp:positionV relativeFrom="paragraph">
                        <wp:posOffset>81280</wp:posOffset>
                      </wp:positionV>
                      <wp:extent cx="4800600" cy="801370"/>
                      <wp:effectExtent l="0" t="0" r="0" b="0"/>
                      <wp:wrapNone/>
                      <wp:docPr id="80" name="组合 80"/>
                      <wp:cNvGraphicFramePr/>
                      <a:graphic xmlns:a="http://schemas.openxmlformats.org/drawingml/2006/main">
                        <a:graphicData uri="http://schemas.microsoft.com/office/word/2010/wordprocessingGroup">
                          <wpg:wgp>
                            <wpg:cNvGrpSpPr/>
                            <wpg:grpSpPr>
                              <a:xfrm>
                                <a:off x="0" y="0"/>
                                <a:ext cx="4800600" cy="801370"/>
                                <a:chOff x="18915" y="929567"/>
                                <a:chExt cx="7560" cy="1262"/>
                              </a:xfrm>
                            </wpg:grpSpPr>
                            <wps:wsp>
                              <wps:cNvPr id="73" name="文本框 72"/>
                              <wps:cNvSpPr txBox="1">
                                <a:spLocks noChangeArrowheads="1"/>
                              </wps:cNvSpPr>
                              <wps:spPr bwMode="auto">
                                <a:xfrm>
                                  <a:off x="25284" y="930473"/>
                                  <a:ext cx="1191" cy="356"/>
                                </a:xfrm>
                                <a:prstGeom prst="rect">
                                  <a:avLst/>
                                </a:prstGeom>
                                <a:noFill/>
                                <a:ln>
                                  <a:noFill/>
                                </a:ln>
                                <a:effectLst/>
                              </wps:spPr>
                              <wps:txbx>
                                <w:txbxContent>
                                  <w:p w14:paraId="5E5624AD">
                                    <w:pPr>
                                      <w:pStyle w:val="63"/>
                                      <w:spacing w:before="24" w:after="24"/>
                                      <w:rPr>
                                        <w:sz w:val="18"/>
                                        <w:szCs w:val="18"/>
                                      </w:rPr>
                                    </w:pPr>
                                    <w:r>
                                      <w:rPr>
                                        <w:rFonts w:hint="eastAsia"/>
                                        <w:sz w:val="18"/>
                                        <w:szCs w:val="18"/>
                                      </w:rPr>
                                      <w:t>周边绿化</w:t>
                                    </w:r>
                                  </w:p>
                                </w:txbxContent>
                              </wps:txbx>
                              <wps:bodyPr rot="0" vert="horz" wrap="square" lIns="73152" tIns="36576" rIns="73152" bIns="36576" anchor="t" anchorCtr="0" upright="1">
                                <a:noAutofit/>
                              </wps:bodyPr>
                            </wps:wsp>
                            <wps:wsp>
                              <wps:cNvPr id="74" name="直接连接符 65"/>
                              <wps:cNvCnPr>
                                <a:cxnSpLocks noChangeShapeType="1"/>
                              </wps:cNvCnPr>
                              <wps:spPr bwMode="auto">
                                <a:xfrm>
                                  <a:off x="25119" y="929906"/>
                                  <a:ext cx="350" cy="0"/>
                                </a:xfrm>
                                <a:prstGeom prst="line">
                                  <a:avLst/>
                                </a:prstGeom>
                                <a:noFill/>
                                <a:ln w="9525">
                                  <a:solidFill>
                                    <a:srgbClr val="000000"/>
                                  </a:solidFill>
                                  <a:round/>
                                  <a:tailEnd type="stealth" w="sm" len="sm"/>
                                </a:ln>
                                <a:effectLst/>
                              </wps:spPr>
                              <wps:bodyPr/>
                            </wps:wsp>
                            <wps:wsp>
                              <wps:cNvPr id="76" name="文本框 64"/>
                              <wps:cNvSpPr txBox="1">
                                <a:spLocks noChangeArrowheads="1"/>
                              </wps:cNvSpPr>
                              <wps:spPr bwMode="auto">
                                <a:xfrm>
                                  <a:off x="23756" y="929567"/>
                                  <a:ext cx="1359" cy="680"/>
                                </a:xfrm>
                                <a:prstGeom prst="rect">
                                  <a:avLst/>
                                </a:prstGeom>
                                <a:solidFill>
                                  <a:srgbClr val="FFFFFF"/>
                                </a:solidFill>
                                <a:ln w="9525">
                                  <a:solidFill>
                                    <a:srgbClr val="000000"/>
                                  </a:solidFill>
                                  <a:miter lim="800000"/>
                                </a:ln>
                                <a:effectLst/>
                              </wps:spPr>
                              <wps:txbx>
                                <w:txbxContent>
                                  <w:p w14:paraId="11D86E48">
                                    <w:pPr>
                                      <w:pStyle w:val="63"/>
                                      <w:spacing w:before="24" w:after="24"/>
                                      <w:rPr>
                                        <w:sz w:val="18"/>
                                        <w:szCs w:val="18"/>
                                      </w:rPr>
                                    </w:pPr>
                                    <w:r>
                                      <w:rPr>
                                        <w:rFonts w:hint="eastAsia"/>
                                        <w:sz w:val="18"/>
                                        <w:szCs w:val="18"/>
                                      </w:rPr>
                                      <w:t>地埋式一体化</w:t>
                                    </w:r>
                                  </w:p>
                                  <w:p w14:paraId="7419068E">
                                    <w:pPr>
                                      <w:autoSpaceDE w:val="0"/>
                                      <w:autoSpaceDN w:val="0"/>
                                      <w:adjustRightInd w:val="0"/>
                                      <w:spacing w:before="48" w:beforeLines="20"/>
                                      <w:jc w:val="center"/>
                                      <w:rPr>
                                        <w:rFonts w:ascii="宋体" w:hAnsi="宋体"/>
                                        <w:sz w:val="18"/>
                                        <w:szCs w:val="18"/>
                                      </w:rPr>
                                    </w:pPr>
                                    <w:r>
                                      <w:rPr>
                                        <w:rFonts w:hint="eastAsia" w:ascii="宋体" w:hAnsi="宋体"/>
                                        <w:sz w:val="18"/>
                                        <w:szCs w:val="18"/>
                                      </w:rPr>
                                      <w:t>污水处理设施</w:t>
                                    </w:r>
                                  </w:p>
                                </w:txbxContent>
                              </wps:txbx>
                              <wps:bodyPr rot="0" vert="horz" wrap="square" lIns="0" tIns="36576" rIns="0" bIns="36576" anchor="t" anchorCtr="0" upright="1">
                                <a:noAutofit/>
                              </wps:bodyPr>
                            </wps:wsp>
                            <wps:wsp>
                              <wps:cNvPr id="77" name="直接连接符 71"/>
                              <wps:cNvCnPr>
                                <a:cxnSpLocks noChangeShapeType="1"/>
                              </wps:cNvCnPr>
                              <wps:spPr bwMode="auto">
                                <a:xfrm>
                                  <a:off x="18915" y="929907"/>
                                  <a:ext cx="1020" cy="2"/>
                                </a:xfrm>
                                <a:prstGeom prst="line">
                                  <a:avLst/>
                                </a:prstGeom>
                                <a:noFill/>
                                <a:ln w="9525">
                                  <a:solidFill>
                                    <a:srgbClr val="000000"/>
                                  </a:solidFill>
                                  <a:round/>
                                  <a:tailEnd type="stealth" w="sm" len="sm"/>
                                </a:ln>
                                <a:effectLst/>
                              </wps:spPr>
                              <wps:bodyPr/>
                            </wps:wsp>
                            <wps:wsp>
                              <wps:cNvPr id="78" name="文本框 63"/>
                              <wps:cNvSpPr txBox="1">
                                <a:spLocks noChangeArrowheads="1"/>
                              </wps:cNvSpPr>
                              <wps:spPr bwMode="auto">
                                <a:xfrm>
                                  <a:off x="19945" y="929735"/>
                                  <a:ext cx="840" cy="340"/>
                                </a:xfrm>
                                <a:prstGeom prst="rect">
                                  <a:avLst/>
                                </a:prstGeom>
                                <a:solidFill>
                                  <a:srgbClr val="FFFFFF"/>
                                </a:solidFill>
                                <a:ln w="9525">
                                  <a:solidFill>
                                    <a:srgbClr val="000000"/>
                                  </a:solidFill>
                                  <a:miter lim="800000"/>
                                </a:ln>
                                <a:effectLst/>
                              </wps:spPr>
                              <wps:txbx>
                                <w:txbxContent>
                                  <w:p w14:paraId="4F42A6DF">
                                    <w:pPr>
                                      <w:pStyle w:val="63"/>
                                      <w:spacing w:before="48" w:beforeLines="20" w:after="24"/>
                                      <w:rPr>
                                        <w:sz w:val="18"/>
                                        <w:szCs w:val="18"/>
                                      </w:rPr>
                                    </w:pPr>
                                    <w:r>
                                      <w:rPr>
                                        <w:rFonts w:hint="eastAsia"/>
                                        <w:sz w:val="18"/>
                                        <w:szCs w:val="18"/>
                                      </w:rPr>
                                      <w:t>化粪池</w:t>
                                    </w:r>
                                  </w:p>
                                </w:txbxContent>
                              </wps:txbx>
                              <wps:bodyPr rot="0" vert="horz" wrap="square" lIns="0" tIns="0" rIns="0" bIns="0" anchor="t" anchorCtr="0" upright="1">
                                <a:noAutofit/>
                              </wps:bodyPr>
                            </wps:wsp>
                            <wps:wsp>
                              <wps:cNvPr id="79" name="直接连接符 70"/>
                              <wps:cNvCnPr>
                                <a:cxnSpLocks noChangeShapeType="1"/>
                              </wps:cNvCnPr>
                              <wps:spPr bwMode="auto">
                                <a:xfrm>
                                  <a:off x="20792" y="929915"/>
                                  <a:ext cx="885" cy="1"/>
                                </a:xfrm>
                                <a:prstGeom prst="line">
                                  <a:avLst/>
                                </a:prstGeom>
                                <a:noFill/>
                                <a:ln w="9525">
                                  <a:solidFill>
                                    <a:srgbClr val="000000"/>
                                  </a:solidFill>
                                  <a:round/>
                                  <a:tailEnd type="stealth" w="sm" len="sm"/>
                                </a:ln>
                                <a:effectLst/>
                              </wps:spPr>
                              <wps:bodyPr/>
                            </wps:wsp>
                            <wps:wsp>
                              <wps:cNvPr id="81" name="直接连接符 69"/>
                              <wps:cNvCnPr>
                                <a:cxnSpLocks noChangeShapeType="1"/>
                              </wps:cNvCnPr>
                              <wps:spPr bwMode="auto">
                                <a:xfrm>
                                  <a:off x="20366" y="930072"/>
                                  <a:ext cx="1" cy="468"/>
                                </a:xfrm>
                                <a:prstGeom prst="line">
                                  <a:avLst/>
                                </a:prstGeom>
                                <a:noFill/>
                                <a:ln w="9525">
                                  <a:solidFill>
                                    <a:srgbClr val="000000"/>
                                  </a:solidFill>
                                  <a:round/>
                                </a:ln>
                                <a:effectLst/>
                              </wps:spPr>
                              <wps:bodyPr/>
                            </wps:wsp>
                            <wps:wsp>
                              <wps:cNvPr id="82" name="直接连接符 74"/>
                              <wps:cNvCnPr>
                                <a:cxnSpLocks noChangeShapeType="1"/>
                              </wps:cNvCnPr>
                              <wps:spPr bwMode="auto">
                                <a:xfrm>
                                  <a:off x="20366" y="930542"/>
                                  <a:ext cx="4082" cy="2"/>
                                </a:xfrm>
                                <a:prstGeom prst="line">
                                  <a:avLst/>
                                </a:prstGeom>
                                <a:noFill/>
                                <a:ln w="9525">
                                  <a:solidFill>
                                    <a:srgbClr val="000000"/>
                                  </a:solidFill>
                                  <a:round/>
                                </a:ln>
                                <a:effectLst/>
                              </wps:spPr>
                              <wps:bodyPr/>
                            </wps:wsp>
                            <wps:wsp>
                              <wps:cNvPr id="83" name="直接连接符 66"/>
                              <wps:cNvCnPr>
                                <a:cxnSpLocks noChangeShapeType="1"/>
                              </wps:cNvCnPr>
                              <wps:spPr bwMode="auto">
                                <a:xfrm>
                                  <a:off x="25884" y="930057"/>
                                  <a:ext cx="2" cy="454"/>
                                </a:xfrm>
                                <a:prstGeom prst="line">
                                  <a:avLst/>
                                </a:prstGeom>
                                <a:noFill/>
                                <a:ln w="9525">
                                  <a:solidFill>
                                    <a:srgbClr val="000000"/>
                                  </a:solidFill>
                                  <a:round/>
                                  <a:tailEnd type="stealth" w="sm" len="sm"/>
                                </a:ln>
                                <a:effectLst/>
                              </wps:spPr>
                              <wps:bodyPr/>
                            </wps:wsp>
                            <wps:wsp>
                              <wps:cNvPr id="84" name="直接连接符 73"/>
                              <wps:cNvCnPr>
                                <a:cxnSpLocks noChangeShapeType="1"/>
                              </wps:cNvCnPr>
                              <wps:spPr bwMode="auto">
                                <a:xfrm flipV="1">
                                  <a:off x="24449" y="930267"/>
                                  <a:ext cx="1" cy="283"/>
                                </a:xfrm>
                                <a:prstGeom prst="line">
                                  <a:avLst/>
                                </a:prstGeom>
                                <a:noFill/>
                                <a:ln w="9525">
                                  <a:solidFill>
                                    <a:srgbClr val="000000"/>
                                  </a:solidFill>
                                  <a:round/>
                                </a:ln>
                                <a:effectLst/>
                              </wps:spPr>
                              <wps:bodyPr/>
                            </wps:wsp>
                            <wps:wsp>
                              <wps:cNvPr id="85" name="直接连接符 68"/>
                              <wps:cNvCnPr>
                                <a:cxnSpLocks noChangeShapeType="1"/>
                              </wps:cNvCnPr>
                              <wps:spPr bwMode="auto">
                                <a:xfrm>
                                  <a:off x="23249" y="929909"/>
                                  <a:ext cx="495" cy="1"/>
                                </a:xfrm>
                                <a:prstGeom prst="line">
                                  <a:avLst/>
                                </a:prstGeom>
                                <a:noFill/>
                                <a:ln w="9525">
                                  <a:solidFill>
                                    <a:srgbClr val="000000"/>
                                  </a:solidFill>
                                  <a:round/>
                                  <a:tailEnd type="stealth" w="sm" len="sm"/>
                                </a:ln>
                                <a:effectLst/>
                              </wps:spPr>
                              <wps:bodyPr/>
                            </wps:wsp>
                            <wps:wsp>
                              <wps:cNvPr id="86" name="直接连接符 67"/>
                              <wps:cNvCnPr>
                                <a:cxnSpLocks noChangeShapeType="1"/>
                              </wps:cNvCnPr>
                              <wps:spPr bwMode="auto">
                                <a:xfrm>
                                  <a:off x="22494" y="930072"/>
                                  <a:ext cx="1" cy="468"/>
                                </a:xfrm>
                                <a:prstGeom prst="line">
                                  <a:avLst/>
                                </a:prstGeom>
                                <a:noFill/>
                                <a:ln w="9525">
                                  <a:solidFill>
                                    <a:srgbClr val="000000"/>
                                  </a:solidFill>
                                  <a:round/>
                                </a:ln>
                                <a:effectLst/>
                              </wps:spPr>
                              <wps:bodyPr/>
                            </wps:wsp>
                            <wps:wsp>
                              <wps:cNvPr id="87" name="文本框 59"/>
                              <wps:cNvSpPr txBox="1">
                                <a:spLocks noChangeArrowheads="1"/>
                              </wps:cNvSpPr>
                              <wps:spPr bwMode="auto">
                                <a:xfrm>
                                  <a:off x="25480" y="929725"/>
                                  <a:ext cx="737" cy="340"/>
                                </a:xfrm>
                                <a:prstGeom prst="rect">
                                  <a:avLst/>
                                </a:prstGeom>
                                <a:solidFill>
                                  <a:srgbClr val="FFFFFF"/>
                                </a:solidFill>
                                <a:ln w="9525">
                                  <a:solidFill>
                                    <a:srgbClr val="000000"/>
                                  </a:solidFill>
                                  <a:miter lim="800000"/>
                                </a:ln>
                                <a:effectLst/>
                              </wps:spPr>
                              <wps:txbx>
                                <w:txbxContent>
                                  <w:p w14:paraId="5591E203">
                                    <w:pPr>
                                      <w:pStyle w:val="63"/>
                                      <w:spacing w:before="48" w:beforeLines="20" w:after="24"/>
                                      <w:rPr>
                                        <w:sz w:val="18"/>
                                        <w:szCs w:val="18"/>
                                      </w:rPr>
                                    </w:pPr>
                                    <w:r>
                                      <w:rPr>
                                        <w:rFonts w:hint="eastAsia"/>
                                        <w:sz w:val="18"/>
                                        <w:szCs w:val="18"/>
                                      </w:rPr>
                                      <w:t>蓄水池</w:t>
                                    </w:r>
                                  </w:p>
                                </w:txbxContent>
                              </wps:txbx>
                              <wps:bodyPr rot="0" vert="horz" wrap="square" lIns="0" tIns="0" rIns="0" bIns="0" anchor="t" anchorCtr="0" upright="1">
                                <a:noAutofit/>
                              </wps:bodyPr>
                            </wps:wsp>
                            <wps:wsp>
                              <wps:cNvPr id="88" name="文本框 22"/>
                              <wps:cNvSpPr txBox="1">
                                <a:spLocks noChangeArrowheads="1"/>
                              </wps:cNvSpPr>
                              <wps:spPr bwMode="auto">
                                <a:xfrm>
                                  <a:off x="20786" y="929580"/>
                                  <a:ext cx="840" cy="312"/>
                                </a:xfrm>
                                <a:prstGeom prst="rect">
                                  <a:avLst/>
                                </a:prstGeom>
                                <a:noFill/>
                                <a:ln>
                                  <a:noFill/>
                                </a:ln>
                                <a:effectLst/>
                              </wps:spPr>
                              <wps:txbx>
                                <w:txbxContent>
                                  <w:p w14:paraId="58C6F92F">
                                    <w:pPr>
                                      <w:pStyle w:val="63"/>
                                      <w:spacing w:before="24" w:after="24"/>
                                      <w:rPr>
                                        <w:sz w:val="18"/>
                                        <w:szCs w:val="18"/>
                                      </w:rPr>
                                    </w:pPr>
                                    <w:r>
                                      <w:rPr>
                                        <w:rFonts w:hint="eastAsia"/>
                                        <w:sz w:val="18"/>
                                        <w:szCs w:val="18"/>
                                      </w:rPr>
                                      <w:t>上清液</w:t>
                                    </w:r>
                                  </w:p>
                                </w:txbxContent>
                              </wps:txbx>
                              <wps:bodyPr rot="0" vert="horz" wrap="square" lIns="0" tIns="0" rIns="0" bIns="0" anchor="t" anchorCtr="0" upright="1">
                                <a:noAutofit/>
                              </wps:bodyPr>
                            </wps:wsp>
                          </wpg:wgp>
                        </a:graphicData>
                      </a:graphic>
                    </wp:anchor>
                  </w:drawing>
                </mc:Choice>
                <mc:Fallback>
                  <w:pict>
                    <v:group id="_x0000_s1026" o:spid="_x0000_s1026" o:spt="203" style="position:absolute;left:0pt;margin-left:12.05pt;margin-top:6.4pt;height:63.1pt;width:378pt;z-index:251672576;mso-width-relative:page;mso-height-relative:page;" coordorigin="18915,929567" coordsize="7560,1262" o:gfxdata="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">
                      <o:lock v:ext="edit" aspectratio="f"/>
                      <v:shape id="文本框 72" o:spid="_x0000_s1026" o:spt="202" type="#_x0000_t202" style="position:absolute;left:25284;top:930473;height:356;width:1191;" filled="f" stroked="f" coordsize="21600,21600" o:gfxdata="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USL7vQAA&#10;ANsAAAAPAAAAAAAAAAEAIAAAACIAAABkcnMvZG93bnJldi54bWxQSwECFAAUAAAACACHTuJAMy8F&#10;njsAAAA5AAAAEAAAAAAAAAABACAAAAAMAQAAZHJzL3NoYXBleG1sLnhtbFBLBQYAAAAABgAGAFsB&#10;AAC2AwAAAAA=&#10;">
                        <v:fill on="f" focussize="0,0"/>
                        <v:stroke on="f"/>
                        <v:imagedata o:title=""/>
                        <o:lock v:ext="edit" aspectratio="f"/>
                        <v:textbox inset="2.032mm,1.016mm,2.032mm,1.016mm">
                          <w:txbxContent>
                            <w:p w14:paraId="5E5624AD">
                              <w:pPr>
                                <w:pStyle w:val="63"/>
                                <w:spacing w:before="24" w:after="24"/>
                                <w:rPr>
                                  <w:sz w:val="18"/>
                                  <w:szCs w:val="18"/>
                                </w:rPr>
                              </w:pPr>
                              <w:r>
                                <w:rPr>
                                  <w:rFonts w:hint="eastAsia"/>
                                  <w:sz w:val="18"/>
                                  <w:szCs w:val="18"/>
                                </w:rPr>
                                <w:t>周边绿化</w:t>
                              </w:r>
                            </w:p>
                          </w:txbxContent>
                        </v:textbox>
                      </v:shape>
                      <v:line id="直接连接符 65" o:spid="_x0000_s1026" o:spt="20" style="position:absolute;left:25119;top:929906;height:0;width:350;" filled="f" stroked="t" coordsize="21600,21600" o:gfxdata="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jPlf&#10;wAAAANsAAAAPAAAAAAAAAAEAIAAAACIAAABkcnMvZG93bnJldi54bWxQSwECFAAUAAAACACHTuJA&#10;My8FnjsAAAA5AAAAEAAAAAAAAAABACAAAAAPAQAAZHJzL3NoYXBleG1sLnhtbFBLBQYAAAAABgAG&#10;AFsBAAC5AwAAAAA=&#10;">
                        <v:fill on="f" focussize="0,0"/>
                        <v:stroke color="#000000" joinstyle="round" endarrow="classic" endarrowwidth="narrow" endarrowlength="short"/>
                        <v:imagedata o:title=""/>
                        <o:lock v:ext="edit" aspectratio="f"/>
                      </v:line>
                      <v:shape id="文本框 64" o:spid="_x0000_s1026" o:spt="202" type="#_x0000_t202" style="position:absolute;left:23756;top:929567;height:680;width:1359;" fillcolor="#FFFFFF" filled="t" stroked="t" coordsize="21600,21600" o:gfxdata="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fmX6/&#10;AAAA2w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0mm,1.016mm,0mm,1.016mm">
                          <w:txbxContent>
                            <w:p w14:paraId="11D86E48">
                              <w:pPr>
                                <w:pStyle w:val="63"/>
                                <w:spacing w:before="24" w:after="24"/>
                                <w:rPr>
                                  <w:sz w:val="18"/>
                                  <w:szCs w:val="18"/>
                                </w:rPr>
                              </w:pPr>
                              <w:r>
                                <w:rPr>
                                  <w:rFonts w:hint="eastAsia"/>
                                  <w:sz w:val="18"/>
                                  <w:szCs w:val="18"/>
                                </w:rPr>
                                <w:t>地埋式一体化</w:t>
                              </w:r>
                            </w:p>
                            <w:p w14:paraId="7419068E">
                              <w:pPr>
                                <w:autoSpaceDE w:val="0"/>
                                <w:autoSpaceDN w:val="0"/>
                                <w:adjustRightInd w:val="0"/>
                                <w:spacing w:before="48" w:beforeLines="20"/>
                                <w:jc w:val="center"/>
                                <w:rPr>
                                  <w:rFonts w:ascii="宋体" w:hAnsi="宋体"/>
                                  <w:sz w:val="18"/>
                                  <w:szCs w:val="18"/>
                                </w:rPr>
                              </w:pPr>
                              <w:r>
                                <w:rPr>
                                  <w:rFonts w:hint="eastAsia" w:ascii="宋体" w:hAnsi="宋体"/>
                                  <w:sz w:val="18"/>
                                  <w:szCs w:val="18"/>
                                </w:rPr>
                                <w:t>污水处理设施</w:t>
                              </w:r>
                            </w:p>
                          </w:txbxContent>
                        </v:textbox>
                      </v:shape>
                      <v:line id="直接连接符 71" o:spid="_x0000_s1026" o:spt="20" style="position:absolute;left:18915;top:929907;height:2;width:1020;" filled="f" stroked="t" coordsize="21600,21600" o:gfxdata="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ZeZyi/&#10;AAAA2wAAAA8AAAAAAAAAAQAgAAAAIgAAAGRycy9kb3ducmV2LnhtbFBLAQIUABQAAAAIAIdO4kAz&#10;LwWeOwAAADkAAAAQAAAAAAAAAAEAIAAAAA4BAABkcnMvc2hhcGV4bWwueG1sUEsFBgAAAAAGAAYA&#10;WwEAALgDAAAAAA==&#10;">
                        <v:fill on="f" focussize="0,0"/>
                        <v:stroke color="#000000" joinstyle="round" endarrow="classic" endarrowwidth="narrow" endarrowlength="short"/>
                        <v:imagedata o:title=""/>
                        <o:lock v:ext="edit" aspectratio="f"/>
                      </v:line>
                      <v:shape id="文本框 63" o:spid="_x0000_s1026" o:spt="202" type="#_x0000_t202" style="position:absolute;left:19945;top:929735;height:340;width:840;" fillcolor="#FFFFFF" filled="t" stroked="t" coordsize="21600,21600" o:gfxdata="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4OpaXLgAAADbAAAA&#10;DwAAAAAAAAABACAAAAAiAAAAZHJzL2Rvd25yZXYueG1sUEsBAhQAFAAAAAgAh07iQDMvBZ47AAAA&#10;OQAAABAAAAAAAAAAAQAgAAAABwEAAGRycy9zaGFwZXhtbC54bWxQSwUGAAAAAAYABgBbAQAAsQMA&#10;AAAA&#10;">
                        <v:fill on="t" focussize="0,0"/>
                        <v:stroke color="#000000" miterlimit="8" joinstyle="miter"/>
                        <v:imagedata o:title=""/>
                        <o:lock v:ext="edit" aspectratio="f"/>
                        <v:textbox inset="0mm,0mm,0mm,0mm">
                          <w:txbxContent>
                            <w:p w14:paraId="4F42A6DF">
                              <w:pPr>
                                <w:pStyle w:val="63"/>
                                <w:spacing w:before="48" w:beforeLines="20" w:after="24"/>
                                <w:rPr>
                                  <w:sz w:val="18"/>
                                  <w:szCs w:val="18"/>
                                </w:rPr>
                              </w:pPr>
                              <w:r>
                                <w:rPr>
                                  <w:rFonts w:hint="eastAsia"/>
                                  <w:sz w:val="18"/>
                                  <w:szCs w:val="18"/>
                                </w:rPr>
                                <w:t>化粪池</w:t>
                              </w:r>
                            </w:p>
                          </w:txbxContent>
                        </v:textbox>
                      </v:shape>
                      <v:line id="直接连接符 70" o:spid="_x0000_s1026" o:spt="20" style="position:absolute;left:20792;top:929915;height:1;width:885;" filled="f" stroked="t" coordsize="21600,21600" o:gfxdata="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jVbB&#10;wAAAANsAAAAPAAAAAAAAAAEAIAAAACIAAABkcnMvZG93bnJldi54bWxQSwECFAAUAAAACACHTuJA&#10;My8FnjsAAAA5AAAAEAAAAAAAAAABACAAAAAPAQAAZHJzL3NoYXBleG1sLnhtbFBLBQYAAAAABgAG&#10;AFsBAAC5AwAAAAA=&#10;">
                        <v:fill on="f" focussize="0,0"/>
                        <v:stroke color="#000000" joinstyle="round" endarrow="classic" endarrowwidth="narrow" endarrowlength="short"/>
                        <v:imagedata o:title=""/>
                        <o:lock v:ext="edit" aspectratio="f"/>
                      </v:line>
                      <v:line id="直接连接符 69" o:spid="_x0000_s1026" o:spt="20" style="position:absolute;left:20366;top:930072;height:468;width:1;" filled="f" stroked="t" coordsize="21600,21600" o:gfxdata="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64LS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74" o:spid="_x0000_s1026" o:spt="20" style="position:absolute;left:20366;top:930542;height:2;width:4082;" filled="f" stroked="t" coordsize="21600,21600" o:gfxdata="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Kh+w7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66" o:spid="_x0000_s1026" o:spt="20" style="position:absolute;left:25884;top:930057;height:454;width:2;" filled="f" stroked="t" coordsize="21600,21600" o:gfxdata="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sBEM&#10;wAAAANsAAAAPAAAAAAAAAAEAIAAAACIAAABkcnMvZG93bnJldi54bWxQSwECFAAUAAAACACHTuJA&#10;My8FnjsAAAA5AAAAEAAAAAAAAAABACAAAAAPAQAAZHJzL3NoYXBleG1sLnhtbFBLBQYAAAAABgAG&#10;AFsBAAC5AwAAAAA=&#10;">
                        <v:fill on="f" focussize="0,0"/>
                        <v:stroke color="#000000" joinstyle="round" endarrow="classic" endarrowwidth="narrow" endarrowlength="short"/>
                        <v:imagedata o:title=""/>
                        <o:lock v:ext="edit" aspectratio="f"/>
                      </v:line>
                      <v:line id="直接连接符 73" o:spid="_x0000_s1026" o:spt="20" style="position:absolute;left:24449;top:930267;flip:y;height:283;width:1;" filled="f" stroked="t" coordsize="21600,21600" o:gfxdata="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A30G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68" o:spid="_x0000_s1026" o:spt="20" style="position:absolute;left:23249;top:929909;height:1;width:495;" filled="f" stroked="t" coordsize="21600,21600" o:gfxdata="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VLOO/&#10;AAAA2wAAAA8AAAAAAAAAAQAgAAAAIgAAAGRycy9kb3ducmV2LnhtbFBLAQIUABQAAAAIAIdO4kAz&#10;LwWeOwAAADkAAAAQAAAAAAAAAAEAIAAAAA4BAABkcnMvc2hhcGV4bWwueG1sUEsFBgAAAAAGAAYA&#10;WwEAALgDAAAAAA==&#10;">
                        <v:fill on="f" focussize="0,0"/>
                        <v:stroke color="#000000" joinstyle="round" endarrow="classic" endarrowwidth="narrow" endarrowlength="short"/>
                        <v:imagedata o:title=""/>
                        <o:lock v:ext="edit" aspectratio="f"/>
                      </v:line>
                      <v:line id="直接连接符 67" o:spid="_x0000_s1026" o:spt="20" style="position:absolute;left:22494;top:930072;height:468;width:1;" filled="f" stroked="t" coordsize="21600,21600" o:gfxdata="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5N4wL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文本框 59" o:spid="_x0000_s1026" o:spt="202" type="#_x0000_t202" style="position:absolute;left:25480;top:929725;height:340;width:737;" fillcolor="#FFFFFF" filled="t" stroked="t" coordsize="21600,21600" o:gfxdata="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gvgm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inset="0mm,0mm,0mm,0mm">
                          <w:txbxContent>
                            <w:p w14:paraId="5591E203">
                              <w:pPr>
                                <w:pStyle w:val="63"/>
                                <w:spacing w:before="48" w:beforeLines="20" w:after="24"/>
                                <w:rPr>
                                  <w:sz w:val="18"/>
                                  <w:szCs w:val="18"/>
                                </w:rPr>
                              </w:pPr>
                              <w:r>
                                <w:rPr>
                                  <w:rFonts w:hint="eastAsia"/>
                                  <w:sz w:val="18"/>
                                  <w:szCs w:val="18"/>
                                </w:rPr>
                                <w:t>蓄水池</w:t>
                              </w:r>
                            </w:p>
                          </w:txbxContent>
                        </v:textbox>
                      </v:shape>
                      <v:shape id="文本框 22" o:spid="_x0000_s1026" o:spt="202" type="#_x0000_t202" style="position:absolute;left:20786;top:929580;height:312;width:840;" filled="f" stroked="f" coordsize="21600,21600" o:gfxdata="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x2aDm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14:paraId="58C6F92F">
                              <w:pPr>
                                <w:pStyle w:val="63"/>
                                <w:spacing w:before="24" w:after="24"/>
                                <w:rPr>
                                  <w:sz w:val="18"/>
                                  <w:szCs w:val="18"/>
                                </w:rPr>
                              </w:pPr>
                              <w:r>
                                <w:rPr>
                                  <w:rFonts w:hint="eastAsia"/>
                                  <w:sz w:val="18"/>
                                  <w:szCs w:val="18"/>
                                </w:rPr>
                                <w:t>上清液</w:t>
                              </w:r>
                            </w:p>
                          </w:txbxContent>
                        </v:textbox>
                      </v:shape>
                    </v:group>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1907540</wp:posOffset>
                      </wp:positionH>
                      <wp:positionV relativeFrom="paragraph">
                        <wp:posOffset>187960</wp:posOffset>
                      </wp:positionV>
                      <wp:extent cx="1000125" cy="215900"/>
                      <wp:effectExtent l="0" t="0" r="9525" b="0"/>
                      <wp:wrapNone/>
                      <wp:docPr id="47" name="文本框 62"/>
                      <wp:cNvGraphicFramePr/>
                      <a:graphic xmlns:a="http://schemas.openxmlformats.org/drawingml/2006/main">
                        <a:graphicData uri="http://schemas.microsoft.com/office/word/2010/wordprocessingShape">
                          <wps:wsp>
                            <wps:cNvSpPr txBox="1">
                              <a:spLocks noChangeArrowheads="1"/>
                            </wps:cNvSpPr>
                            <wps:spPr bwMode="auto">
                              <a:xfrm>
                                <a:off x="0" y="0"/>
                                <a:ext cx="1000125" cy="215900"/>
                              </a:xfrm>
                              <a:prstGeom prst="rect">
                                <a:avLst/>
                              </a:prstGeom>
                              <a:solidFill>
                                <a:srgbClr val="FFFFFF"/>
                              </a:solidFill>
                              <a:ln w="9525">
                                <a:solidFill>
                                  <a:srgbClr val="000000"/>
                                </a:solidFill>
                                <a:miter lim="800000"/>
                              </a:ln>
                              <a:effectLst/>
                            </wps:spPr>
                            <wps:txbx>
                              <w:txbxContent>
                                <w:p w14:paraId="1392E711">
                                  <w:pPr>
                                    <w:pStyle w:val="63"/>
                                    <w:spacing w:before="48" w:beforeLines="20" w:after="24"/>
                                    <w:rPr>
                                      <w:sz w:val="18"/>
                                      <w:szCs w:val="18"/>
                                    </w:rPr>
                                  </w:pPr>
                                  <w:r>
                                    <w:rPr>
                                      <w:rFonts w:hint="eastAsia"/>
                                      <w:sz w:val="18"/>
                                      <w:szCs w:val="18"/>
                                    </w:rPr>
                                    <w:t>生活污水调节池</w:t>
                                  </w:r>
                                </w:p>
                              </w:txbxContent>
                            </wps:txbx>
                            <wps:bodyPr rot="0" vert="horz" wrap="square" lIns="0" tIns="0" rIns="0" bIns="0" anchor="t" anchorCtr="0" upright="1">
                              <a:noAutofit/>
                            </wps:bodyPr>
                          </wps:wsp>
                        </a:graphicData>
                      </a:graphic>
                    </wp:anchor>
                  </w:drawing>
                </mc:Choice>
                <mc:Fallback>
                  <w:pict>
                    <v:shape id="文本框 62" o:spid="_x0000_s1026" o:spt="202" type="#_x0000_t202" style="position:absolute;left:0pt;margin-left:150.2pt;margin-top:14.8pt;height:17pt;width:78.75pt;z-index:251660288;mso-width-relative:page;mso-height-relative:page;" fillcolor="#FFFFFF" filled="t" stroked="t" coordsize="21600,21600" o:gfxdata="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Q0SU82QAAAAkBAAAPAAAAAAAAAAEAIAAAACIAAABk&#10;cnMvZG93bnJldi54bWxQSwECFAAUAAAACACHTuJAS9774T4CAACHBAAADgAAAAAAAAABACAAAAAo&#10;AQAAZHJzL2Uyb0RvYy54bWxQSwUGAAAAAAYABgBZAQAA2AUAAAAA&#10;">
                      <v:fill on="t" focussize="0,0"/>
                      <v:stroke color="#000000" miterlimit="8" joinstyle="miter"/>
                      <v:imagedata o:title=""/>
                      <o:lock v:ext="edit" aspectratio="f"/>
                      <v:textbox inset="0mm,0mm,0mm,0mm">
                        <w:txbxContent>
                          <w:p w14:paraId="1392E711">
                            <w:pPr>
                              <w:pStyle w:val="63"/>
                              <w:spacing w:before="48" w:beforeLines="20" w:after="24"/>
                              <w:rPr>
                                <w:sz w:val="18"/>
                                <w:szCs w:val="18"/>
                              </w:rPr>
                            </w:pPr>
                            <w:r>
                              <w:rPr>
                                <w:rFonts w:hint="eastAsia"/>
                                <w:sz w:val="18"/>
                                <w:szCs w:val="18"/>
                              </w:rPr>
                              <w:t>生活污水调节池</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106680</wp:posOffset>
                      </wp:positionH>
                      <wp:positionV relativeFrom="paragraph">
                        <wp:posOffset>123825</wp:posOffset>
                      </wp:positionV>
                      <wp:extent cx="752475" cy="147955"/>
                      <wp:effectExtent l="0" t="0" r="0" b="0"/>
                      <wp:wrapNone/>
                      <wp:docPr id="43" name="文本框 60"/>
                      <wp:cNvGraphicFramePr/>
                      <a:graphic xmlns:a="http://schemas.openxmlformats.org/drawingml/2006/main">
                        <a:graphicData uri="http://schemas.microsoft.com/office/word/2010/wordprocessingShape">
                          <wps:wsp>
                            <wps:cNvSpPr txBox="1">
                              <a:spLocks noChangeArrowheads="1"/>
                            </wps:cNvSpPr>
                            <wps:spPr bwMode="auto">
                              <a:xfrm>
                                <a:off x="0" y="0"/>
                                <a:ext cx="752475" cy="147955"/>
                              </a:xfrm>
                              <a:prstGeom prst="rect">
                                <a:avLst/>
                              </a:prstGeom>
                              <a:noFill/>
                              <a:ln>
                                <a:noFill/>
                              </a:ln>
                              <a:effectLst/>
                            </wps:spPr>
                            <wps:txbx>
                              <w:txbxContent>
                                <w:p w14:paraId="466F2B89">
                                  <w:pPr>
                                    <w:pStyle w:val="63"/>
                                    <w:spacing w:before="24" w:after="24"/>
                                    <w:rPr>
                                      <w:sz w:val="18"/>
                                      <w:szCs w:val="18"/>
                                    </w:rPr>
                                  </w:pPr>
                                  <w:r>
                                    <w:rPr>
                                      <w:rFonts w:hint="eastAsia"/>
                                      <w:sz w:val="18"/>
                                      <w:szCs w:val="18"/>
                                    </w:rPr>
                                    <w:t>生活污水</w:t>
                                  </w:r>
                                </w:p>
                              </w:txbxContent>
                            </wps:txbx>
                            <wps:bodyPr rot="0" vert="horz" wrap="square" lIns="0" tIns="0" rIns="0" bIns="0" anchor="t" anchorCtr="0" upright="1">
                              <a:noAutofit/>
                            </wps:bodyPr>
                          </wps:wsp>
                        </a:graphicData>
                      </a:graphic>
                    </wp:anchor>
                  </w:drawing>
                </mc:Choice>
                <mc:Fallback>
                  <w:pict>
                    <v:shape id="文本框 60" o:spid="_x0000_s1026" o:spt="202" type="#_x0000_t202" style="position:absolute;left:0pt;margin-left:8.4pt;margin-top:9.75pt;height:11.65pt;width:59.25pt;z-index:251661312;mso-width-relative:page;mso-height-relative:page;" filled="f" stroked="f" coordsize="21600,21600" o:gfxdata="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3ZEXxNgAAAAIAQAADwAAAAAA&#10;AAABACAAAAAiAAAAZHJzL2Rvd25yZXYueG1sUEsBAhQAFAAAAAgAh07iQNjaKOkTAgAAFAQAAA4A&#10;AAAAAAAAAQAgAAAAJwEAAGRycy9lMm9Eb2MueG1sUEsFBgAAAAAGAAYAWQEAAKwFAAAAAA==&#10;">
                      <v:fill on="f" focussize="0,0"/>
                      <v:stroke on="f"/>
                      <v:imagedata o:title=""/>
                      <o:lock v:ext="edit" aspectratio="f"/>
                      <v:textbox inset="0mm,0mm,0mm,0mm">
                        <w:txbxContent>
                          <w:p w14:paraId="466F2B89">
                            <w:pPr>
                              <w:pStyle w:val="63"/>
                              <w:spacing w:before="24" w:after="24"/>
                              <w:rPr>
                                <w:sz w:val="18"/>
                                <w:szCs w:val="18"/>
                              </w:rPr>
                            </w:pPr>
                            <w:r>
                              <w:rPr>
                                <w:rFonts w:hint="eastAsia"/>
                                <w:sz w:val="18"/>
                                <w:szCs w:val="18"/>
                              </w:rPr>
                              <w:t>生活污水</w:t>
                            </w:r>
                          </w:p>
                        </w:txbxContent>
                      </v:textbox>
                    </v:shape>
                  </w:pict>
                </mc:Fallback>
              </mc:AlternateContent>
            </w:r>
          </w:p>
          <w:p w14:paraId="7A8E5BB2">
            <w:pPr>
              <w:ind w:firstLine="480"/>
              <w:rPr>
                <w:color w:val="000000" w:themeColor="text1"/>
                <w14:textFill>
                  <w14:solidFill>
                    <w14:schemeClr w14:val="tx1"/>
                  </w14:solidFill>
                </w14:textFill>
              </w:rPr>
            </w:pPr>
          </w:p>
          <w:p w14:paraId="4AE29A1A">
            <w:pPr>
              <w:ind w:firstLine="420"/>
              <w:rPr>
                <w:color w:val="000000" w:themeColor="text1"/>
                <w14:textFill>
                  <w14:solidFill>
                    <w14:schemeClr w14:val="tx1"/>
                  </w14:solidFill>
                </w14:textFill>
              </w:rPr>
            </w:pPr>
            <w:r>
              <w:rPr>
                <w:b/>
                <w:bCs/>
                <w:color w:val="000000" w:themeColor="text1"/>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2065020</wp:posOffset>
                      </wp:positionH>
                      <wp:positionV relativeFrom="paragraph">
                        <wp:posOffset>180975</wp:posOffset>
                      </wp:positionV>
                      <wp:extent cx="800100" cy="179070"/>
                      <wp:effectExtent l="0" t="0" r="0" b="0"/>
                      <wp:wrapNone/>
                      <wp:docPr id="75" name="文本框 75"/>
                      <wp:cNvGraphicFramePr/>
                      <a:graphic xmlns:a="http://schemas.openxmlformats.org/drawingml/2006/main">
                        <a:graphicData uri="http://schemas.microsoft.com/office/word/2010/wordprocessingShape">
                          <wps:wsp>
                            <wps:cNvSpPr txBox="1">
                              <a:spLocks noChangeArrowheads="1"/>
                            </wps:cNvSpPr>
                            <wps:spPr bwMode="auto">
                              <a:xfrm>
                                <a:off x="0" y="0"/>
                                <a:ext cx="800100" cy="179070"/>
                              </a:xfrm>
                              <a:prstGeom prst="rect">
                                <a:avLst/>
                              </a:prstGeom>
                              <a:noFill/>
                              <a:ln>
                                <a:noFill/>
                              </a:ln>
                              <a:effectLst/>
                            </wps:spPr>
                            <wps:txbx>
                              <w:txbxContent>
                                <w:p w14:paraId="5F06B5E8">
                                  <w:pPr>
                                    <w:pStyle w:val="63"/>
                                    <w:spacing w:before="24" w:after="24"/>
                                    <w:rPr>
                                      <w:sz w:val="18"/>
                                      <w:szCs w:val="18"/>
                                    </w:rPr>
                                  </w:pPr>
                                  <w:r>
                                    <w:rPr>
                                      <w:sz w:val="18"/>
                                      <w:szCs w:val="18"/>
                                    </w:rPr>
                                    <w:t>污泥</w:t>
                                  </w:r>
                                  <w:r>
                                    <w:rPr>
                                      <w:rFonts w:hint="eastAsia"/>
                                      <w:sz w:val="18"/>
                                      <w:szCs w:val="18"/>
                                    </w:rPr>
                                    <w:t>外运</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162.6pt;margin-top:14.25pt;height:14.1pt;width:63pt;z-index:251659264;mso-width-relative:page;mso-height-relative:page;" filled="f" stroked="f" coordsize="21600,21600" o:gfxdata="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P3v3r2QAAAAkBAAAPAAAAAAAA&#10;AAEAIAAAACIAAABkcnMvZG93bnJldi54bWxQSwECFAAUAAAACACHTuJAvRycChECAAAUBAAADgAA&#10;AAAAAAABACAAAAAoAQAAZHJzL2Uyb0RvYy54bWxQSwUGAAAAAAYABgBZAQAAqwUAAAAA&#10;">
                      <v:fill on="f" focussize="0,0"/>
                      <v:stroke on="f"/>
                      <v:imagedata o:title=""/>
                      <o:lock v:ext="edit" aspectratio="f"/>
                      <v:textbox inset="0mm,0mm,0mm,0mm">
                        <w:txbxContent>
                          <w:p w14:paraId="5F06B5E8">
                            <w:pPr>
                              <w:pStyle w:val="63"/>
                              <w:spacing w:before="24" w:after="24"/>
                              <w:rPr>
                                <w:sz w:val="18"/>
                                <w:szCs w:val="18"/>
                              </w:rPr>
                            </w:pPr>
                            <w:r>
                              <w:rPr>
                                <w:sz w:val="18"/>
                                <w:szCs w:val="18"/>
                              </w:rPr>
                              <w:t>污泥</w:t>
                            </w:r>
                            <w:r>
                              <w:rPr>
                                <w:rFonts w:hint="eastAsia"/>
                                <w:sz w:val="18"/>
                                <w:szCs w:val="18"/>
                              </w:rPr>
                              <w:t>外运</w:t>
                            </w:r>
                          </w:p>
                        </w:txbxContent>
                      </v:textbox>
                    </v:shape>
                  </w:pict>
                </mc:Fallback>
              </mc:AlternateContent>
            </w:r>
          </w:p>
          <w:p w14:paraId="711D19FA">
            <w:pPr>
              <w:pStyle w:val="89"/>
              <w:spacing w:before="240" w:beforeLines="100"/>
              <w:rPr>
                <w:color w:val="000000" w:themeColor="text1"/>
                <w:kern w:val="2"/>
                <w14:textFill>
                  <w14:solidFill>
                    <w14:schemeClr w14:val="tx1"/>
                  </w14:solidFill>
                </w14:textFill>
              </w:rPr>
            </w:pPr>
            <w:r>
              <w:rPr>
                <w:color w:val="000000" w:themeColor="text1"/>
                <w:kern w:val="2"/>
                <w14:textFill>
                  <w14:solidFill>
                    <w14:schemeClr w14:val="tx1"/>
                  </w14:solidFill>
                </w14:textFill>
              </w:rPr>
              <w:t>图</w:t>
            </w:r>
            <w:r>
              <w:rPr>
                <w:rFonts w:hint="eastAsia"/>
                <w:color w:val="000000" w:themeColor="text1"/>
                <w:kern w:val="2"/>
                <w14:textFill>
                  <w14:solidFill>
                    <w14:schemeClr w14:val="tx1"/>
                  </w14:solidFill>
                </w14:textFill>
              </w:rPr>
              <w:t>5-8</w:t>
            </w:r>
            <w:r>
              <w:rPr>
                <w:color w:val="000000" w:themeColor="text1"/>
                <w:kern w:val="2"/>
                <w14:textFill>
                  <w14:solidFill>
                    <w14:schemeClr w14:val="tx1"/>
                  </w14:solidFill>
                </w14:textFill>
              </w:rPr>
              <w:t xml:space="preserve">  运营期生活污水处理流程图</w:t>
            </w:r>
          </w:p>
          <w:p w14:paraId="67F656B3">
            <w:pPr>
              <w:pStyle w:val="3"/>
              <w:numPr>
                <w:ilvl w:val="0"/>
                <w:numId w:val="0"/>
              </w:numPr>
              <w:tabs>
                <w:tab w:val="left" w:pos="425"/>
                <w:tab w:val="clear" w:pos="420"/>
              </w:tabs>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5.9 运营期地下水环境保护措施</w:t>
            </w:r>
          </w:p>
          <w:p w14:paraId="094464AB">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（1）项目区需要建设的</w:t>
            </w:r>
            <w:r>
              <w:rPr>
                <w:rFonts w:hint="eastAsia"/>
                <w:color w:val="000000" w:themeColor="text1"/>
                <w14:textFill>
                  <w14:solidFill>
                    <w14:schemeClr w14:val="tx1"/>
                  </w14:solidFill>
                </w14:textFill>
              </w:rPr>
              <w:t>成套污水处理设备处理及事故油池</w:t>
            </w:r>
            <w:r>
              <w:rPr>
                <w:color w:val="000000" w:themeColor="text1"/>
                <w14:textFill>
                  <w14:solidFill>
                    <w14:schemeClr w14:val="tx1"/>
                  </w14:solidFill>
                </w14:textFill>
              </w:rPr>
              <w:t>按照规范化的图纸设计并施工，采取严格防渗措施，可防止其对地下水污染。</w:t>
            </w:r>
          </w:p>
          <w:p w14:paraId="05D28AF3">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（2）加强环境卫生管理，避免垃圾随意丢弃。</w:t>
            </w:r>
          </w:p>
          <w:p w14:paraId="49BF05CB">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（3）定期对风机进行检查，发现有漏油等情况应尽快采取措施，避免废油对地下水产生影响。</w:t>
            </w:r>
          </w:p>
          <w:p w14:paraId="3B393392">
            <w:pPr>
              <w:pStyle w:val="3"/>
              <w:numPr>
                <w:ilvl w:val="0"/>
                <w:numId w:val="0"/>
              </w:numPr>
              <w:tabs>
                <w:tab w:val="left" w:pos="425"/>
                <w:tab w:val="clear" w:pos="420"/>
              </w:tabs>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5.10 运营期大气环境保护措施</w:t>
            </w:r>
          </w:p>
          <w:p w14:paraId="20850C29">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本项目运行期职工日常生活所需能源均采用电能，产生的大气污染物主要为食堂烹饪过程中产生的油烟。在食堂安装油烟净化装置，烹饪产生的油烟经处理后经专用通道由屋顶排放，且项目区域内地势宽阔，经过大气扩散后对外环境影响较小。</w:t>
            </w:r>
          </w:p>
          <w:p w14:paraId="4B321A92">
            <w:pPr>
              <w:pStyle w:val="3"/>
              <w:numPr>
                <w:ilvl w:val="0"/>
                <w:numId w:val="0"/>
              </w:numPr>
              <w:tabs>
                <w:tab w:val="left" w:pos="425"/>
                <w:tab w:val="clear" w:pos="420"/>
              </w:tabs>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5.11 运营期固体废物处理处置措施</w:t>
            </w:r>
          </w:p>
          <w:p w14:paraId="0958B665">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运营期间，风电场规划5名工作人员，营运期由于生活垃圾产生量小，可在升压站设置垃圾箱，将生活垃圾进行分类收集后交由乡镇环卫部门统一收集后进行卫生填埋。污水处理过程中产生的污泥将自行堆肥，主要用于场区的绿化和生态恢复。因此，本项目固废处理后能实现无害化要求，从处置途径和处置方式上看可行。</w:t>
            </w:r>
          </w:p>
          <w:p w14:paraId="2F2A9D3E">
            <w:pPr>
              <w:ind w:firstLine="480" w:firstLineChars="200"/>
              <w:rPr>
                <w:color w:val="000000" w:themeColor="text1"/>
                <w:u w:val="none"/>
                <w14:textFill>
                  <w14:solidFill>
                    <w14:schemeClr w14:val="tx1"/>
                  </w14:solidFill>
                </w14:textFill>
              </w:rPr>
            </w:pPr>
            <w:r>
              <w:rPr>
                <w:color w:val="000000" w:themeColor="text1"/>
                <w:u w:val="none"/>
                <w14:textFill>
                  <w14:solidFill>
                    <w14:schemeClr w14:val="tx1"/>
                  </w14:solidFill>
                </w14:textFill>
              </w:rPr>
              <w:t>运营期，风电机组更换废机油时，需安排专业人员进行操作，用专门的油桶将废机油进行收集</w:t>
            </w:r>
            <w:r>
              <w:rPr>
                <w:rFonts w:hint="eastAsia"/>
                <w:color w:val="000000" w:themeColor="text1"/>
                <w:u w:val="none"/>
                <w:lang w:val="en-US" w:eastAsia="zh-CN"/>
                <w14:textFill>
                  <w14:solidFill>
                    <w14:schemeClr w14:val="tx1"/>
                  </w14:solidFill>
                </w14:textFill>
              </w:rPr>
              <w:t>后由厂家直接带走，不在本项目暂存</w:t>
            </w:r>
            <w:r>
              <w:rPr>
                <w:color w:val="000000" w:themeColor="text1"/>
                <w:u w:val="none"/>
                <w14:textFill>
                  <w14:solidFill>
                    <w14:schemeClr w14:val="tx1"/>
                  </w14:solidFill>
                </w14:textFill>
              </w:rPr>
              <w:t>。</w:t>
            </w:r>
          </w:p>
          <w:p w14:paraId="3A8FE385">
            <w:pPr>
              <w:ind w:firstLine="480" w:firstLineChars="200"/>
              <w:rPr>
                <w:color w:val="000000" w:themeColor="text1"/>
                <w:u w:val="none"/>
                <w14:textFill>
                  <w14:solidFill>
                    <w14:schemeClr w14:val="tx1"/>
                  </w14:solidFill>
                </w14:textFill>
              </w:rPr>
            </w:pPr>
            <w:r>
              <w:rPr>
                <w:color w:val="000000" w:themeColor="text1"/>
                <w:u w:val="none"/>
                <w14:textFill>
                  <w14:solidFill>
                    <w14:schemeClr w14:val="tx1"/>
                  </w14:solidFill>
                </w14:textFill>
              </w:rPr>
              <w:t>运营期，升压站更换下来的废旧</w:t>
            </w:r>
            <w:r>
              <w:rPr>
                <w:rFonts w:hint="eastAsia"/>
                <w:color w:val="000000" w:themeColor="text1"/>
                <w:u w:val="none"/>
                <w14:textFill>
                  <w14:solidFill>
                    <w14:schemeClr w14:val="tx1"/>
                  </w14:solidFill>
                </w14:textFill>
              </w:rPr>
              <w:t>铅蓄</w:t>
            </w:r>
            <w:r>
              <w:rPr>
                <w:color w:val="000000" w:themeColor="text1"/>
                <w:u w:val="none"/>
                <w14:textFill>
                  <w14:solidFill>
                    <w14:schemeClr w14:val="tx1"/>
                  </w14:solidFill>
                </w14:textFill>
              </w:rPr>
              <w:t>电池属于危险废物。因此，建设方须严格按照国家危废转移、处置有关规定对变压器废油和退役的蓄电池进行转移、处置，从而确保全部变压器废油和退役的蓄电池按国家有关规定进行转移、处置。</w:t>
            </w:r>
          </w:p>
          <w:p w14:paraId="02D6AEFE">
            <w:pPr>
              <w:ind w:firstLine="480" w:firstLineChars="200"/>
              <w:rPr>
                <w:color w:val="000000" w:themeColor="text1"/>
                <w:u w:val="none"/>
                <w14:textFill>
                  <w14:solidFill>
                    <w14:schemeClr w14:val="tx1"/>
                  </w14:solidFill>
                </w14:textFill>
              </w:rPr>
            </w:pPr>
            <w:r>
              <w:rPr>
                <w:color w:val="000000" w:themeColor="text1"/>
                <w:u w:val="none"/>
                <w14:textFill>
                  <w14:solidFill>
                    <w14:schemeClr w14:val="tx1"/>
                  </w14:solidFill>
                </w14:textFill>
              </w:rPr>
              <w:t>升压站变压器使用变压器油，事故发生时会发生变压器油外泄。变电站内设置污油排蓄系统，即按最大一台主变压器的油量，设一座事故油池，事故油池容积不小于</w:t>
            </w:r>
            <w:r>
              <w:rPr>
                <w:rFonts w:hint="eastAsia"/>
                <w:color w:val="000000" w:themeColor="text1"/>
                <w:u w:val="none"/>
                <w:lang w:val="en-US" w:eastAsia="zh-CN"/>
                <w14:textFill>
                  <w14:solidFill>
                    <w14:schemeClr w14:val="tx1"/>
                  </w14:solidFill>
                </w14:textFill>
              </w:rPr>
              <w:t>48</w:t>
            </w:r>
            <w:r>
              <w:rPr>
                <w:color w:val="000000" w:themeColor="text1"/>
                <w:u w:val="none"/>
                <w14:textFill>
                  <w14:solidFill>
                    <w14:schemeClr w14:val="tx1"/>
                  </w14:solidFill>
                </w14:textFill>
              </w:rPr>
              <w:t>m</w:t>
            </w:r>
            <w:r>
              <w:rPr>
                <w:color w:val="000000" w:themeColor="text1"/>
                <w:u w:val="none"/>
                <w:vertAlign w:val="superscript"/>
                <w14:textFill>
                  <w14:solidFill>
                    <w14:schemeClr w14:val="tx1"/>
                  </w14:solidFill>
                </w14:textFill>
              </w:rPr>
              <w:t>3</w:t>
            </w:r>
            <w:r>
              <w:rPr>
                <w:color w:val="000000" w:themeColor="text1"/>
                <w:u w:val="none"/>
                <w14:textFill>
                  <w14:solidFill>
                    <w14:schemeClr w14:val="tx1"/>
                  </w14:solidFill>
                </w14:textFill>
              </w:rPr>
              <w:t>，注意加盖防雨，相关的管道、池壁和池底均进行水泥防渗处理，以免泄露变压器油对周边环境造成影响。一旦变压器事故时排油或漏油，所有的油水混合物渗过卵石层并通过排油槽到达集油池，在此过程中卵石层起到冷却油的作用，不易发生火灾。废变压器油属于危险废物，集中收集后委托有危险废物处理资质的单位妥善处理。升压站泄漏的变压器油可以得到妥善处置。</w:t>
            </w:r>
          </w:p>
          <w:p w14:paraId="1AF03034">
            <w:pPr>
              <w:ind w:firstLine="480" w:firstLineChars="200"/>
              <w:rPr>
                <w:color w:val="000000" w:themeColor="text1"/>
                <w:u w:val="none"/>
                <w14:textFill>
                  <w14:solidFill>
                    <w14:schemeClr w14:val="tx1"/>
                  </w14:solidFill>
                </w14:textFill>
              </w:rPr>
            </w:pPr>
            <w:r>
              <w:rPr>
                <w:color w:val="000000" w:themeColor="text1"/>
                <w:u w:val="none"/>
                <w14:textFill>
                  <w14:solidFill>
                    <w14:schemeClr w14:val="tx1"/>
                  </w14:solidFill>
                </w14:textFill>
              </w:rPr>
              <w:t>升压站更换下来的废机油、废矿物油、废旧</w:t>
            </w:r>
            <w:r>
              <w:rPr>
                <w:rFonts w:hint="eastAsia"/>
                <w:color w:val="000000" w:themeColor="text1"/>
                <w:u w:val="none"/>
                <w14:textFill>
                  <w14:solidFill>
                    <w14:schemeClr w14:val="tx1"/>
                  </w14:solidFill>
                </w14:textFill>
              </w:rPr>
              <w:t>铅蓄</w:t>
            </w:r>
            <w:r>
              <w:rPr>
                <w:color w:val="000000" w:themeColor="text1"/>
                <w:u w:val="none"/>
                <w14:textFill>
                  <w14:solidFill>
                    <w14:schemeClr w14:val="tx1"/>
                  </w14:solidFill>
                </w14:textFill>
              </w:rPr>
              <w:t>电池以及机修过程中产生</w:t>
            </w:r>
            <w:r>
              <w:rPr>
                <w:rFonts w:hint="eastAsia"/>
                <w:color w:val="000000" w:themeColor="text1"/>
                <w:u w:val="none"/>
                <w14:textFill>
                  <w14:solidFill>
                    <w14:schemeClr w14:val="tx1"/>
                  </w14:solidFill>
                </w14:textFill>
              </w:rPr>
              <w:t>的</w:t>
            </w:r>
            <w:r>
              <w:rPr>
                <w:color w:val="000000" w:themeColor="text1"/>
                <w:u w:val="none"/>
                <w14:textFill>
                  <w14:solidFill>
                    <w14:schemeClr w14:val="tx1"/>
                  </w14:solidFill>
                </w14:textFill>
              </w:rPr>
              <w:t>含油手套抹布、变压器事故排放的变压器油等，均属于危险废物。建设方须严格按照国家危废转移、处置有关规定进行转移、处置。</w:t>
            </w:r>
          </w:p>
          <w:p w14:paraId="1EEADC75">
            <w:pPr>
              <w:ind w:firstLine="480" w:firstLineChars="200"/>
              <w:rPr>
                <w:rFonts w:hint="eastAsia"/>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根据《危险废物贮存污染控制标准》（GB18597-2023）相关要求：</w:t>
            </w:r>
          </w:p>
          <w:p w14:paraId="2A411E4E">
            <w:pPr>
              <w:ind w:firstLine="480" w:firstLineChars="200"/>
              <w:rPr>
                <w:rFonts w:hint="eastAsia"/>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1）危险废物暂存间应位于升压站内，选取位置应满足生态环境保护法律法规、规划和“三线一单”生态环境分区管控的要求；危险废物暂存间应密闭建设，门口内侧设立围堰，地面应做好硬化及“三防”措施。</w:t>
            </w:r>
          </w:p>
          <w:p w14:paraId="43C3164D">
            <w:pPr>
              <w:ind w:firstLine="480" w:firstLineChars="200"/>
              <w:rPr>
                <w:rFonts w:hint="eastAsia"/>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2）防渗应满足《危险废物贮存污染控制标准》（GB 18597-2023）的要求：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eastAsia"/>
                <w:color w:val="000000" w:themeColor="text1"/>
                <w:u w:val="none"/>
                <w:vertAlign w:val="superscript"/>
                <w14:textFill>
                  <w14:solidFill>
                    <w14:schemeClr w14:val="tx1"/>
                  </w14:solidFill>
                </w14:textFill>
              </w:rPr>
              <w:t>7</w:t>
            </w:r>
            <w:r>
              <w:rPr>
                <w:rFonts w:hint="eastAsia"/>
                <w:color w:val="000000" w:themeColor="text1"/>
                <w:u w:val="none"/>
                <w14:textFill>
                  <w14:solidFill>
                    <w14:schemeClr w14:val="tx1"/>
                  </w14:solidFill>
                </w14:textFill>
              </w:rPr>
              <w:t>cm/s)，或至少2 mm厚高密度聚乙烯膜等人工防渗材料（渗透系数不大于10</w:t>
            </w:r>
            <w:r>
              <w:rPr>
                <w:rFonts w:hint="eastAsia"/>
                <w:color w:val="000000" w:themeColor="text1"/>
                <w:u w:val="none"/>
                <w:vertAlign w:val="superscript"/>
                <w14:textFill>
                  <w14:solidFill>
                    <w14:schemeClr w14:val="tx1"/>
                  </w14:solidFill>
                </w14:textFill>
              </w:rPr>
              <w:t xml:space="preserve">-10 </w:t>
            </w:r>
            <w:r>
              <w:rPr>
                <w:rFonts w:hint="eastAsia"/>
                <w:color w:val="000000" w:themeColor="text1"/>
                <w:u w:val="none"/>
                <w14:textFill>
                  <w14:solidFill>
                    <w14:schemeClr w14:val="tx1"/>
                  </w14:solidFill>
                </w14:textFill>
              </w:rPr>
              <w:t>cm/s)，或其他防渗性能等效的材料。</w:t>
            </w:r>
          </w:p>
          <w:p w14:paraId="0DBAF840">
            <w:pPr>
              <w:ind w:firstLine="480" w:firstLineChars="200"/>
              <w:rPr>
                <w:rFonts w:hint="eastAsia"/>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3）危险废物暂存间、容器和包装物应按HJ 1276要求设置危险废物贮存标志、危险废物贮存分区标志和危险废物标签等危险废物识别标志，屋内应张贴企业《危险废物管理制度》。</w:t>
            </w:r>
          </w:p>
          <w:p w14:paraId="15815AAF">
            <w:pPr>
              <w:ind w:firstLine="480" w:firstLineChars="200"/>
              <w:rPr>
                <w:rFonts w:hint="eastAsia"/>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4）不同种类危险废物应有明显地过道划分，墙上张贴危废名称，液态危废需将盛装容器放至防泄漏托盘内并在容器粘贴危险废物标签，并按要求填写。</w:t>
            </w:r>
          </w:p>
          <w:p w14:paraId="2C8D06EE">
            <w:pPr>
              <w:ind w:firstLine="480" w:firstLineChars="200"/>
              <w:rPr>
                <w:rFonts w:hint="eastAsia"/>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5）建立台账并悬挂于危废间内，转入及转出（处置、自利用）需要填写危废种类、数量、时间及负责人员姓名。</w:t>
            </w:r>
          </w:p>
          <w:p w14:paraId="145DE449">
            <w:pPr>
              <w:ind w:firstLine="480" w:firstLineChars="200"/>
              <w:rPr>
                <w:rFonts w:hint="eastAsia"/>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6）危险废物暂存间内禁止存放除危险废物及应急工具以外的其他物品。</w:t>
            </w:r>
          </w:p>
          <w:p w14:paraId="25DE91FF">
            <w:pPr>
              <w:ind w:firstLine="480" w:firstLineChars="200"/>
              <w:rPr>
                <w:rFonts w:hint="eastAsia"/>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7）危险废物贮存设施应采取技术和管理措施防止无关人员进入，危险废物暂存间应上锁管理，并设专职管理人员，防止闲杂人等随意进出。</w:t>
            </w:r>
          </w:p>
          <w:p w14:paraId="616156D9">
            <w:pPr>
              <w:ind w:firstLine="480" w:firstLineChars="200"/>
              <w:rPr>
                <w:rFonts w:hint="eastAsia"/>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8）危险废物暂存期间，应定期检查危险废物的贮存状况，及时清理贮存设施地面，更换破损泄漏的危险废物贮存容器和包装物，保证堆存危险废物的防雨、防风、防扬尘等设施功能完好。</w:t>
            </w:r>
          </w:p>
          <w:p w14:paraId="4DD4BF52">
            <w:pPr>
              <w:ind w:firstLine="480" w:firstLineChars="200"/>
              <w:rPr>
                <w:rFonts w:hint="eastAsia"/>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采取上述措施后，项目产生的固体废物处置可以做到妥善处置。</w:t>
            </w:r>
          </w:p>
          <w:p w14:paraId="3A76DC9E">
            <w:pPr>
              <w:pStyle w:val="3"/>
              <w:numPr>
                <w:ilvl w:val="0"/>
                <w:numId w:val="0"/>
              </w:numPr>
              <w:tabs>
                <w:tab w:val="left" w:pos="425"/>
                <w:tab w:val="clear" w:pos="420"/>
              </w:tabs>
              <w:ind w:firstLineChars="200"/>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5.12 水土保持方案</w:t>
            </w:r>
          </w:p>
          <w:p w14:paraId="7337D255">
            <w:pPr>
              <w:ind w:firstLine="480" w:firstLineChars="200"/>
              <w:rPr>
                <w:bCs/>
                <w:color w:val="FF0000"/>
                <w:spacing w:val="10"/>
                <w:szCs w:val="21"/>
              </w:rPr>
            </w:pPr>
            <w:r>
              <w:rPr>
                <w:color w:val="000000" w:themeColor="text1"/>
                <w14:textFill>
                  <w14:solidFill>
                    <w14:schemeClr w14:val="tx1"/>
                  </w14:solidFill>
                </w14:textFill>
              </w:rPr>
              <w:t>建设单位已委托</w:t>
            </w:r>
            <w:r>
              <w:rPr>
                <w:rFonts w:hint="eastAsia"/>
                <w:color w:val="000000" w:themeColor="text1"/>
                <w14:textFill>
                  <w14:solidFill>
                    <w14:schemeClr w14:val="tx1"/>
                  </w14:solidFill>
                </w14:textFill>
              </w:rPr>
              <w:t>湖南湘资沅生态环境规划设计院有限公司</w:t>
            </w:r>
            <w:r>
              <w:rPr>
                <w:color w:val="000000" w:themeColor="text1"/>
                <w14:textFill>
                  <w14:solidFill>
                    <w14:schemeClr w14:val="tx1"/>
                  </w14:solidFill>
                </w14:textFill>
              </w:rPr>
              <w:t>编制了《</w:t>
            </w:r>
            <w:r>
              <w:rPr>
                <w:rFonts w:hint="eastAsia"/>
                <w:color w:val="000000" w:themeColor="text1"/>
                <w:lang w:eastAsia="zh-CN"/>
                <w14:textFill>
                  <w14:solidFill>
                    <w14:schemeClr w14:val="tx1"/>
                  </w14:solidFill>
                </w14:textFill>
              </w:rPr>
              <w:t>怀化湖南华电通道太平山风电场项目</w:t>
            </w:r>
            <w:r>
              <w:rPr>
                <w:rFonts w:hint="eastAsia"/>
                <w:color w:val="000000" w:themeColor="text1"/>
                <w14:textFill>
                  <w14:solidFill>
                    <w14:schemeClr w14:val="tx1"/>
                  </w14:solidFill>
                </w14:textFill>
              </w:rPr>
              <w:t>场水土保持方案报告书</w:t>
            </w:r>
            <w:r>
              <w:rPr>
                <w:color w:val="000000" w:themeColor="text1"/>
                <w14:textFill>
                  <w14:solidFill>
                    <w14:schemeClr w14:val="tx1"/>
                  </w14:solidFill>
                </w14:textFill>
              </w:rPr>
              <w:t>》，本节内容详见该报告。</w:t>
            </w:r>
          </w:p>
        </w:tc>
      </w:tr>
      <w:tr w14:paraId="073977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4" w:hRule="atLeast"/>
        </w:trPr>
        <w:tc>
          <w:tcPr>
            <w:tcW w:w="696" w:type="dxa"/>
            <w:vAlign w:val="center"/>
          </w:tcPr>
          <w:p w14:paraId="302622E2">
            <w:pPr>
              <w:adjustRightInd w:val="0"/>
              <w:snapToGrid w:val="0"/>
              <w:jc w:val="center"/>
              <w:rPr>
                <w:bCs/>
                <w:color w:val="FF0000"/>
                <w:spacing w:val="10"/>
                <w:szCs w:val="21"/>
              </w:rPr>
            </w:pPr>
            <w:r>
              <w:rPr>
                <w:bCs/>
                <w:color w:val="000000" w:themeColor="text1"/>
                <w:szCs w:val="21"/>
                <w14:textFill>
                  <w14:solidFill>
                    <w14:schemeClr w14:val="tx1"/>
                  </w14:solidFill>
                </w14:textFill>
              </w:rPr>
              <w:t>其他</w:t>
            </w:r>
          </w:p>
        </w:tc>
        <w:tc>
          <w:tcPr>
            <w:tcW w:w="7837" w:type="dxa"/>
          </w:tcPr>
          <w:p w14:paraId="7B534B3E">
            <w:pPr>
              <w:pStyle w:val="3"/>
              <w:tabs>
                <w:tab w:val="left" w:pos="425"/>
                <w:tab w:val="clear" w:pos="420"/>
              </w:tabs>
              <w:spacing w:before="120" w:beforeLines="5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5.13 环境监测</w:t>
            </w:r>
          </w:p>
          <w:p w14:paraId="218FE74D">
            <w:pPr>
              <w:pStyle w:val="4"/>
              <w:tabs>
                <w:tab w:val="left" w:pos="425"/>
              </w:tabs>
              <w:rPr>
                <w:color w:val="000000" w:themeColor="text1"/>
                <w:szCs w:val="24"/>
                <w:u w:val="none"/>
                <w14:textFill>
                  <w14:solidFill>
                    <w14:schemeClr w14:val="tx1"/>
                  </w14:solidFill>
                </w14:textFill>
              </w:rPr>
            </w:pPr>
            <w:r>
              <w:rPr>
                <w:color w:val="000000" w:themeColor="text1"/>
                <w:szCs w:val="24"/>
                <w:u w:val="none"/>
                <w14:textFill>
                  <w14:solidFill>
                    <w14:schemeClr w14:val="tx1"/>
                  </w14:solidFill>
                </w14:textFill>
              </w:rPr>
              <w:t>5.13.1水质监测</w:t>
            </w:r>
          </w:p>
          <w:p w14:paraId="07E8EC7B">
            <w:pPr>
              <w:ind w:firstLine="480" w:firstLineChars="200"/>
              <w:rPr>
                <w:rFonts w:hint="eastAsia"/>
                <w:color w:val="000000" w:themeColor="text1"/>
                <w:u w:val="wave"/>
                <w:lang w:eastAsia="zh-CN"/>
                <w14:textFill>
                  <w14:solidFill>
                    <w14:schemeClr w14:val="tx1"/>
                  </w14:solidFill>
                </w14:textFill>
              </w:rPr>
            </w:pPr>
            <w:r>
              <w:rPr>
                <w:color w:val="000000" w:themeColor="text1"/>
                <w:u w:val="wave"/>
                <w14:textFill>
                  <w14:solidFill>
                    <w14:schemeClr w14:val="tx1"/>
                  </w14:solidFill>
                </w14:textFill>
              </w:rPr>
              <w:t>施工期：为控制施工对</w:t>
            </w:r>
            <w:r>
              <w:rPr>
                <w:rFonts w:hint="eastAsia"/>
                <w:color w:val="000000" w:themeColor="text1"/>
                <w:u w:val="wave"/>
                <w:lang w:val="en-US" w:eastAsia="zh-CN"/>
                <w14:textFill>
                  <w14:solidFill>
                    <w14:schemeClr w14:val="tx1"/>
                  </w14:solidFill>
                </w14:textFill>
              </w:rPr>
              <w:t>附近地表水</w:t>
            </w:r>
            <w:r>
              <w:rPr>
                <w:color w:val="000000" w:themeColor="text1"/>
                <w:u w:val="wave"/>
                <w14:textFill>
                  <w14:solidFill>
                    <w14:schemeClr w14:val="tx1"/>
                  </w14:solidFill>
                </w14:textFill>
              </w:rPr>
              <w:t>的影响，施工期</w:t>
            </w:r>
            <w:r>
              <w:rPr>
                <w:rFonts w:hint="eastAsia"/>
                <w:color w:val="000000" w:themeColor="text1"/>
                <w:u w:val="wave"/>
                <w:lang w:val="en-US" w:eastAsia="zh-CN"/>
                <w14:textFill>
                  <w14:solidFill>
                    <w14:schemeClr w14:val="tx1"/>
                  </w14:solidFill>
                </w14:textFill>
              </w:rPr>
              <w:t>地表水</w:t>
            </w:r>
            <w:r>
              <w:rPr>
                <w:color w:val="000000" w:themeColor="text1"/>
                <w:u w:val="wave"/>
                <w14:textFill>
                  <w14:solidFill>
                    <w14:schemeClr w14:val="tx1"/>
                  </w14:solidFill>
                </w14:textFill>
              </w:rPr>
              <w:t>环境监测</w:t>
            </w:r>
            <w:r>
              <w:rPr>
                <w:rFonts w:hint="eastAsia"/>
                <w:color w:val="000000" w:themeColor="text1"/>
                <w:u w:val="wave"/>
                <w:lang w:val="en-US" w:eastAsia="zh-CN"/>
                <w14:textFill>
                  <w14:solidFill>
                    <w14:schemeClr w14:val="tx1"/>
                  </w14:solidFill>
                </w14:textFill>
              </w:rPr>
              <w:t>拟</w:t>
            </w:r>
            <w:r>
              <w:rPr>
                <w:color w:val="000000" w:themeColor="text1"/>
                <w:u w:val="wave"/>
                <w14:textFill>
                  <w14:solidFill>
                    <w14:schemeClr w14:val="tx1"/>
                  </w14:solidFill>
                </w14:textFill>
              </w:rPr>
              <w:t>设在</w:t>
            </w:r>
            <w:r>
              <w:rPr>
                <w:rFonts w:hint="eastAsia"/>
                <w:color w:val="000000" w:themeColor="text1"/>
                <w:u w:val="wave"/>
                <w:lang w:val="en-US" w:eastAsia="zh-CN"/>
                <w14:textFill>
                  <w14:solidFill>
                    <w14:schemeClr w14:val="tx1"/>
                  </w14:solidFill>
                </w14:textFill>
              </w:rPr>
              <w:t>附近饮用水源保护区</w:t>
            </w:r>
            <w:r>
              <w:rPr>
                <w:color w:val="000000" w:themeColor="text1"/>
                <w:u w:val="wave"/>
                <w14:textFill>
                  <w14:solidFill>
                    <w14:schemeClr w14:val="tx1"/>
                  </w14:solidFill>
                </w14:textFill>
              </w:rPr>
              <w:t>设1个监测点</w:t>
            </w:r>
            <w:r>
              <w:rPr>
                <w:rFonts w:hint="eastAsia"/>
                <w:color w:val="000000" w:themeColor="text1"/>
                <w:u w:val="wave"/>
                <w:lang w:eastAsia="zh-CN"/>
                <w14:textFill>
                  <w14:solidFill>
                    <w14:schemeClr w14:val="tx1"/>
                  </w14:solidFill>
                </w14:textFill>
              </w:rPr>
              <w:t>。</w:t>
            </w:r>
          </w:p>
          <w:p w14:paraId="59D06EAC">
            <w:pPr>
              <w:ind w:firstLine="480" w:firstLineChars="200"/>
              <w:rPr>
                <w:rFonts w:hint="eastAsia"/>
                <w:color w:val="000000" w:themeColor="text1"/>
                <w:u w:val="wave"/>
                <w:lang w:eastAsia="zh-CN"/>
                <w14:textFill>
                  <w14:solidFill>
                    <w14:schemeClr w14:val="tx1"/>
                  </w14:solidFill>
                </w14:textFill>
              </w:rPr>
            </w:pPr>
            <w:r>
              <w:rPr>
                <w:color w:val="000000" w:themeColor="text1"/>
                <w:u w:val="wave"/>
                <w14:textFill>
                  <w14:solidFill>
                    <w14:schemeClr w14:val="tx1"/>
                  </w14:solidFill>
                </w14:textFill>
              </w:rPr>
              <w:t>水质监测项目</w:t>
            </w:r>
            <w:r>
              <w:rPr>
                <w:rFonts w:hint="eastAsia"/>
                <w:color w:val="000000" w:themeColor="text1"/>
                <w:u w:val="wave"/>
                <w:lang w:val="en-US" w:eastAsia="zh-CN"/>
                <w14:textFill>
                  <w14:solidFill>
                    <w14:schemeClr w14:val="tx1"/>
                  </w14:solidFill>
                </w14:textFill>
              </w:rPr>
              <w:t>按地表水环境质量标准（GB 3838-2002 ）执行，</w:t>
            </w:r>
            <w:r>
              <w:rPr>
                <w:color w:val="000000" w:themeColor="text1"/>
                <w:u w:val="wave"/>
                <w14:textFill>
                  <w14:solidFill>
                    <w14:schemeClr w14:val="tx1"/>
                  </w14:solidFill>
                </w14:textFill>
              </w:rPr>
              <w:t>监测频次为</w:t>
            </w:r>
            <w:r>
              <w:rPr>
                <w:rFonts w:hint="eastAsia"/>
                <w:color w:val="000000" w:themeColor="text1"/>
                <w:u w:val="wave"/>
                <w:lang w:val="en-US" w:eastAsia="zh-CN"/>
                <w14:textFill>
                  <w14:solidFill>
                    <w14:schemeClr w14:val="tx1"/>
                  </w14:solidFill>
                </w14:textFill>
              </w:rPr>
              <w:t>半年</w:t>
            </w:r>
            <w:r>
              <w:rPr>
                <w:color w:val="000000" w:themeColor="text1"/>
                <w:u w:val="wave"/>
                <w14:textFill>
                  <w14:solidFill>
                    <w14:schemeClr w14:val="tx1"/>
                  </w14:solidFill>
                </w14:textFill>
              </w:rPr>
              <w:t>监测1次，每年监测</w:t>
            </w:r>
            <w:r>
              <w:rPr>
                <w:rFonts w:hint="eastAsia"/>
                <w:color w:val="000000" w:themeColor="text1"/>
                <w:u w:val="wave"/>
                <w:lang w:val="en-US" w:eastAsia="zh-CN"/>
                <w14:textFill>
                  <w14:solidFill>
                    <w14:schemeClr w14:val="tx1"/>
                  </w14:solidFill>
                </w14:textFill>
              </w:rPr>
              <w:t>2</w:t>
            </w:r>
            <w:r>
              <w:rPr>
                <w:color w:val="000000" w:themeColor="text1"/>
                <w:u w:val="wave"/>
                <w14:textFill>
                  <w14:solidFill>
                    <w14:schemeClr w14:val="tx1"/>
                  </w14:solidFill>
                </w14:textFill>
              </w:rPr>
              <w:t>次，</w:t>
            </w:r>
            <w:r>
              <w:rPr>
                <w:rFonts w:hint="eastAsia"/>
                <w:color w:val="000000" w:themeColor="text1"/>
                <w:u w:val="wave"/>
                <w:lang w:val="en-US" w:eastAsia="zh-CN"/>
                <w14:textFill>
                  <w14:solidFill>
                    <w14:schemeClr w14:val="tx1"/>
                  </w14:solidFill>
                </w14:textFill>
              </w:rPr>
              <w:t>施工</w:t>
            </w:r>
            <w:r>
              <w:rPr>
                <w:color w:val="000000" w:themeColor="text1"/>
                <w:u w:val="wave"/>
                <w14:textFill>
                  <w14:solidFill>
                    <w14:schemeClr w14:val="tx1"/>
                  </w14:solidFill>
                </w14:textFill>
              </w:rPr>
              <w:t>期监测</w:t>
            </w:r>
            <w:r>
              <w:rPr>
                <w:rFonts w:hint="eastAsia"/>
                <w:color w:val="000000" w:themeColor="text1"/>
                <w:u w:val="wave"/>
                <w:lang w:val="en-US" w:eastAsia="zh-CN"/>
                <w14:textFill>
                  <w14:solidFill>
                    <w14:schemeClr w14:val="tx1"/>
                  </w14:solidFill>
                </w14:textFill>
              </w:rPr>
              <w:t>全</w:t>
            </w:r>
            <w:r>
              <w:rPr>
                <w:color w:val="000000" w:themeColor="text1"/>
                <w:u w:val="wave"/>
                <w14:textFill>
                  <w14:solidFill>
                    <w14:schemeClr w14:val="tx1"/>
                  </w14:solidFill>
                </w14:textFill>
              </w:rPr>
              <w:t>年。监测方法按有关水监测规定的方法进行。</w:t>
            </w:r>
          </w:p>
          <w:p w14:paraId="678B9B52">
            <w:pPr>
              <w:ind w:firstLine="480" w:firstLineChars="200"/>
              <w:rPr>
                <w:color w:val="000000" w:themeColor="text1"/>
                <w:u w:val="wave"/>
                <w14:textFill>
                  <w14:solidFill>
                    <w14:schemeClr w14:val="tx1"/>
                  </w14:solidFill>
                </w14:textFill>
              </w:rPr>
            </w:pPr>
            <w:r>
              <w:rPr>
                <w:color w:val="000000" w:themeColor="text1"/>
                <w:u w:val="wave"/>
                <w14:textFill>
                  <w14:solidFill>
                    <w14:schemeClr w14:val="tx1"/>
                  </w14:solidFill>
                </w14:textFill>
              </w:rPr>
              <w:t>运营期：在正常情况下，风机运行不会产生生产废水，仅在变压器设备检修或发生泄漏事故时有少量油污排放。本工程在主体工程设计中提出了在主变压器底部设置事故油池，可避免漏油对周围环境污染。运行期管理人员生活污水采用一体化污水处理设备进行处理，处理后的</w:t>
            </w:r>
            <w:r>
              <w:rPr>
                <w:rFonts w:hint="eastAsia"/>
                <w:color w:val="000000" w:themeColor="text1"/>
                <w:u w:val="wave"/>
                <w:lang w:val="en-US" w:eastAsia="zh-CN"/>
                <w14:textFill>
                  <w14:solidFill>
                    <w14:schemeClr w14:val="tx1"/>
                  </w14:solidFill>
                </w14:textFill>
              </w:rPr>
              <w:t>废水用于周边场地绿化，不外排</w:t>
            </w:r>
            <w:r>
              <w:rPr>
                <w:color w:val="000000" w:themeColor="text1"/>
                <w:u w:val="wave"/>
                <w14:textFill>
                  <w14:solidFill>
                    <w14:schemeClr w14:val="tx1"/>
                  </w14:solidFill>
                </w14:textFill>
              </w:rPr>
              <w:t>。故运行期</w:t>
            </w:r>
            <w:r>
              <w:rPr>
                <w:rFonts w:hint="eastAsia"/>
                <w:color w:val="000000" w:themeColor="text1"/>
                <w:u w:val="wave"/>
                <w:lang w:val="en-US" w:eastAsia="zh-CN"/>
                <w14:textFill>
                  <w14:solidFill>
                    <w14:schemeClr w14:val="tx1"/>
                  </w14:solidFill>
                </w14:textFill>
              </w:rPr>
              <w:t>无</w:t>
            </w:r>
            <w:r>
              <w:rPr>
                <w:color w:val="000000" w:themeColor="text1"/>
                <w:u w:val="wave"/>
                <w14:textFill>
                  <w14:solidFill>
                    <w14:schemeClr w14:val="tx1"/>
                  </w14:solidFill>
                </w14:textFill>
              </w:rPr>
              <w:t>需对生活污水处理进行达标监测。</w:t>
            </w:r>
          </w:p>
          <w:p w14:paraId="4CD21B73">
            <w:pPr>
              <w:pStyle w:val="4"/>
              <w:tabs>
                <w:tab w:val="left" w:pos="425"/>
              </w:tabs>
              <w:rPr>
                <w:color w:val="000000" w:themeColor="text1"/>
                <w:szCs w:val="24"/>
                <w:u w:val="wave"/>
                <w14:textFill>
                  <w14:solidFill>
                    <w14:schemeClr w14:val="tx1"/>
                  </w14:solidFill>
                </w14:textFill>
              </w:rPr>
            </w:pPr>
            <w:r>
              <w:rPr>
                <w:color w:val="000000" w:themeColor="text1"/>
                <w:szCs w:val="24"/>
                <w:u w:val="wave"/>
                <w14:textFill>
                  <w14:solidFill>
                    <w14:schemeClr w14:val="tx1"/>
                  </w14:solidFill>
                </w14:textFill>
              </w:rPr>
              <w:t>5.13.2大气环境监测</w:t>
            </w:r>
          </w:p>
          <w:p w14:paraId="4C233F81">
            <w:pPr>
              <w:ind w:firstLine="480" w:firstLineChars="200"/>
              <w:rPr>
                <w:color w:val="000000" w:themeColor="text1"/>
                <w:u w:val="wave"/>
                <w14:textFill>
                  <w14:solidFill>
                    <w14:schemeClr w14:val="tx1"/>
                  </w14:solidFill>
                </w14:textFill>
              </w:rPr>
            </w:pPr>
            <w:r>
              <w:rPr>
                <w:color w:val="000000" w:themeColor="text1"/>
                <w:u w:val="wave"/>
                <w14:textFill>
                  <w14:solidFill>
                    <w14:schemeClr w14:val="tx1"/>
                  </w14:solidFill>
                </w14:textFill>
              </w:rPr>
              <w:t>大气环境影响主要发生在施工期，运营期不会产生影响。因此，环境空气质量监测只考虑施工期。考虑与环境现状监测点对应，拟在升压站施工场地边界、新建道路及附近居民点各设置1个大气环境监测点，共3个监测点。监测项目为TSP、NO</w:t>
            </w:r>
            <w:r>
              <w:rPr>
                <w:color w:val="000000" w:themeColor="text1"/>
                <w:u w:val="wave"/>
                <w:vertAlign w:val="subscript"/>
                <w14:textFill>
                  <w14:solidFill>
                    <w14:schemeClr w14:val="tx1"/>
                  </w14:solidFill>
                </w14:textFill>
              </w:rPr>
              <w:t>2</w:t>
            </w:r>
            <w:r>
              <w:rPr>
                <w:color w:val="000000" w:themeColor="text1"/>
                <w:u w:val="wave"/>
                <w14:textFill>
                  <w14:solidFill>
                    <w14:schemeClr w14:val="tx1"/>
                  </w14:solidFill>
                </w14:textFill>
              </w:rPr>
              <w:t>。施工期间，共监测2次，冬季、夏季各监测1次，具体时间根据监测点施工强度确定，选择在施工高峰时段开展监测，每次监测时段按大气监测有关规范选取。监测方法按</w:t>
            </w:r>
            <w:r>
              <w:rPr>
                <w:rFonts w:hint="eastAsia"/>
                <w:color w:val="000000" w:themeColor="text1"/>
                <w:u w:val="wave"/>
                <w14:textFill>
                  <w14:solidFill>
                    <w14:schemeClr w14:val="tx1"/>
                  </w14:solidFill>
                </w14:textFill>
              </w:rPr>
              <w:t>原</w:t>
            </w:r>
            <w:r>
              <w:rPr>
                <w:color w:val="000000" w:themeColor="text1"/>
                <w:u w:val="wave"/>
                <w14:textFill>
                  <w14:solidFill>
                    <w14:schemeClr w14:val="tx1"/>
                  </w14:solidFill>
                </w14:textFill>
              </w:rPr>
              <w:t>国家环保总局规定的大气监测方法进行。</w:t>
            </w:r>
          </w:p>
          <w:p w14:paraId="501DC976">
            <w:pPr>
              <w:pStyle w:val="4"/>
              <w:tabs>
                <w:tab w:val="left" w:pos="425"/>
              </w:tabs>
              <w:rPr>
                <w:color w:val="000000" w:themeColor="text1"/>
                <w:szCs w:val="24"/>
                <w:u w:val="wave"/>
                <w14:textFill>
                  <w14:solidFill>
                    <w14:schemeClr w14:val="tx1"/>
                  </w14:solidFill>
                </w14:textFill>
              </w:rPr>
            </w:pPr>
            <w:r>
              <w:rPr>
                <w:color w:val="000000" w:themeColor="text1"/>
                <w:szCs w:val="24"/>
                <w:u w:val="wave"/>
                <w14:textFill>
                  <w14:solidFill>
                    <w14:schemeClr w14:val="tx1"/>
                  </w14:solidFill>
                </w14:textFill>
              </w:rPr>
              <w:t>5.13.3声环境监测</w:t>
            </w:r>
          </w:p>
          <w:p w14:paraId="220416C3">
            <w:pPr>
              <w:ind w:firstLine="480" w:firstLineChars="200"/>
              <w:rPr>
                <w:color w:val="000000" w:themeColor="text1"/>
                <w:u w:val="wave"/>
                <w14:textFill>
                  <w14:solidFill>
                    <w14:schemeClr w14:val="tx1"/>
                  </w14:solidFill>
                </w14:textFill>
              </w:rPr>
            </w:pPr>
            <w:r>
              <w:rPr>
                <w:color w:val="000000" w:themeColor="text1"/>
                <w:u w:val="wave"/>
                <w14:textFill>
                  <w14:solidFill>
                    <w14:schemeClr w14:val="tx1"/>
                  </w14:solidFill>
                </w14:textFill>
              </w:rPr>
              <w:t>施工期：为控制施工对当地居民正常生活的影响，施工期声环境监测设点设在升压站场地边界</w:t>
            </w:r>
            <w:r>
              <w:rPr>
                <w:rFonts w:hint="eastAsia"/>
                <w:color w:val="000000" w:themeColor="text1"/>
                <w:u w:val="wave"/>
                <w14:textFill>
                  <w14:solidFill>
                    <w14:schemeClr w14:val="tx1"/>
                  </w14:solidFill>
                </w14:textFill>
              </w:rPr>
              <w:t>四周</w:t>
            </w:r>
            <w:r>
              <w:rPr>
                <w:color w:val="000000" w:themeColor="text1"/>
                <w:u w:val="wave"/>
                <w14:textFill>
                  <w14:solidFill>
                    <w14:schemeClr w14:val="tx1"/>
                  </w14:solidFill>
                </w14:textFill>
              </w:rPr>
              <w:t>、新建道路附近</w:t>
            </w:r>
            <w:r>
              <w:rPr>
                <w:rFonts w:hint="eastAsia"/>
                <w:color w:val="000000" w:themeColor="text1"/>
                <w:u w:val="wave"/>
                <w14:textFill>
                  <w14:solidFill>
                    <w14:schemeClr w14:val="tx1"/>
                  </w14:solidFill>
                </w14:textFill>
              </w:rPr>
              <w:t>的</w:t>
            </w:r>
            <w:r>
              <w:rPr>
                <w:color w:val="000000" w:themeColor="text1"/>
                <w:u w:val="wave"/>
                <w14:textFill>
                  <w14:solidFill>
                    <w14:schemeClr w14:val="tx1"/>
                  </w14:solidFill>
                </w14:textFill>
              </w:rPr>
              <w:t>居民点各设1个监测点，共</w:t>
            </w:r>
            <w:r>
              <w:rPr>
                <w:rFonts w:hint="eastAsia"/>
                <w:color w:val="000000" w:themeColor="text1"/>
                <w:u w:val="wave"/>
                <w:lang w:val="en-US" w:eastAsia="zh-CN"/>
                <w14:textFill>
                  <w14:solidFill>
                    <w14:schemeClr w14:val="tx1"/>
                  </w14:solidFill>
                </w14:textFill>
              </w:rPr>
              <w:t>5</w:t>
            </w:r>
            <w:r>
              <w:rPr>
                <w:color w:val="000000" w:themeColor="text1"/>
                <w:u w:val="wave"/>
                <w14:textFill>
                  <w14:solidFill>
                    <w14:schemeClr w14:val="tx1"/>
                  </w14:solidFill>
                </w14:textFill>
              </w:rPr>
              <w:t>个监测点。监测项目主要为A声级和等效连续A声级。工程施工期间，各季度分别监测1天，共4次。由于本风电场工程只在昼间施工，故每一测点仅在昼间测量。</w:t>
            </w:r>
          </w:p>
          <w:p w14:paraId="2E5C67FA">
            <w:pPr>
              <w:ind w:firstLine="480" w:firstLineChars="200"/>
              <w:rPr>
                <w:color w:val="000000" w:themeColor="text1"/>
                <w:u w:val="wave"/>
                <w14:textFill>
                  <w14:solidFill>
                    <w14:schemeClr w14:val="tx1"/>
                  </w14:solidFill>
                </w14:textFill>
              </w:rPr>
            </w:pPr>
            <w:r>
              <w:rPr>
                <w:color w:val="000000" w:themeColor="text1"/>
                <w:u w:val="wave"/>
                <w14:textFill>
                  <w14:solidFill>
                    <w14:schemeClr w14:val="tx1"/>
                  </w14:solidFill>
                </w14:textFill>
              </w:rPr>
              <w:t>运营期：在升压站厂区边界</w:t>
            </w:r>
            <w:r>
              <w:rPr>
                <w:rFonts w:hint="eastAsia"/>
                <w:color w:val="000000" w:themeColor="text1"/>
                <w:u w:val="wave"/>
                <w14:textFill>
                  <w14:solidFill>
                    <w14:schemeClr w14:val="tx1"/>
                  </w14:solidFill>
                </w14:textFill>
              </w:rPr>
              <w:t>四周各</w:t>
            </w:r>
            <w:r>
              <w:rPr>
                <w:color w:val="000000" w:themeColor="text1"/>
                <w:u w:val="wave"/>
                <w14:textFill>
                  <w14:solidFill>
                    <w14:schemeClr w14:val="tx1"/>
                  </w14:solidFill>
                </w14:textFill>
              </w:rPr>
              <w:t>设置1个监测</w:t>
            </w:r>
            <w:r>
              <w:rPr>
                <w:rFonts w:hint="eastAsia"/>
                <w:color w:val="000000" w:themeColor="text1"/>
                <w:u w:val="wave"/>
                <w14:textFill>
                  <w14:solidFill>
                    <w14:schemeClr w14:val="tx1"/>
                  </w14:solidFill>
                </w14:textFill>
              </w:rPr>
              <w:t>点</w:t>
            </w:r>
            <w:r>
              <w:rPr>
                <w:rFonts w:hint="eastAsia"/>
                <w:color w:val="000000" w:themeColor="text1"/>
                <w:u w:val="wave"/>
                <w:lang w:eastAsia="zh-CN"/>
                <w14:textFill>
                  <w14:solidFill>
                    <w14:schemeClr w14:val="tx1"/>
                  </w14:solidFill>
                </w14:textFill>
              </w:rPr>
              <w:t>共</w:t>
            </w:r>
            <w:r>
              <w:rPr>
                <w:color w:val="000000" w:themeColor="text1"/>
                <w:u w:val="wave"/>
                <w14:textFill>
                  <w14:solidFill>
                    <w14:schemeClr w14:val="tx1"/>
                  </w14:solidFill>
                </w14:textFill>
              </w:rPr>
              <w:t>设置</w:t>
            </w:r>
            <w:r>
              <w:rPr>
                <w:rFonts w:hint="eastAsia"/>
                <w:color w:val="000000" w:themeColor="text1"/>
                <w:szCs w:val="21"/>
                <w:u w:val="wave"/>
                <w:lang w:val="en-US" w:eastAsia="zh-CN"/>
                <w14:textFill>
                  <w14:solidFill>
                    <w14:schemeClr w14:val="tx1"/>
                  </w14:solidFill>
                </w14:textFill>
              </w:rPr>
              <w:t>4</w:t>
            </w:r>
            <w:r>
              <w:rPr>
                <w:color w:val="000000" w:themeColor="text1"/>
                <w:szCs w:val="21"/>
                <w:u w:val="wave"/>
                <w14:textFill>
                  <w14:solidFill>
                    <w14:schemeClr w14:val="tx1"/>
                  </w14:solidFill>
                </w14:textFill>
              </w:rPr>
              <w:t>个监测点，</w:t>
            </w:r>
            <w:r>
              <w:rPr>
                <w:color w:val="000000" w:themeColor="text1"/>
                <w:u w:val="wave"/>
                <w14:textFill>
                  <w14:solidFill>
                    <w14:schemeClr w14:val="tx1"/>
                  </w14:solidFill>
                </w14:textFill>
              </w:rPr>
              <w:t>监测项目主要为A声级和等效连续A声级，并且进行昼间和夜间测量。每年各季度监测1天，共4次，监测2年。监测方法按国家环保总局的噪声监测方法进行。</w:t>
            </w:r>
          </w:p>
          <w:p w14:paraId="1F43219F">
            <w:pPr>
              <w:pStyle w:val="4"/>
              <w:tabs>
                <w:tab w:val="left" w:pos="425"/>
              </w:tabs>
              <w:rPr>
                <w:color w:val="000000" w:themeColor="text1"/>
                <w:szCs w:val="24"/>
                <w:u w:val="wave"/>
                <w14:textFill>
                  <w14:solidFill>
                    <w14:schemeClr w14:val="tx1"/>
                  </w14:solidFill>
                </w14:textFill>
              </w:rPr>
            </w:pPr>
            <w:r>
              <w:rPr>
                <w:color w:val="000000" w:themeColor="text1"/>
                <w:szCs w:val="24"/>
                <w:u w:val="wave"/>
                <w14:textFill>
                  <w14:solidFill>
                    <w14:schemeClr w14:val="tx1"/>
                  </w14:solidFill>
                </w14:textFill>
              </w:rPr>
              <w:t>5.13.4电磁环境监测</w:t>
            </w:r>
          </w:p>
          <w:p w14:paraId="532FDA4C">
            <w:pPr>
              <w:ind w:firstLine="480" w:firstLineChars="200"/>
              <w:rPr>
                <w:color w:val="000000" w:themeColor="text1"/>
                <w:u w:val="wave"/>
                <w14:textFill>
                  <w14:solidFill>
                    <w14:schemeClr w14:val="tx1"/>
                  </w14:solidFill>
                </w14:textFill>
              </w:rPr>
            </w:pPr>
            <w:r>
              <w:rPr>
                <w:color w:val="000000" w:themeColor="text1"/>
                <w:u w:val="wave"/>
                <w14:textFill>
                  <w14:solidFill>
                    <w14:schemeClr w14:val="tx1"/>
                  </w14:solidFill>
                </w14:textFill>
              </w:rPr>
              <w:t>运营期：在升压站厂区边界各设置1个监测点，监测项目主要为工频电场和工频磁场。</w:t>
            </w:r>
            <w:r>
              <w:rPr>
                <w:rFonts w:hint="eastAsia"/>
                <w:color w:val="000000" w:themeColor="text1"/>
                <w:u w:val="wave"/>
                <w14:textFill>
                  <w14:solidFill>
                    <w14:schemeClr w14:val="tx1"/>
                  </w14:solidFill>
                </w14:textFill>
              </w:rPr>
              <w:t>正式投产后第一年结合竣工环境保护验收监测一次</w:t>
            </w:r>
            <w:r>
              <w:rPr>
                <w:color w:val="000000" w:themeColor="text1"/>
                <w:u w:val="wave"/>
                <w14:textFill>
                  <w14:solidFill>
                    <w14:schemeClr w14:val="tx1"/>
                  </w14:solidFill>
                </w14:textFill>
              </w:rPr>
              <w:t>。监测方法按照《交流输变电工程电磁环境监测方法》（HJ681-2013）进行。</w:t>
            </w:r>
          </w:p>
          <w:p w14:paraId="147E7EA4">
            <w:pPr>
              <w:pStyle w:val="8"/>
              <w:rPr>
                <w:color w:val="000000" w:themeColor="text1"/>
                <w:u w:val="wave"/>
                <w14:textFill>
                  <w14:solidFill>
                    <w14:schemeClr w14:val="tx1"/>
                  </w14:solidFill>
                </w14:textFill>
              </w:rPr>
            </w:pPr>
            <w:r>
              <w:rPr>
                <w:color w:val="000000" w:themeColor="text1"/>
                <w:u w:val="wave"/>
                <w14:textFill>
                  <w14:solidFill>
                    <w14:schemeClr w14:val="tx1"/>
                  </w14:solidFill>
                </w14:textFill>
              </w:rPr>
              <w:t>表5.</w:t>
            </w:r>
            <w:r>
              <w:rPr>
                <w:rFonts w:hint="eastAsia"/>
                <w:color w:val="000000" w:themeColor="text1"/>
                <w:u w:val="wave"/>
                <w14:textFill>
                  <w14:solidFill>
                    <w14:schemeClr w14:val="tx1"/>
                  </w14:solidFill>
                </w14:textFill>
              </w:rPr>
              <w:t>1</w:t>
            </w:r>
            <w:r>
              <w:rPr>
                <w:color w:val="000000" w:themeColor="text1"/>
                <w:u w:val="wave"/>
                <w14:textFill>
                  <w14:solidFill>
                    <w14:schemeClr w14:val="tx1"/>
                  </w14:solidFill>
                </w14:textFill>
              </w:rPr>
              <w:t>3</w:t>
            </w:r>
            <w:r>
              <w:rPr>
                <w:rFonts w:hint="eastAsia"/>
                <w:color w:val="000000" w:themeColor="text1"/>
                <w:u w:val="wave"/>
                <w:lang w:val="en-US" w:eastAsia="zh-CN"/>
                <w14:textFill>
                  <w14:solidFill>
                    <w14:schemeClr w14:val="tx1"/>
                  </w14:solidFill>
                </w14:textFill>
              </w:rPr>
              <w:t>-1</w:t>
            </w:r>
            <w:r>
              <w:rPr>
                <w:color w:val="000000" w:themeColor="text1"/>
                <w:u w:val="wave"/>
                <w14:textFill>
                  <w14:solidFill>
                    <w14:schemeClr w14:val="tx1"/>
                  </w14:solidFill>
                </w14:textFill>
              </w:rPr>
              <w:t xml:space="preserve">  项目</w:t>
            </w:r>
            <w:r>
              <w:rPr>
                <w:rFonts w:hint="eastAsia"/>
                <w:color w:val="000000" w:themeColor="text1"/>
                <w:u w:val="wave"/>
                <w14:textFill>
                  <w14:solidFill>
                    <w14:schemeClr w14:val="tx1"/>
                  </w14:solidFill>
                </w14:textFill>
              </w:rPr>
              <w:t>环境</w:t>
            </w:r>
            <w:r>
              <w:rPr>
                <w:color w:val="000000" w:themeColor="text1"/>
                <w:u w:val="wave"/>
                <w14:textFill>
                  <w14:solidFill>
                    <w14:schemeClr w14:val="tx1"/>
                  </w14:solidFill>
                </w14:textFill>
              </w:rPr>
              <w:t>监测计划一览表</w:t>
            </w:r>
          </w:p>
          <w:tbl>
            <w:tblPr>
              <w:tblStyle w:val="27"/>
              <w:tblW w:w="7601"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6" w:type="dxa"/>
                <w:bottom w:w="0" w:type="dxa"/>
                <w:right w:w="6" w:type="dxa"/>
              </w:tblCellMar>
            </w:tblPr>
            <w:tblGrid>
              <w:gridCol w:w="270"/>
              <w:gridCol w:w="249"/>
              <w:gridCol w:w="1593"/>
              <w:gridCol w:w="1374"/>
              <w:gridCol w:w="1126"/>
              <w:gridCol w:w="2989"/>
            </w:tblGrid>
            <w:tr w14:paraId="533FD7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6" w:type="dxa"/>
                  <w:bottom w:w="0" w:type="dxa"/>
                  <w:right w:w="6" w:type="dxa"/>
                </w:tblCellMar>
              </w:tblPrEx>
              <w:trPr>
                <w:trHeight w:val="397" w:hRule="atLeast"/>
              </w:trPr>
              <w:tc>
                <w:tcPr>
                  <w:tcW w:w="270" w:type="dxa"/>
                  <w:tcBorders>
                    <w:tl2br w:val="nil"/>
                    <w:tr2bl w:val="nil"/>
                  </w:tcBorders>
                  <w:vAlign w:val="center"/>
                </w:tcPr>
                <w:p w14:paraId="77D2AA2F">
                  <w:pPr>
                    <w:pStyle w:val="106"/>
                    <w:spacing w:line="240" w:lineRule="auto"/>
                    <w:rPr>
                      <w:b/>
                      <w:bCs/>
                      <w:color w:val="000000" w:themeColor="text1"/>
                      <w:sz w:val="21"/>
                      <w:szCs w:val="21"/>
                      <w:u w:val="wave"/>
                      <w14:textFill>
                        <w14:solidFill>
                          <w14:schemeClr w14:val="tx1"/>
                        </w14:solidFill>
                      </w14:textFill>
                    </w:rPr>
                  </w:pPr>
                  <w:r>
                    <w:rPr>
                      <w:b/>
                      <w:bCs/>
                      <w:color w:val="000000" w:themeColor="text1"/>
                      <w:sz w:val="21"/>
                      <w:szCs w:val="21"/>
                      <w:u w:val="wave"/>
                      <w14:textFill>
                        <w14:solidFill>
                          <w14:schemeClr w14:val="tx1"/>
                        </w14:solidFill>
                      </w14:textFill>
                    </w:rPr>
                    <w:t>项目</w:t>
                  </w:r>
                </w:p>
              </w:tc>
              <w:tc>
                <w:tcPr>
                  <w:tcW w:w="249" w:type="dxa"/>
                  <w:tcBorders>
                    <w:tl2br w:val="nil"/>
                    <w:tr2bl w:val="nil"/>
                  </w:tcBorders>
                  <w:vAlign w:val="center"/>
                </w:tcPr>
                <w:p w14:paraId="6D5D804C">
                  <w:pPr>
                    <w:pStyle w:val="106"/>
                    <w:spacing w:line="240" w:lineRule="auto"/>
                    <w:rPr>
                      <w:b/>
                      <w:bCs/>
                      <w:color w:val="000000" w:themeColor="text1"/>
                      <w:sz w:val="21"/>
                      <w:szCs w:val="21"/>
                      <w:u w:val="wave"/>
                      <w14:textFill>
                        <w14:solidFill>
                          <w14:schemeClr w14:val="tx1"/>
                        </w14:solidFill>
                      </w14:textFill>
                    </w:rPr>
                  </w:pPr>
                  <w:r>
                    <w:rPr>
                      <w:b/>
                      <w:bCs/>
                      <w:color w:val="000000" w:themeColor="text1"/>
                      <w:sz w:val="21"/>
                      <w:szCs w:val="21"/>
                      <w:u w:val="wave"/>
                      <w14:textFill>
                        <w14:solidFill>
                          <w14:schemeClr w14:val="tx1"/>
                        </w14:solidFill>
                      </w14:textFill>
                    </w:rPr>
                    <w:t>时段</w:t>
                  </w:r>
                </w:p>
              </w:tc>
              <w:tc>
                <w:tcPr>
                  <w:tcW w:w="1593" w:type="dxa"/>
                  <w:tcBorders>
                    <w:tl2br w:val="nil"/>
                    <w:tr2bl w:val="nil"/>
                  </w:tcBorders>
                  <w:vAlign w:val="center"/>
                </w:tcPr>
                <w:p w14:paraId="52189D5B">
                  <w:pPr>
                    <w:pStyle w:val="106"/>
                    <w:spacing w:line="240" w:lineRule="auto"/>
                    <w:rPr>
                      <w:b/>
                      <w:bCs/>
                      <w:color w:val="000000" w:themeColor="text1"/>
                      <w:sz w:val="21"/>
                      <w:szCs w:val="21"/>
                      <w:u w:val="wave"/>
                      <w14:textFill>
                        <w14:solidFill>
                          <w14:schemeClr w14:val="tx1"/>
                        </w14:solidFill>
                      </w14:textFill>
                    </w:rPr>
                  </w:pPr>
                  <w:r>
                    <w:rPr>
                      <w:b/>
                      <w:bCs/>
                      <w:color w:val="000000" w:themeColor="text1"/>
                      <w:sz w:val="21"/>
                      <w:szCs w:val="21"/>
                      <w:u w:val="wave"/>
                      <w14:textFill>
                        <w14:solidFill>
                          <w14:schemeClr w14:val="tx1"/>
                        </w14:solidFill>
                      </w14:textFill>
                    </w:rPr>
                    <w:t>监测因子</w:t>
                  </w:r>
                </w:p>
              </w:tc>
              <w:tc>
                <w:tcPr>
                  <w:tcW w:w="1374" w:type="dxa"/>
                  <w:tcBorders>
                    <w:tl2br w:val="nil"/>
                    <w:tr2bl w:val="nil"/>
                  </w:tcBorders>
                  <w:vAlign w:val="center"/>
                </w:tcPr>
                <w:p w14:paraId="7D34C257">
                  <w:pPr>
                    <w:pStyle w:val="106"/>
                    <w:spacing w:line="240" w:lineRule="auto"/>
                    <w:rPr>
                      <w:b/>
                      <w:bCs/>
                      <w:color w:val="000000" w:themeColor="text1"/>
                      <w:sz w:val="21"/>
                      <w:szCs w:val="21"/>
                      <w:u w:val="wave"/>
                      <w14:textFill>
                        <w14:solidFill>
                          <w14:schemeClr w14:val="tx1"/>
                        </w14:solidFill>
                      </w14:textFill>
                    </w:rPr>
                  </w:pPr>
                  <w:r>
                    <w:rPr>
                      <w:b/>
                      <w:bCs/>
                      <w:color w:val="000000" w:themeColor="text1"/>
                      <w:sz w:val="21"/>
                      <w:szCs w:val="21"/>
                      <w:u w:val="wave"/>
                      <w14:textFill>
                        <w14:solidFill>
                          <w14:schemeClr w14:val="tx1"/>
                        </w14:solidFill>
                      </w14:textFill>
                    </w:rPr>
                    <w:t>监测点位</w:t>
                  </w:r>
                </w:p>
              </w:tc>
              <w:tc>
                <w:tcPr>
                  <w:tcW w:w="1126" w:type="dxa"/>
                  <w:tcBorders>
                    <w:tl2br w:val="nil"/>
                    <w:tr2bl w:val="nil"/>
                  </w:tcBorders>
                  <w:vAlign w:val="center"/>
                </w:tcPr>
                <w:p w14:paraId="5B00E615">
                  <w:pPr>
                    <w:pStyle w:val="106"/>
                    <w:spacing w:line="240" w:lineRule="auto"/>
                    <w:rPr>
                      <w:b/>
                      <w:bCs/>
                      <w:color w:val="000000" w:themeColor="text1"/>
                      <w:sz w:val="21"/>
                      <w:szCs w:val="21"/>
                      <w:u w:val="wave"/>
                      <w14:textFill>
                        <w14:solidFill>
                          <w14:schemeClr w14:val="tx1"/>
                        </w14:solidFill>
                      </w14:textFill>
                    </w:rPr>
                  </w:pPr>
                  <w:r>
                    <w:rPr>
                      <w:b/>
                      <w:bCs/>
                      <w:color w:val="000000" w:themeColor="text1"/>
                      <w:sz w:val="21"/>
                      <w:szCs w:val="21"/>
                      <w:u w:val="wave"/>
                      <w14:textFill>
                        <w14:solidFill>
                          <w14:schemeClr w14:val="tx1"/>
                        </w14:solidFill>
                      </w14:textFill>
                    </w:rPr>
                    <w:t>频次</w:t>
                  </w:r>
                </w:p>
              </w:tc>
              <w:tc>
                <w:tcPr>
                  <w:tcW w:w="2989" w:type="dxa"/>
                  <w:tcBorders>
                    <w:tl2br w:val="nil"/>
                    <w:tr2bl w:val="nil"/>
                  </w:tcBorders>
                  <w:vAlign w:val="center"/>
                </w:tcPr>
                <w:p w14:paraId="0CEFBBC3">
                  <w:pPr>
                    <w:pStyle w:val="106"/>
                    <w:spacing w:line="240" w:lineRule="auto"/>
                    <w:rPr>
                      <w:b/>
                      <w:bCs/>
                      <w:color w:val="000000" w:themeColor="text1"/>
                      <w:sz w:val="21"/>
                      <w:szCs w:val="21"/>
                      <w:u w:val="wave"/>
                      <w14:textFill>
                        <w14:solidFill>
                          <w14:schemeClr w14:val="tx1"/>
                        </w14:solidFill>
                      </w14:textFill>
                    </w:rPr>
                  </w:pPr>
                  <w:r>
                    <w:rPr>
                      <w:b/>
                      <w:bCs/>
                      <w:color w:val="000000" w:themeColor="text1"/>
                      <w:sz w:val="21"/>
                      <w:szCs w:val="21"/>
                      <w:u w:val="wave"/>
                      <w14:textFill>
                        <w14:solidFill>
                          <w14:schemeClr w14:val="tx1"/>
                        </w14:solidFill>
                      </w14:textFill>
                    </w:rPr>
                    <w:t>标准</w:t>
                  </w:r>
                </w:p>
              </w:tc>
            </w:tr>
            <w:tr w14:paraId="2F9A55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6" w:type="dxa"/>
                  <w:bottom w:w="0" w:type="dxa"/>
                  <w:right w:w="6" w:type="dxa"/>
                </w:tblCellMar>
              </w:tblPrEx>
              <w:trPr>
                <w:trHeight w:val="397" w:hRule="atLeast"/>
              </w:trPr>
              <w:tc>
                <w:tcPr>
                  <w:tcW w:w="270" w:type="dxa"/>
                  <w:tcBorders>
                    <w:tl2br w:val="nil"/>
                    <w:tr2bl w:val="nil"/>
                  </w:tcBorders>
                  <w:vAlign w:val="center"/>
                </w:tcPr>
                <w:p w14:paraId="2E42D2D2">
                  <w:pPr>
                    <w:pStyle w:val="106"/>
                    <w:spacing w:line="240" w:lineRule="auto"/>
                    <w:rPr>
                      <w:color w:val="000000" w:themeColor="text1"/>
                      <w:sz w:val="21"/>
                      <w:szCs w:val="21"/>
                      <w:u w:val="wave"/>
                      <w14:textFill>
                        <w14:solidFill>
                          <w14:schemeClr w14:val="tx1"/>
                        </w14:solidFill>
                      </w14:textFill>
                    </w:rPr>
                  </w:pPr>
                  <w:r>
                    <w:rPr>
                      <w:color w:val="000000" w:themeColor="text1"/>
                      <w:sz w:val="21"/>
                      <w:szCs w:val="21"/>
                      <w:u w:val="wave"/>
                      <w14:textFill>
                        <w14:solidFill>
                          <w14:schemeClr w14:val="tx1"/>
                        </w14:solidFill>
                      </w14:textFill>
                    </w:rPr>
                    <w:t>地表水</w:t>
                  </w:r>
                </w:p>
              </w:tc>
              <w:tc>
                <w:tcPr>
                  <w:tcW w:w="249" w:type="dxa"/>
                  <w:tcBorders>
                    <w:tl2br w:val="nil"/>
                    <w:tr2bl w:val="nil"/>
                  </w:tcBorders>
                  <w:vAlign w:val="center"/>
                </w:tcPr>
                <w:p w14:paraId="5E4A731A">
                  <w:pPr>
                    <w:pStyle w:val="106"/>
                    <w:spacing w:line="240" w:lineRule="auto"/>
                    <w:rPr>
                      <w:color w:val="000000" w:themeColor="text1"/>
                      <w:sz w:val="21"/>
                      <w:szCs w:val="21"/>
                      <w:u w:val="wave"/>
                      <w14:textFill>
                        <w14:solidFill>
                          <w14:schemeClr w14:val="tx1"/>
                        </w14:solidFill>
                      </w14:textFill>
                    </w:rPr>
                  </w:pPr>
                  <w:r>
                    <w:rPr>
                      <w:color w:val="000000" w:themeColor="text1"/>
                      <w:sz w:val="21"/>
                      <w:szCs w:val="21"/>
                      <w:u w:val="wave"/>
                      <w14:textFill>
                        <w14:solidFill>
                          <w14:schemeClr w14:val="tx1"/>
                        </w14:solidFill>
                      </w14:textFill>
                    </w:rPr>
                    <w:t>建设期</w:t>
                  </w:r>
                </w:p>
              </w:tc>
              <w:tc>
                <w:tcPr>
                  <w:tcW w:w="1593" w:type="dxa"/>
                  <w:tcBorders>
                    <w:tl2br w:val="nil"/>
                    <w:tr2bl w:val="nil"/>
                  </w:tcBorders>
                  <w:vAlign w:val="center"/>
                </w:tcPr>
                <w:p w14:paraId="637C7C4F">
                  <w:pPr>
                    <w:pStyle w:val="106"/>
                    <w:spacing w:line="240" w:lineRule="auto"/>
                    <w:rPr>
                      <w:color w:val="000000" w:themeColor="text1"/>
                      <w:sz w:val="21"/>
                      <w:szCs w:val="21"/>
                      <w:u w:val="wave"/>
                      <w14:textFill>
                        <w14:solidFill>
                          <w14:schemeClr w14:val="tx1"/>
                        </w14:solidFill>
                      </w14:textFill>
                    </w:rPr>
                  </w:pPr>
                  <w:r>
                    <w:rPr>
                      <w:color w:val="000000" w:themeColor="text1"/>
                      <w:sz w:val="21"/>
                      <w:szCs w:val="21"/>
                      <w:u w:val="wave"/>
                      <w14:textFill>
                        <w14:solidFill>
                          <w14:schemeClr w14:val="tx1"/>
                        </w14:solidFill>
                      </w14:textFill>
                    </w:rPr>
                    <w:t>pH值、COD</w:t>
                  </w:r>
                  <w:r>
                    <w:rPr>
                      <w:color w:val="000000" w:themeColor="text1"/>
                      <w:sz w:val="21"/>
                      <w:szCs w:val="21"/>
                      <w:u w:val="wave"/>
                      <w:vertAlign w:val="subscript"/>
                      <w14:textFill>
                        <w14:solidFill>
                          <w14:schemeClr w14:val="tx1"/>
                        </w14:solidFill>
                      </w14:textFill>
                    </w:rPr>
                    <w:t>cr</w:t>
                  </w:r>
                  <w:r>
                    <w:rPr>
                      <w:color w:val="000000" w:themeColor="text1"/>
                      <w:sz w:val="21"/>
                      <w:szCs w:val="21"/>
                      <w:u w:val="wave"/>
                      <w14:textFill>
                        <w14:solidFill>
                          <w14:schemeClr w14:val="tx1"/>
                        </w14:solidFill>
                      </w14:textFill>
                    </w:rPr>
                    <w:t>、BOD</w:t>
                  </w:r>
                  <w:r>
                    <w:rPr>
                      <w:color w:val="000000" w:themeColor="text1"/>
                      <w:sz w:val="21"/>
                      <w:szCs w:val="21"/>
                      <w:u w:val="wave"/>
                      <w:vertAlign w:val="subscript"/>
                      <w14:textFill>
                        <w14:solidFill>
                          <w14:schemeClr w14:val="tx1"/>
                        </w14:solidFill>
                      </w14:textFill>
                    </w:rPr>
                    <w:t>5</w:t>
                  </w:r>
                  <w:r>
                    <w:rPr>
                      <w:color w:val="000000" w:themeColor="text1"/>
                      <w:sz w:val="21"/>
                      <w:szCs w:val="21"/>
                      <w:u w:val="wave"/>
                      <w14:textFill>
                        <w14:solidFill>
                          <w14:schemeClr w14:val="tx1"/>
                        </w14:solidFill>
                      </w14:textFill>
                    </w:rPr>
                    <w:t>、SS、</w:t>
                  </w:r>
                  <w:r>
                    <w:rPr>
                      <w:rFonts w:hint="eastAsia"/>
                      <w:color w:val="000000" w:themeColor="text1"/>
                      <w:sz w:val="21"/>
                      <w:szCs w:val="21"/>
                      <w:u w:val="wave"/>
                      <w14:textFill>
                        <w14:solidFill>
                          <w14:schemeClr w14:val="tx1"/>
                        </w14:solidFill>
                      </w14:textFill>
                    </w:rPr>
                    <w:t>动植物油等</w:t>
                  </w:r>
                </w:p>
              </w:tc>
              <w:tc>
                <w:tcPr>
                  <w:tcW w:w="1374" w:type="dxa"/>
                  <w:tcBorders>
                    <w:tl2br w:val="nil"/>
                    <w:tr2bl w:val="nil"/>
                  </w:tcBorders>
                  <w:vAlign w:val="center"/>
                </w:tcPr>
                <w:p w14:paraId="3945893F">
                  <w:pPr>
                    <w:pStyle w:val="106"/>
                    <w:spacing w:line="240" w:lineRule="auto"/>
                    <w:rPr>
                      <w:rFonts w:hint="default" w:eastAsia="宋体"/>
                      <w:color w:val="FF0000"/>
                      <w:sz w:val="21"/>
                      <w:szCs w:val="21"/>
                      <w:u w:val="wave"/>
                      <w:lang w:eastAsia="zh-CN"/>
                    </w:rPr>
                  </w:pPr>
                  <w:r>
                    <w:rPr>
                      <w:rFonts w:hint="eastAsia"/>
                      <w:color w:val="000000" w:themeColor="text1"/>
                      <w:sz w:val="21"/>
                      <w:szCs w:val="21"/>
                      <w:u w:val="wave"/>
                      <w:lang w:val="en-US" w:eastAsia="zh-CN"/>
                      <w14:textFill>
                        <w14:solidFill>
                          <w14:schemeClr w14:val="tx1"/>
                        </w14:solidFill>
                      </w14:textFill>
                    </w:rPr>
                    <w:t>附近居民饮用水源保护区取水口</w:t>
                  </w:r>
                </w:p>
              </w:tc>
              <w:tc>
                <w:tcPr>
                  <w:tcW w:w="1126" w:type="dxa"/>
                  <w:tcBorders>
                    <w:tl2br w:val="nil"/>
                    <w:tr2bl w:val="nil"/>
                  </w:tcBorders>
                  <w:vAlign w:val="center"/>
                </w:tcPr>
                <w:p w14:paraId="5C60C9B5">
                  <w:pPr>
                    <w:pStyle w:val="106"/>
                    <w:spacing w:line="240" w:lineRule="auto"/>
                    <w:rPr>
                      <w:color w:val="000000" w:themeColor="text1"/>
                      <w:sz w:val="21"/>
                      <w:szCs w:val="21"/>
                      <w:u w:val="wave"/>
                      <w14:textFill>
                        <w14:solidFill>
                          <w14:schemeClr w14:val="tx1"/>
                        </w14:solidFill>
                      </w14:textFill>
                    </w:rPr>
                  </w:pPr>
                  <w:r>
                    <w:rPr>
                      <w:rFonts w:hint="eastAsia"/>
                      <w:color w:val="000000" w:themeColor="text1"/>
                      <w:sz w:val="21"/>
                      <w:szCs w:val="21"/>
                      <w:u w:val="wave"/>
                      <w14:textFill>
                        <w14:solidFill>
                          <w14:schemeClr w14:val="tx1"/>
                        </w14:solidFill>
                      </w14:textFill>
                    </w:rPr>
                    <w:t>1次/半年，共监测2次</w:t>
                  </w:r>
                </w:p>
              </w:tc>
              <w:tc>
                <w:tcPr>
                  <w:tcW w:w="2989" w:type="dxa"/>
                  <w:tcBorders>
                    <w:tl2br w:val="nil"/>
                    <w:tr2bl w:val="nil"/>
                  </w:tcBorders>
                  <w:vAlign w:val="center"/>
                </w:tcPr>
                <w:p w14:paraId="6C08A632">
                  <w:pPr>
                    <w:pStyle w:val="106"/>
                    <w:spacing w:line="240" w:lineRule="auto"/>
                    <w:rPr>
                      <w:color w:val="000000" w:themeColor="text1"/>
                      <w:sz w:val="21"/>
                      <w:szCs w:val="21"/>
                      <w:u w:val="wave"/>
                      <w14:textFill>
                        <w14:solidFill>
                          <w14:schemeClr w14:val="tx1"/>
                        </w14:solidFill>
                      </w14:textFill>
                    </w:rPr>
                  </w:pPr>
                  <w:r>
                    <w:rPr>
                      <w:color w:val="000000" w:themeColor="text1"/>
                      <w:sz w:val="21"/>
                      <w:szCs w:val="21"/>
                      <w:u w:val="wave"/>
                      <w14:textFill>
                        <w14:solidFill>
                          <w14:schemeClr w14:val="tx1"/>
                        </w14:solidFill>
                      </w14:textFill>
                    </w:rPr>
                    <w:t>《地表水环境质量标准》（GB3838-2002）</w:t>
                  </w:r>
                  <w:r>
                    <w:rPr>
                      <w:rFonts w:hint="default" w:ascii="Times New Roman" w:hAnsi="Times New Roman" w:cs="Times New Roman"/>
                      <w:color w:val="000000" w:themeColor="text1"/>
                      <w:sz w:val="21"/>
                      <w:szCs w:val="21"/>
                      <w:u w:val="wave"/>
                      <w14:textFill>
                        <w14:solidFill>
                          <w14:schemeClr w14:val="tx1"/>
                        </w14:solidFill>
                      </w14:textFill>
                    </w:rPr>
                    <w:t>Ⅱ</w:t>
                  </w:r>
                  <w:r>
                    <w:rPr>
                      <w:color w:val="000000" w:themeColor="text1"/>
                      <w:sz w:val="21"/>
                      <w:szCs w:val="21"/>
                      <w:u w:val="wave"/>
                      <w14:textFill>
                        <w14:solidFill>
                          <w14:schemeClr w14:val="tx1"/>
                        </w14:solidFill>
                      </w14:textFill>
                    </w:rPr>
                    <w:t>类标准</w:t>
                  </w:r>
                </w:p>
              </w:tc>
            </w:tr>
            <w:tr w14:paraId="7553F7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6" w:type="dxa"/>
                  <w:bottom w:w="0" w:type="dxa"/>
                  <w:right w:w="6" w:type="dxa"/>
                </w:tblCellMar>
              </w:tblPrEx>
              <w:trPr>
                <w:trHeight w:val="397" w:hRule="atLeast"/>
              </w:trPr>
              <w:tc>
                <w:tcPr>
                  <w:tcW w:w="270" w:type="dxa"/>
                  <w:tcBorders>
                    <w:tl2br w:val="nil"/>
                    <w:tr2bl w:val="nil"/>
                  </w:tcBorders>
                  <w:vAlign w:val="center"/>
                </w:tcPr>
                <w:p w14:paraId="352C61E9">
                  <w:pPr>
                    <w:pStyle w:val="106"/>
                    <w:spacing w:line="240" w:lineRule="auto"/>
                    <w:rPr>
                      <w:color w:val="000000" w:themeColor="text1"/>
                      <w:sz w:val="21"/>
                      <w:szCs w:val="21"/>
                      <w:u w:val="wave"/>
                      <w14:textFill>
                        <w14:solidFill>
                          <w14:schemeClr w14:val="tx1"/>
                        </w14:solidFill>
                      </w14:textFill>
                    </w:rPr>
                  </w:pPr>
                  <w:r>
                    <w:rPr>
                      <w:color w:val="000000" w:themeColor="text1"/>
                      <w:sz w:val="21"/>
                      <w:szCs w:val="21"/>
                      <w:u w:val="wave"/>
                      <w14:textFill>
                        <w14:solidFill>
                          <w14:schemeClr w14:val="tx1"/>
                        </w14:solidFill>
                      </w14:textFill>
                    </w:rPr>
                    <w:t>大气</w:t>
                  </w:r>
                </w:p>
              </w:tc>
              <w:tc>
                <w:tcPr>
                  <w:tcW w:w="249" w:type="dxa"/>
                  <w:tcBorders>
                    <w:tl2br w:val="nil"/>
                    <w:tr2bl w:val="nil"/>
                  </w:tcBorders>
                  <w:vAlign w:val="center"/>
                </w:tcPr>
                <w:p w14:paraId="63E025C0">
                  <w:pPr>
                    <w:pStyle w:val="106"/>
                    <w:spacing w:line="240" w:lineRule="auto"/>
                    <w:rPr>
                      <w:color w:val="000000" w:themeColor="text1"/>
                      <w:sz w:val="21"/>
                      <w:szCs w:val="21"/>
                      <w:u w:val="wave"/>
                      <w14:textFill>
                        <w14:solidFill>
                          <w14:schemeClr w14:val="tx1"/>
                        </w14:solidFill>
                      </w14:textFill>
                    </w:rPr>
                  </w:pPr>
                  <w:r>
                    <w:rPr>
                      <w:color w:val="000000" w:themeColor="text1"/>
                      <w:sz w:val="21"/>
                      <w:szCs w:val="21"/>
                      <w:u w:val="wave"/>
                      <w14:textFill>
                        <w14:solidFill>
                          <w14:schemeClr w14:val="tx1"/>
                        </w14:solidFill>
                      </w14:textFill>
                    </w:rPr>
                    <w:t>建设期</w:t>
                  </w:r>
                </w:p>
              </w:tc>
              <w:tc>
                <w:tcPr>
                  <w:tcW w:w="1593" w:type="dxa"/>
                  <w:tcBorders>
                    <w:tl2br w:val="nil"/>
                    <w:tr2bl w:val="nil"/>
                  </w:tcBorders>
                  <w:vAlign w:val="center"/>
                </w:tcPr>
                <w:p w14:paraId="64602EF5">
                  <w:pPr>
                    <w:pStyle w:val="106"/>
                    <w:spacing w:line="240" w:lineRule="auto"/>
                    <w:rPr>
                      <w:rFonts w:hint="default" w:eastAsia="宋体"/>
                      <w:color w:val="000000" w:themeColor="text1"/>
                      <w:sz w:val="21"/>
                      <w:szCs w:val="21"/>
                      <w:u w:val="wave"/>
                      <w:lang w:val="en-US" w:eastAsia="zh-CN"/>
                      <w14:textFill>
                        <w14:solidFill>
                          <w14:schemeClr w14:val="tx1"/>
                        </w14:solidFill>
                      </w14:textFill>
                    </w:rPr>
                  </w:pPr>
                  <w:r>
                    <w:rPr>
                      <w:rFonts w:hint="eastAsia"/>
                      <w:color w:val="000000" w:themeColor="text1"/>
                      <w:sz w:val="21"/>
                      <w:szCs w:val="21"/>
                      <w:u w:val="wave"/>
                      <w:lang w:val="en-US" w:eastAsia="zh-CN"/>
                      <w14:textFill>
                        <w14:solidFill>
                          <w14:schemeClr w14:val="tx1"/>
                        </w14:solidFill>
                      </w14:textFill>
                    </w:rPr>
                    <w:t>TSP</w:t>
                  </w:r>
                </w:p>
              </w:tc>
              <w:tc>
                <w:tcPr>
                  <w:tcW w:w="1374" w:type="dxa"/>
                  <w:tcBorders>
                    <w:tl2br w:val="nil"/>
                    <w:tr2bl w:val="nil"/>
                  </w:tcBorders>
                  <w:vAlign w:val="center"/>
                </w:tcPr>
                <w:p w14:paraId="41668D8A">
                  <w:pPr>
                    <w:pStyle w:val="106"/>
                    <w:spacing w:line="240" w:lineRule="auto"/>
                    <w:rPr>
                      <w:color w:val="000000" w:themeColor="text1"/>
                      <w:sz w:val="21"/>
                      <w:szCs w:val="21"/>
                      <w:u w:val="wave"/>
                      <w14:textFill>
                        <w14:solidFill>
                          <w14:schemeClr w14:val="tx1"/>
                        </w14:solidFill>
                      </w14:textFill>
                    </w:rPr>
                  </w:pPr>
                  <w:r>
                    <w:rPr>
                      <w:rFonts w:hint="eastAsia"/>
                      <w:color w:val="000000" w:themeColor="text1"/>
                      <w:sz w:val="21"/>
                      <w:szCs w:val="21"/>
                      <w:u w:val="wave"/>
                      <w:lang w:eastAsia="zh-CN"/>
                      <w14:textFill>
                        <w14:solidFill>
                          <w14:schemeClr w14:val="tx1"/>
                        </w14:solidFill>
                      </w14:textFill>
                    </w:rPr>
                    <w:t>施工</w:t>
                  </w:r>
                  <w:r>
                    <w:rPr>
                      <w:rFonts w:hint="eastAsia"/>
                      <w:color w:val="000000" w:themeColor="text1"/>
                      <w:sz w:val="21"/>
                      <w:szCs w:val="21"/>
                      <w:u w:val="wave"/>
                      <w14:textFill>
                        <w14:solidFill>
                          <w14:schemeClr w14:val="tx1"/>
                        </w14:solidFill>
                      </w14:textFill>
                    </w:rPr>
                    <w:t>厂界上风向参照点、下风向监控点</w:t>
                  </w:r>
                </w:p>
              </w:tc>
              <w:tc>
                <w:tcPr>
                  <w:tcW w:w="1126" w:type="dxa"/>
                  <w:tcBorders>
                    <w:tl2br w:val="nil"/>
                    <w:tr2bl w:val="nil"/>
                  </w:tcBorders>
                  <w:vAlign w:val="center"/>
                </w:tcPr>
                <w:p w14:paraId="5675FF1F">
                  <w:pPr>
                    <w:pStyle w:val="106"/>
                    <w:spacing w:line="240" w:lineRule="auto"/>
                    <w:rPr>
                      <w:color w:val="000000" w:themeColor="text1"/>
                      <w:sz w:val="21"/>
                      <w:szCs w:val="21"/>
                      <w:u w:val="wave"/>
                      <w14:textFill>
                        <w14:solidFill>
                          <w14:schemeClr w14:val="tx1"/>
                        </w14:solidFill>
                      </w14:textFill>
                    </w:rPr>
                  </w:pPr>
                  <w:r>
                    <w:rPr>
                      <w:color w:val="000000" w:themeColor="text1"/>
                      <w:sz w:val="21"/>
                      <w:szCs w:val="21"/>
                      <w:u w:val="wave"/>
                      <w14:textFill>
                        <w14:solidFill>
                          <w14:schemeClr w14:val="tx1"/>
                        </w14:solidFill>
                      </w14:textFill>
                    </w:rPr>
                    <w:t>每季度监测1次</w:t>
                  </w:r>
                </w:p>
              </w:tc>
              <w:tc>
                <w:tcPr>
                  <w:tcW w:w="2989" w:type="dxa"/>
                  <w:tcBorders>
                    <w:tl2br w:val="nil"/>
                    <w:tr2bl w:val="nil"/>
                  </w:tcBorders>
                  <w:vAlign w:val="center"/>
                </w:tcPr>
                <w:p w14:paraId="133D2428">
                  <w:pPr>
                    <w:pStyle w:val="106"/>
                    <w:spacing w:line="240" w:lineRule="auto"/>
                    <w:rPr>
                      <w:color w:val="000000" w:themeColor="text1"/>
                      <w:sz w:val="21"/>
                      <w:szCs w:val="21"/>
                      <w:u w:val="wave"/>
                      <w14:textFill>
                        <w14:solidFill>
                          <w14:schemeClr w14:val="tx1"/>
                        </w14:solidFill>
                      </w14:textFill>
                    </w:rPr>
                  </w:pPr>
                  <w:r>
                    <w:rPr>
                      <w:color w:val="000000" w:themeColor="text1"/>
                      <w:sz w:val="21"/>
                      <w:szCs w:val="21"/>
                      <w:u w:val="wave"/>
                      <w14:textFill>
                        <w14:solidFill>
                          <w14:schemeClr w14:val="tx1"/>
                        </w14:solidFill>
                      </w14:textFill>
                    </w:rPr>
                    <w:t>《大气污染物综合排放标准》（GB16297-1996）中的二级标准及无组织排放监控浓度限值</w:t>
                  </w:r>
                </w:p>
              </w:tc>
            </w:tr>
            <w:tr w14:paraId="784121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6" w:type="dxa"/>
                  <w:bottom w:w="0" w:type="dxa"/>
                  <w:right w:w="6" w:type="dxa"/>
                </w:tblCellMar>
              </w:tblPrEx>
              <w:trPr>
                <w:trHeight w:val="397" w:hRule="atLeast"/>
              </w:trPr>
              <w:tc>
                <w:tcPr>
                  <w:tcW w:w="270" w:type="dxa"/>
                  <w:tcBorders>
                    <w:tl2br w:val="nil"/>
                    <w:tr2bl w:val="nil"/>
                  </w:tcBorders>
                  <w:vAlign w:val="center"/>
                </w:tcPr>
                <w:p w14:paraId="5B3EA55E">
                  <w:pPr>
                    <w:pStyle w:val="106"/>
                    <w:spacing w:line="240" w:lineRule="auto"/>
                    <w:rPr>
                      <w:color w:val="000000" w:themeColor="text1"/>
                      <w:sz w:val="21"/>
                      <w:szCs w:val="21"/>
                      <w:u w:val="wave"/>
                      <w14:textFill>
                        <w14:solidFill>
                          <w14:schemeClr w14:val="tx1"/>
                        </w14:solidFill>
                      </w14:textFill>
                    </w:rPr>
                  </w:pPr>
                  <w:r>
                    <w:rPr>
                      <w:color w:val="000000" w:themeColor="text1"/>
                      <w:sz w:val="21"/>
                      <w:szCs w:val="21"/>
                      <w:u w:val="wave"/>
                      <w14:textFill>
                        <w14:solidFill>
                          <w14:schemeClr w14:val="tx1"/>
                        </w14:solidFill>
                      </w14:textFill>
                    </w:rPr>
                    <w:t>声环境</w:t>
                  </w:r>
                </w:p>
              </w:tc>
              <w:tc>
                <w:tcPr>
                  <w:tcW w:w="249" w:type="dxa"/>
                  <w:tcBorders>
                    <w:tl2br w:val="nil"/>
                    <w:tr2bl w:val="nil"/>
                  </w:tcBorders>
                  <w:vAlign w:val="center"/>
                </w:tcPr>
                <w:p w14:paraId="0CFEB323">
                  <w:pPr>
                    <w:pStyle w:val="106"/>
                    <w:spacing w:line="240" w:lineRule="auto"/>
                    <w:rPr>
                      <w:color w:val="000000" w:themeColor="text1"/>
                      <w:sz w:val="21"/>
                      <w:szCs w:val="21"/>
                      <w:u w:val="wave"/>
                      <w14:textFill>
                        <w14:solidFill>
                          <w14:schemeClr w14:val="tx1"/>
                        </w14:solidFill>
                      </w14:textFill>
                    </w:rPr>
                  </w:pPr>
                  <w:r>
                    <w:rPr>
                      <w:color w:val="000000" w:themeColor="text1"/>
                      <w:sz w:val="21"/>
                      <w:szCs w:val="21"/>
                      <w:u w:val="wave"/>
                      <w14:textFill>
                        <w14:solidFill>
                          <w14:schemeClr w14:val="tx1"/>
                        </w14:solidFill>
                      </w14:textFill>
                    </w:rPr>
                    <w:t>运营期</w:t>
                  </w:r>
                </w:p>
              </w:tc>
              <w:tc>
                <w:tcPr>
                  <w:tcW w:w="1593" w:type="dxa"/>
                  <w:tcBorders>
                    <w:tl2br w:val="nil"/>
                    <w:tr2bl w:val="nil"/>
                  </w:tcBorders>
                  <w:vAlign w:val="center"/>
                </w:tcPr>
                <w:p w14:paraId="0E31BD94">
                  <w:pPr>
                    <w:pStyle w:val="106"/>
                    <w:spacing w:line="240" w:lineRule="auto"/>
                    <w:rPr>
                      <w:color w:val="000000" w:themeColor="text1"/>
                      <w:sz w:val="21"/>
                      <w:szCs w:val="21"/>
                      <w:u w:val="wave"/>
                      <w14:textFill>
                        <w14:solidFill>
                          <w14:schemeClr w14:val="tx1"/>
                        </w14:solidFill>
                      </w14:textFill>
                    </w:rPr>
                  </w:pPr>
                  <w:r>
                    <w:rPr>
                      <w:color w:val="000000" w:themeColor="text1"/>
                      <w:sz w:val="21"/>
                      <w:szCs w:val="21"/>
                      <w:u w:val="wave"/>
                      <w14:textFill>
                        <w14:solidFill>
                          <w14:schemeClr w14:val="tx1"/>
                        </w14:solidFill>
                      </w14:textFill>
                    </w:rPr>
                    <w:t>等效连续A声级</w:t>
                  </w:r>
                </w:p>
              </w:tc>
              <w:tc>
                <w:tcPr>
                  <w:tcW w:w="1374" w:type="dxa"/>
                  <w:tcBorders>
                    <w:tl2br w:val="nil"/>
                    <w:tr2bl w:val="nil"/>
                  </w:tcBorders>
                  <w:vAlign w:val="center"/>
                </w:tcPr>
                <w:p w14:paraId="0611CDB1">
                  <w:pPr>
                    <w:pStyle w:val="106"/>
                    <w:spacing w:line="240" w:lineRule="auto"/>
                    <w:rPr>
                      <w:color w:val="000000" w:themeColor="text1"/>
                      <w:sz w:val="21"/>
                      <w:szCs w:val="21"/>
                      <w:u w:val="wave"/>
                      <w14:textFill>
                        <w14:solidFill>
                          <w14:schemeClr w14:val="tx1"/>
                        </w14:solidFill>
                      </w14:textFill>
                    </w:rPr>
                  </w:pPr>
                  <w:r>
                    <w:rPr>
                      <w:color w:val="000000" w:themeColor="text1"/>
                      <w:sz w:val="21"/>
                      <w:szCs w:val="21"/>
                      <w:u w:val="wave"/>
                      <w14:textFill>
                        <w14:solidFill>
                          <w14:schemeClr w14:val="tx1"/>
                        </w14:solidFill>
                      </w14:textFill>
                    </w:rPr>
                    <w:t>升压站场地边界</w:t>
                  </w:r>
                  <w:r>
                    <w:rPr>
                      <w:rFonts w:hint="eastAsia"/>
                      <w:color w:val="000000" w:themeColor="text1"/>
                      <w:sz w:val="21"/>
                      <w:szCs w:val="21"/>
                      <w:u w:val="wave"/>
                      <w14:textFill>
                        <w14:solidFill>
                          <w14:schemeClr w14:val="tx1"/>
                        </w14:solidFill>
                      </w14:textFill>
                    </w:rPr>
                    <w:t>四周</w:t>
                  </w:r>
                </w:p>
              </w:tc>
              <w:tc>
                <w:tcPr>
                  <w:tcW w:w="1126" w:type="dxa"/>
                  <w:tcBorders>
                    <w:tl2br w:val="nil"/>
                    <w:tr2bl w:val="nil"/>
                  </w:tcBorders>
                  <w:vAlign w:val="center"/>
                </w:tcPr>
                <w:p w14:paraId="063B1EF2">
                  <w:pPr>
                    <w:pStyle w:val="106"/>
                    <w:spacing w:line="240" w:lineRule="auto"/>
                    <w:rPr>
                      <w:rFonts w:hint="default" w:eastAsia="宋体"/>
                      <w:color w:val="000000" w:themeColor="text1"/>
                      <w:sz w:val="21"/>
                      <w:szCs w:val="21"/>
                      <w:u w:val="wave"/>
                      <w:lang w:val="en-US" w:eastAsia="zh-CN"/>
                      <w14:textFill>
                        <w14:solidFill>
                          <w14:schemeClr w14:val="tx1"/>
                        </w14:solidFill>
                      </w14:textFill>
                    </w:rPr>
                  </w:pPr>
                  <w:r>
                    <w:rPr>
                      <w:color w:val="000000" w:themeColor="text1"/>
                      <w:sz w:val="21"/>
                      <w:szCs w:val="21"/>
                      <w:u w:val="wave"/>
                      <w14:textFill>
                        <w14:solidFill>
                          <w14:schemeClr w14:val="tx1"/>
                        </w14:solidFill>
                      </w14:textFill>
                    </w:rPr>
                    <w:t>每季度监测</w:t>
                  </w:r>
                  <w:r>
                    <w:rPr>
                      <w:rFonts w:hint="eastAsia"/>
                      <w:color w:val="000000" w:themeColor="text1"/>
                      <w:sz w:val="21"/>
                      <w:szCs w:val="21"/>
                      <w:u w:val="wave"/>
                      <w:lang w:val="en-US" w:eastAsia="zh-CN"/>
                      <w14:textFill>
                        <w14:solidFill>
                          <w14:schemeClr w14:val="tx1"/>
                        </w14:solidFill>
                      </w14:textFill>
                    </w:rPr>
                    <w:t>1次</w:t>
                  </w:r>
                </w:p>
              </w:tc>
              <w:tc>
                <w:tcPr>
                  <w:tcW w:w="2989" w:type="dxa"/>
                  <w:tcBorders>
                    <w:tl2br w:val="nil"/>
                    <w:tr2bl w:val="nil"/>
                  </w:tcBorders>
                  <w:vAlign w:val="center"/>
                </w:tcPr>
                <w:p w14:paraId="223E9A80">
                  <w:pPr>
                    <w:pStyle w:val="106"/>
                    <w:spacing w:line="240" w:lineRule="auto"/>
                    <w:rPr>
                      <w:color w:val="000000" w:themeColor="text1"/>
                      <w:sz w:val="21"/>
                      <w:szCs w:val="21"/>
                      <w:u w:val="wave"/>
                      <w14:textFill>
                        <w14:solidFill>
                          <w14:schemeClr w14:val="tx1"/>
                        </w14:solidFill>
                      </w14:textFill>
                    </w:rPr>
                  </w:pPr>
                  <w:r>
                    <w:rPr>
                      <w:color w:val="000000" w:themeColor="text1"/>
                      <w:sz w:val="21"/>
                      <w:szCs w:val="21"/>
                      <w:u w:val="wave"/>
                      <w14:textFill>
                        <w14:solidFill>
                          <w14:schemeClr w14:val="tx1"/>
                        </w14:solidFill>
                      </w14:textFill>
                    </w:rPr>
                    <w:t>《工业企业厂界环境噪声排放标准》（GB12348-2008）2类</w:t>
                  </w:r>
                </w:p>
              </w:tc>
            </w:tr>
            <w:tr w14:paraId="049AFA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6" w:type="dxa"/>
                  <w:bottom w:w="0" w:type="dxa"/>
                  <w:right w:w="6" w:type="dxa"/>
                </w:tblCellMar>
              </w:tblPrEx>
              <w:trPr>
                <w:trHeight w:val="397" w:hRule="atLeast"/>
              </w:trPr>
              <w:tc>
                <w:tcPr>
                  <w:tcW w:w="270" w:type="dxa"/>
                  <w:tcBorders>
                    <w:tl2br w:val="nil"/>
                    <w:tr2bl w:val="nil"/>
                  </w:tcBorders>
                  <w:vAlign w:val="center"/>
                </w:tcPr>
                <w:p w14:paraId="58BCE507">
                  <w:pPr>
                    <w:pStyle w:val="106"/>
                    <w:spacing w:line="240" w:lineRule="auto"/>
                    <w:rPr>
                      <w:color w:val="000000" w:themeColor="text1"/>
                      <w:sz w:val="21"/>
                      <w:szCs w:val="21"/>
                      <w:u w:val="wave"/>
                      <w14:textFill>
                        <w14:solidFill>
                          <w14:schemeClr w14:val="tx1"/>
                        </w14:solidFill>
                      </w14:textFill>
                    </w:rPr>
                  </w:pPr>
                  <w:r>
                    <w:rPr>
                      <w:color w:val="000000" w:themeColor="text1"/>
                      <w:sz w:val="21"/>
                      <w:szCs w:val="21"/>
                      <w:u w:val="wave"/>
                      <w14:textFill>
                        <w14:solidFill>
                          <w14:schemeClr w14:val="tx1"/>
                        </w14:solidFill>
                      </w14:textFill>
                    </w:rPr>
                    <w:t>电磁环境</w:t>
                  </w:r>
                </w:p>
              </w:tc>
              <w:tc>
                <w:tcPr>
                  <w:tcW w:w="249" w:type="dxa"/>
                  <w:tcBorders>
                    <w:tl2br w:val="nil"/>
                    <w:tr2bl w:val="nil"/>
                  </w:tcBorders>
                  <w:vAlign w:val="center"/>
                </w:tcPr>
                <w:p w14:paraId="3D18A721">
                  <w:pPr>
                    <w:pStyle w:val="106"/>
                    <w:spacing w:line="240" w:lineRule="auto"/>
                    <w:rPr>
                      <w:color w:val="000000" w:themeColor="text1"/>
                      <w:sz w:val="21"/>
                      <w:szCs w:val="21"/>
                      <w:u w:val="wave"/>
                      <w14:textFill>
                        <w14:solidFill>
                          <w14:schemeClr w14:val="tx1"/>
                        </w14:solidFill>
                      </w14:textFill>
                    </w:rPr>
                  </w:pPr>
                  <w:r>
                    <w:rPr>
                      <w:color w:val="000000" w:themeColor="text1"/>
                      <w:sz w:val="21"/>
                      <w:szCs w:val="21"/>
                      <w:u w:val="wave"/>
                      <w14:textFill>
                        <w14:solidFill>
                          <w14:schemeClr w14:val="tx1"/>
                        </w14:solidFill>
                      </w14:textFill>
                    </w:rPr>
                    <w:t>运营期</w:t>
                  </w:r>
                </w:p>
              </w:tc>
              <w:tc>
                <w:tcPr>
                  <w:tcW w:w="1593" w:type="dxa"/>
                  <w:tcBorders>
                    <w:tl2br w:val="nil"/>
                    <w:tr2bl w:val="nil"/>
                  </w:tcBorders>
                  <w:vAlign w:val="center"/>
                </w:tcPr>
                <w:p w14:paraId="600160C9">
                  <w:pPr>
                    <w:pStyle w:val="106"/>
                    <w:spacing w:line="240" w:lineRule="auto"/>
                    <w:rPr>
                      <w:color w:val="000000" w:themeColor="text1"/>
                      <w:sz w:val="21"/>
                      <w:szCs w:val="21"/>
                      <w:u w:val="wave"/>
                      <w14:textFill>
                        <w14:solidFill>
                          <w14:schemeClr w14:val="tx1"/>
                        </w14:solidFill>
                      </w14:textFill>
                    </w:rPr>
                  </w:pPr>
                  <w:r>
                    <w:rPr>
                      <w:color w:val="000000" w:themeColor="text1"/>
                      <w:sz w:val="21"/>
                      <w:szCs w:val="21"/>
                      <w:u w:val="wave"/>
                      <w14:textFill>
                        <w14:solidFill>
                          <w14:schemeClr w14:val="tx1"/>
                        </w14:solidFill>
                      </w14:textFill>
                    </w:rPr>
                    <w:t>工频电场和工频磁场</w:t>
                  </w:r>
                </w:p>
              </w:tc>
              <w:tc>
                <w:tcPr>
                  <w:tcW w:w="1374" w:type="dxa"/>
                  <w:tcBorders>
                    <w:tl2br w:val="nil"/>
                    <w:tr2bl w:val="nil"/>
                  </w:tcBorders>
                  <w:vAlign w:val="center"/>
                </w:tcPr>
                <w:p w14:paraId="07B1368D">
                  <w:pPr>
                    <w:pStyle w:val="106"/>
                    <w:spacing w:line="240" w:lineRule="auto"/>
                    <w:rPr>
                      <w:color w:val="000000" w:themeColor="text1"/>
                      <w:sz w:val="21"/>
                      <w:szCs w:val="21"/>
                      <w:u w:val="wave"/>
                      <w14:textFill>
                        <w14:solidFill>
                          <w14:schemeClr w14:val="tx1"/>
                        </w14:solidFill>
                      </w14:textFill>
                    </w:rPr>
                  </w:pPr>
                  <w:r>
                    <w:rPr>
                      <w:color w:val="000000" w:themeColor="text1"/>
                      <w:sz w:val="21"/>
                      <w:szCs w:val="21"/>
                      <w:u w:val="wave"/>
                      <w14:textFill>
                        <w14:solidFill>
                          <w14:schemeClr w14:val="tx1"/>
                        </w14:solidFill>
                      </w14:textFill>
                    </w:rPr>
                    <w:t>升压站厂界</w:t>
                  </w:r>
                </w:p>
              </w:tc>
              <w:tc>
                <w:tcPr>
                  <w:tcW w:w="1126" w:type="dxa"/>
                  <w:tcBorders>
                    <w:tl2br w:val="nil"/>
                    <w:tr2bl w:val="nil"/>
                  </w:tcBorders>
                  <w:vAlign w:val="center"/>
                </w:tcPr>
                <w:p w14:paraId="32DC0F49">
                  <w:pPr>
                    <w:pStyle w:val="106"/>
                    <w:spacing w:line="240" w:lineRule="auto"/>
                    <w:rPr>
                      <w:color w:val="000000" w:themeColor="text1"/>
                      <w:sz w:val="21"/>
                      <w:szCs w:val="21"/>
                      <w:u w:val="wave"/>
                      <w14:textFill>
                        <w14:solidFill>
                          <w14:schemeClr w14:val="tx1"/>
                        </w14:solidFill>
                      </w14:textFill>
                    </w:rPr>
                  </w:pPr>
                  <w:r>
                    <w:rPr>
                      <w:rFonts w:hint="eastAsia"/>
                      <w:color w:val="000000" w:themeColor="text1"/>
                      <w:sz w:val="21"/>
                      <w:szCs w:val="21"/>
                      <w:u w:val="wave"/>
                      <w14:textFill>
                        <w14:solidFill>
                          <w14:schemeClr w14:val="tx1"/>
                        </w14:solidFill>
                      </w14:textFill>
                    </w:rPr>
                    <w:t>正式投产后第一年结合竣工环境保护验收监测一次</w:t>
                  </w:r>
                </w:p>
              </w:tc>
              <w:tc>
                <w:tcPr>
                  <w:tcW w:w="2989" w:type="dxa"/>
                  <w:tcBorders>
                    <w:tl2br w:val="nil"/>
                    <w:tr2bl w:val="nil"/>
                  </w:tcBorders>
                  <w:vAlign w:val="center"/>
                </w:tcPr>
                <w:p w14:paraId="415A1639">
                  <w:pPr>
                    <w:pStyle w:val="106"/>
                    <w:spacing w:line="240" w:lineRule="auto"/>
                    <w:rPr>
                      <w:color w:val="000000" w:themeColor="text1"/>
                      <w:sz w:val="21"/>
                      <w:szCs w:val="21"/>
                      <w:u w:val="wave"/>
                      <w14:textFill>
                        <w14:solidFill>
                          <w14:schemeClr w14:val="tx1"/>
                        </w14:solidFill>
                      </w14:textFill>
                    </w:rPr>
                  </w:pPr>
                  <w:r>
                    <w:rPr>
                      <w:color w:val="000000" w:themeColor="text1"/>
                      <w:sz w:val="21"/>
                      <w:szCs w:val="21"/>
                      <w:u w:val="wave"/>
                      <w14:textFill>
                        <w14:solidFill>
                          <w14:schemeClr w14:val="tx1"/>
                        </w14:solidFill>
                      </w14:textFill>
                    </w:rPr>
                    <w:t>《电磁环境控制限值》（GB8702-2014）</w:t>
                  </w:r>
                </w:p>
              </w:tc>
            </w:tr>
          </w:tbl>
          <w:p w14:paraId="008F0EEE">
            <w:pPr>
              <w:pStyle w:val="3"/>
              <w:tabs>
                <w:tab w:val="left" w:pos="425"/>
                <w:tab w:val="clear" w:pos="420"/>
              </w:tabs>
              <w:rPr>
                <w:rFonts w:cs="Times New Roman"/>
                <w:color w:val="000000" w:themeColor="text1"/>
                <w:u w:val="none"/>
                <w14:textFill>
                  <w14:solidFill>
                    <w14:schemeClr w14:val="tx1"/>
                  </w14:solidFill>
                </w14:textFill>
              </w:rPr>
            </w:pPr>
            <w:r>
              <w:rPr>
                <w:rFonts w:cs="Times New Roman"/>
                <w:color w:val="000000" w:themeColor="text1"/>
                <w:u w:val="none"/>
                <w14:textFill>
                  <w14:solidFill>
                    <w14:schemeClr w14:val="tx1"/>
                  </w14:solidFill>
                </w14:textFill>
              </w:rPr>
              <w:t>5.14 环境管理</w:t>
            </w:r>
          </w:p>
          <w:p w14:paraId="334E62E2">
            <w:pPr>
              <w:ind w:firstLine="482" w:firstLineChars="200"/>
              <w:rPr>
                <w:b/>
                <w:bCs/>
                <w:color w:val="000000" w:themeColor="text1"/>
                <w:u w:val="none"/>
                <w14:textFill>
                  <w14:solidFill>
                    <w14:schemeClr w14:val="tx1"/>
                  </w14:solidFill>
                </w14:textFill>
              </w:rPr>
            </w:pPr>
            <w:r>
              <w:rPr>
                <w:rFonts w:hint="eastAsia"/>
                <w:b/>
                <w:bCs/>
                <w:color w:val="000000" w:themeColor="text1"/>
                <w:u w:val="none"/>
                <w14:textFill>
                  <w14:solidFill>
                    <w14:schemeClr w14:val="tx1"/>
                  </w14:solidFill>
                </w14:textFill>
              </w:rPr>
              <w:t>施工期环境监理</w:t>
            </w:r>
          </w:p>
          <w:p w14:paraId="166E3D30">
            <w:pPr>
              <w:ind w:firstLine="480" w:firstLineChars="200"/>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为确保本项目的各项环境保护措施落到实处，施工期建设单位必须成立环境管理机构，设专人负责环境管理。</w:t>
            </w:r>
          </w:p>
          <w:p w14:paraId="4E6A2C65">
            <w:pPr>
              <w:ind w:firstLine="480" w:firstLineChars="200"/>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（1）监理目的</w:t>
            </w:r>
          </w:p>
          <w:p w14:paraId="767372A4">
            <w:pPr>
              <w:ind w:firstLine="480" w:firstLineChars="200"/>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对本项目在设计、施工、试生产（运行）、验收各阶段环境保护设施及配套采取的环境保护措施落实情况进行全过程监督与督促。</w:t>
            </w:r>
          </w:p>
          <w:p w14:paraId="18BEBAFA">
            <w:pPr>
              <w:ind w:firstLine="480" w:firstLineChars="200"/>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（2）监理模式</w:t>
            </w:r>
          </w:p>
          <w:p w14:paraId="4845F262">
            <w:pPr>
              <w:ind w:firstLine="480" w:firstLineChars="200"/>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本项目环境监理单位受建设单位委托，以驻场、旁站或巡查方式实行本项目的环境监理。</w:t>
            </w:r>
          </w:p>
          <w:p w14:paraId="2228DBB0">
            <w:pPr>
              <w:ind w:firstLine="480" w:firstLineChars="200"/>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（3）监理内容</w:t>
            </w:r>
          </w:p>
          <w:p w14:paraId="7951EACE">
            <w:pPr>
              <w:ind w:firstLine="480" w:firstLineChars="200"/>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环境监理单位从设计、施工、试生产（运行）到竣工环境保护验收各个环节环境保护设施措施落实情况，开展如下环境监理工作：</w:t>
            </w:r>
          </w:p>
          <w:p w14:paraId="1239E61E">
            <w:pPr>
              <w:ind w:firstLine="480" w:firstLineChars="200"/>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1）设计阶段的环境监理</w:t>
            </w:r>
          </w:p>
          <w:p w14:paraId="235C318F">
            <w:pPr>
              <w:ind w:firstLine="480" w:firstLineChars="200"/>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fldChar w:fldCharType="begin"/>
            </w:r>
            <w:r>
              <w:rPr>
                <w:rFonts w:hint="eastAsia"/>
                <w:color w:val="000000" w:themeColor="text1"/>
                <w:u w:val="none"/>
                <w14:textFill>
                  <w14:solidFill>
                    <w14:schemeClr w14:val="tx1"/>
                  </w14:solidFill>
                </w14:textFill>
              </w:rPr>
              <w:instrText xml:space="preserve"> = 1 \* alphabetic </w:instrText>
            </w:r>
            <w:r>
              <w:rPr>
                <w:rFonts w:hint="eastAsia"/>
                <w:color w:val="000000" w:themeColor="text1"/>
                <w:u w:val="none"/>
                <w14:textFill>
                  <w14:solidFill>
                    <w14:schemeClr w14:val="tx1"/>
                  </w14:solidFill>
                </w14:textFill>
              </w:rPr>
              <w:fldChar w:fldCharType="separate"/>
            </w:r>
            <w:r>
              <w:rPr>
                <w:rFonts w:hint="eastAsia"/>
                <w:color w:val="000000" w:themeColor="text1"/>
                <w:u w:val="none"/>
                <w14:textFill>
                  <w14:solidFill>
                    <w14:schemeClr w14:val="tx1"/>
                  </w14:solidFill>
                </w14:textFill>
              </w:rPr>
              <w:t>a</w:t>
            </w:r>
            <w:r>
              <w:rPr>
                <w:rFonts w:hint="eastAsia"/>
                <w:color w:val="000000" w:themeColor="text1"/>
                <w:u w:val="none"/>
                <w14:textFill>
                  <w14:solidFill>
                    <w14:schemeClr w14:val="tx1"/>
                  </w14:solidFill>
                </w14:textFill>
              </w:rPr>
              <w:fldChar w:fldCharType="end"/>
            </w:r>
            <w:r>
              <w:rPr>
                <w:rFonts w:hint="eastAsia"/>
                <w:color w:val="000000" w:themeColor="text1"/>
                <w:u w:val="none"/>
                <w14:textFill>
                  <w14:solidFill>
                    <w14:schemeClr w14:val="tx1"/>
                  </w14:solidFill>
                </w14:textFill>
              </w:rPr>
              <w:t>、环境监理单位依据环境影响评价文件及审批文件对环境保护设施设计文件内容进行全面核对，并出具核对意见，随环境保护设施设计文件一同上报建设项目环境影响评价文件审批机构。上报后的环境保护设施设计文件和核对意见不得擅自变更。因特殊情况确需变更的，须向环境影响评价文件审批机构提出申请，经同意后重新上报。</w:t>
            </w:r>
          </w:p>
          <w:p w14:paraId="2A5AB8A5">
            <w:pPr>
              <w:ind w:firstLine="480" w:firstLineChars="200"/>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fldChar w:fldCharType="begin"/>
            </w:r>
            <w:r>
              <w:rPr>
                <w:rFonts w:hint="eastAsia"/>
                <w:color w:val="000000" w:themeColor="text1"/>
                <w:u w:val="none"/>
                <w14:textFill>
                  <w14:solidFill>
                    <w14:schemeClr w14:val="tx1"/>
                  </w14:solidFill>
                </w14:textFill>
              </w:rPr>
              <w:instrText xml:space="preserve"> = 2 \* alphabetic </w:instrText>
            </w:r>
            <w:r>
              <w:rPr>
                <w:rFonts w:hint="eastAsia"/>
                <w:color w:val="000000" w:themeColor="text1"/>
                <w:u w:val="none"/>
                <w14:textFill>
                  <w14:solidFill>
                    <w14:schemeClr w14:val="tx1"/>
                  </w14:solidFill>
                </w14:textFill>
              </w:rPr>
              <w:fldChar w:fldCharType="separate"/>
            </w:r>
            <w:r>
              <w:rPr>
                <w:rFonts w:hint="eastAsia"/>
                <w:color w:val="000000" w:themeColor="text1"/>
                <w:u w:val="none"/>
                <w14:textFill>
                  <w14:solidFill>
                    <w14:schemeClr w14:val="tx1"/>
                  </w14:solidFill>
                </w14:textFill>
              </w:rPr>
              <w:t>b</w:t>
            </w:r>
            <w:r>
              <w:rPr>
                <w:rFonts w:hint="eastAsia"/>
                <w:color w:val="000000" w:themeColor="text1"/>
                <w:u w:val="none"/>
                <w14:textFill>
                  <w14:solidFill>
                    <w14:schemeClr w14:val="tx1"/>
                  </w14:solidFill>
                </w14:textFill>
              </w:rPr>
              <w:fldChar w:fldCharType="end"/>
            </w:r>
            <w:r>
              <w:rPr>
                <w:rFonts w:hint="eastAsia"/>
                <w:color w:val="000000" w:themeColor="text1"/>
                <w:u w:val="none"/>
                <w14:textFill>
                  <w14:solidFill>
                    <w14:schemeClr w14:val="tx1"/>
                  </w14:solidFill>
                </w14:textFill>
              </w:rPr>
              <w:t>、审核施工合同中环境保护条款、施工单位环境管理计划和施工组织设计中的环保措施，核实工程占地和准备工作。</w:t>
            </w:r>
          </w:p>
          <w:p w14:paraId="127E0B79">
            <w:pPr>
              <w:ind w:firstLine="480" w:firstLineChars="200"/>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fldChar w:fldCharType="begin"/>
            </w:r>
            <w:r>
              <w:rPr>
                <w:rFonts w:hint="eastAsia"/>
                <w:color w:val="000000" w:themeColor="text1"/>
                <w:u w:val="none"/>
                <w14:textFill>
                  <w14:solidFill>
                    <w14:schemeClr w14:val="tx1"/>
                  </w14:solidFill>
                </w14:textFill>
              </w:rPr>
              <w:instrText xml:space="preserve"> = 3 \* alphabetic </w:instrText>
            </w:r>
            <w:r>
              <w:rPr>
                <w:rFonts w:hint="eastAsia"/>
                <w:color w:val="000000" w:themeColor="text1"/>
                <w:u w:val="none"/>
                <w14:textFill>
                  <w14:solidFill>
                    <w14:schemeClr w14:val="tx1"/>
                  </w14:solidFill>
                </w14:textFill>
              </w:rPr>
              <w:fldChar w:fldCharType="separate"/>
            </w:r>
            <w:r>
              <w:rPr>
                <w:rFonts w:hint="eastAsia"/>
                <w:color w:val="000000" w:themeColor="text1"/>
                <w:u w:val="none"/>
                <w14:textFill>
                  <w14:solidFill>
                    <w14:schemeClr w14:val="tx1"/>
                  </w14:solidFill>
                </w14:textFill>
              </w:rPr>
              <w:t>c</w:t>
            </w:r>
            <w:r>
              <w:rPr>
                <w:rFonts w:hint="eastAsia"/>
                <w:color w:val="000000" w:themeColor="text1"/>
                <w:u w:val="none"/>
                <w14:textFill>
                  <w14:solidFill>
                    <w14:schemeClr w14:val="tx1"/>
                  </w14:solidFill>
                </w14:textFill>
              </w:rPr>
              <w:fldChar w:fldCharType="end"/>
            </w:r>
            <w:r>
              <w:rPr>
                <w:rFonts w:hint="eastAsia"/>
                <w:color w:val="000000" w:themeColor="text1"/>
                <w:u w:val="none"/>
                <w14:textFill>
                  <w14:solidFill>
                    <w14:schemeClr w14:val="tx1"/>
                  </w14:solidFill>
                </w14:textFill>
              </w:rPr>
              <w:t>、督促建设单位本项目环境影响评价文件及其审批文件抄送至当地环境保护行政主管部门。</w:t>
            </w:r>
          </w:p>
          <w:p w14:paraId="4ED89D98">
            <w:pPr>
              <w:ind w:firstLine="480" w:firstLineChars="200"/>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2）施工阶段的环境监理</w:t>
            </w:r>
          </w:p>
          <w:p w14:paraId="1B1D81FF">
            <w:pPr>
              <w:ind w:firstLine="480" w:firstLineChars="200"/>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fldChar w:fldCharType="begin"/>
            </w:r>
            <w:r>
              <w:rPr>
                <w:rFonts w:hint="eastAsia"/>
                <w:color w:val="000000" w:themeColor="text1"/>
                <w:u w:val="none"/>
                <w14:textFill>
                  <w14:solidFill>
                    <w14:schemeClr w14:val="tx1"/>
                  </w14:solidFill>
                </w14:textFill>
              </w:rPr>
              <w:instrText xml:space="preserve"> = 1 \* alphabetic </w:instrText>
            </w:r>
            <w:r>
              <w:rPr>
                <w:rFonts w:hint="eastAsia"/>
                <w:color w:val="000000" w:themeColor="text1"/>
                <w:u w:val="none"/>
                <w14:textFill>
                  <w14:solidFill>
                    <w14:schemeClr w14:val="tx1"/>
                  </w14:solidFill>
                </w14:textFill>
              </w:rPr>
              <w:fldChar w:fldCharType="separate"/>
            </w:r>
            <w:r>
              <w:rPr>
                <w:rFonts w:hint="eastAsia"/>
                <w:color w:val="000000" w:themeColor="text1"/>
                <w:u w:val="none"/>
                <w14:textFill>
                  <w14:solidFill>
                    <w14:schemeClr w14:val="tx1"/>
                  </w14:solidFill>
                </w14:textFill>
              </w:rPr>
              <w:t>a</w:t>
            </w:r>
            <w:r>
              <w:rPr>
                <w:rFonts w:hint="eastAsia"/>
                <w:color w:val="000000" w:themeColor="text1"/>
                <w:u w:val="none"/>
                <w14:textFill>
                  <w14:solidFill>
                    <w14:schemeClr w14:val="tx1"/>
                  </w14:solidFill>
                </w14:textFill>
              </w:rPr>
              <w:fldChar w:fldCharType="end"/>
            </w:r>
            <w:r>
              <w:rPr>
                <w:rFonts w:hint="eastAsia"/>
                <w:color w:val="000000" w:themeColor="text1"/>
                <w:u w:val="none"/>
                <w14:textFill>
                  <w14:solidFill>
                    <w14:schemeClr w14:val="tx1"/>
                  </w14:solidFill>
                </w14:textFill>
              </w:rPr>
              <w:t>、环境监理单位根据本项目类别、规模、技术复杂程度等因素现场派驻项目监理机构或满足专业工作要求的监理人员，建立工程环境监理日志、巡视及旁站记录、环境监理会议纪要、环境监理定期报告和专题报告等环境监理档案，监督和记录环境保护设施建设情况，及时纠正与环境影响评价文件及审批文件不符的问题，并向环境保护行政主管部门报告。</w:t>
            </w:r>
          </w:p>
          <w:p w14:paraId="1E09188F">
            <w:pPr>
              <w:ind w:firstLine="480" w:firstLineChars="200"/>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fldChar w:fldCharType="begin"/>
            </w:r>
            <w:r>
              <w:rPr>
                <w:rFonts w:hint="eastAsia"/>
                <w:color w:val="000000" w:themeColor="text1"/>
                <w:u w:val="none"/>
                <w14:textFill>
                  <w14:solidFill>
                    <w14:schemeClr w14:val="tx1"/>
                  </w14:solidFill>
                </w14:textFill>
              </w:rPr>
              <w:instrText xml:space="preserve"> = 2 \* alphabetic </w:instrText>
            </w:r>
            <w:r>
              <w:rPr>
                <w:rFonts w:hint="eastAsia"/>
                <w:color w:val="000000" w:themeColor="text1"/>
                <w:u w:val="none"/>
                <w14:textFill>
                  <w14:solidFill>
                    <w14:schemeClr w14:val="tx1"/>
                  </w14:solidFill>
                </w14:textFill>
              </w:rPr>
              <w:fldChar w:fldCharType="separate"/>
            </w:r>
            <w:r>
              <w:rPr>
                <w:rFonts w:hint="eastAsia"/>
                <w:color w:val="000000" w:themeColor="text1"/>
                <w:u w:val="none"/>
                <w14:textFill>
                  <w14:solidFill>
                    <w14:schemeClr w14:val="tx1"/>
                  </w14:solidFill>
                </w14:textFill>
              </w:rPr>
              <w:t>b</w:t>
            </w:r>
            <w:r>
              <w:rPr>
                <w:rFonts w:hint="eastAsia"/>
                <w:color w:val="000000" w:themeColor="text1"/>
                <w:u w:val="none"/>
                <w14:textFill>
                  <w14:solidFill>
                    <w14:schemeClr w14:val="tx1"/>
                  </w14:solidFill>
                </w14:textFill>
              </w:rPr>
              <w:fldChar w:fldCharType="end"/>
            </w:r>
            <w:r>
              <w:rPr>
                <w:rFonts w:hint="eastAsia"/>
                <w:color w:val="000000" w:themeColor="text1"/>
                <w:u w:val="none"/>
                <w14:textFill>
                  <w14:solidFill>
                    <w14:schemeClr w14:val="tx1"/>
                  </w14:solidFill>
                </w14:textFill>
              </w:rPr>
              <w:t>、环境监理单位督促建设单位在建设项目施工前向当地环境保护行政主管部门报告施工进度安排。</w:t>
            </w:r>
          </w:p>
          <w:p w14:paraId="17F403E7">
            <w:pPr>
              <w:ind w:firstLine="480" w:firstLineChars="200"/>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fldChar w:fldCharType="begin"/>
            </w:r>
            <w:r>
              <w:rPr>
                <w:rFonts w:hint="eastAsia"/>
                <w:color w:val="000000" w:themeColor="text1"/>
                <w:u w:val="none"/>
                <w14:textFill>
                  <w14:solidFill>
                    <w14:schemeClr w14:val="tx1"/>
                  </w14:solidFill>
                </w14:textFill>
              </w:rPr>
              <w:instrText xml:space="preserve"> = 3 \* alphabetic </w:instrText>
            </w:r>
            <w:r>
              <w:rPr>
                <w:rFonts w:hint="eastAsia"/>
                <w:color w:val="000000" w:themeColor="text1"/>
                <w:u w:val="none"/>
                <w14:textFill>
                  <w14:solidFill>
                    <w14:schemeClr w14:val="tx1"/>
                  </w14:solidFill>
                </w14:textFill>
              </w:rPr>
              <w:fldChar w:fldCharType="separate"/>
            </w:r>
            <w:r>
              <w:rPr>
                <w:rFonts w:hint="eastAsia"/>
                <w:color w:val="000000" w:themeColor="text1"/>
                <w:u w:val="none"/>
                <w14:textFill>
                  <w14:solidFill>
                    <w14:schemeClr w14:val="tx1"/>
                  </w14:solidFill>
                </w14:textFill>
              </w:rPr>
              <w:t>c</w:t>
            </w:r>
            <w:r>
              <w:rPr>
                <w:rFonts w:hint="eastAsia"/>
                <w:color w:val="000000" w:themeColor="text1"/>
                <w:u w:val="none"/>
                <w14:textFill>
                  <w14:solidFill>
                    <w14:schemeClr w14:val="tx1"/>
                  </w14:solidFill>
                </w14:textFill>
              </w:rPr>
              <w:fldChar w:fldCharType="end"/>
            </w:r>
            <w:r>
              <w:rPr>
                <w:rFonts w:hint="eastAsia"/>
                <w:color w:val="000000" w:themeColor="text1"/>
                <w:u w:val="none"/>
                <w14:textFill>
                  <w14:solidFill>
                    <w14:schemeClr w14:val="tx1"/>
                  </w14:solidFill>
                </w14:textFill>
              </w:rPr>
              <w:t>、环境监理单位依据环境影响评价文件及审批文件，督查本项目施工过程中各项环境保护措施的落实情况，及时纠正与环境影响评价文件及审批文件不符的问题。</w:t>
            </w:r>
          </w:p>
          <w:p w14:paraId="466C006A">
            <w:pPr>
              <w:ind w:firstLine="480" w:firstLineChars="200"/>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本项目施工阶段主要环境监理要点见表5.14-1。</w:t>
            </w:r>
          </w:p>
          <w:p w14:paraId="35109898">
            <w:pPr>
              <w:spacing w:line="240" w:lineRule="auto"/>
              <w:jc w:val="center"/>
              <w:rPr>
                <w:b/>
                <w:bCs/>
                <w:color w:val="000000" w:themeColor="text1"/>
                <w:sz w:val="21"/>
                <w:szCs w:val="21"/>
                <w:u w:val="none"/>
                <w14:textFill>
                  <w14:solidFill>
                    <w14:schemeClr w14:val="tx1"/>
                  </w14:solidFill>
                </w14:textFill>
              </w:rPr>
            </w:pPr>
            <w:r>
              <w:rPr>
                <w:rFonts w:hint="eastAsia"/>
                <w:b/>
                <w:bCs/>
                <w:color w:val="000000" w:themeColor="text1"/>
                <w:sz w:val="21"/>
                <w:szCs w:val="21"/>
                <w:u w:val="none"/>
                <w14:textFill>
                  <w14:solidFill>
                    <w14:schemeClr w14:val="tx1"/>
                  </w14:solidFill>
                </w14:textFill>
              </w:rPr>
              <w:t>表5.14-1  施工期环境监理一览表</w:t>
            </w:r>
          </w:p>
          <w:tbl>
            <w:tblPr>
              <w:tblStyle w:val="26"/>
              <w:tblW w:w="7606"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51"/>
              <w:gridCol w:w="6555"/>
            </w:tblGrid>
            <w:tr w14:paraId="659251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51" w:type="dxa"/>
                  <w:tcBorders>
                    <w:tl2br w:val="nil"/>
                    <w:tr2bl w:val="nil"/>
                  </w:tcBorders>
                  <w:vAlign w:val="center"/>
                </w:tcPr>
                <w:p w14:paraId="043B89E3">
                  <w:pPr>
                    <w:spacing w:line="240" w:lineRule="auto"/>
                    <w:jc w:val="center"/>
                    <w:rPr>
                      <w:b/>
                      <w:bCs/>
                      <w:color w:val="000000" w:themeColor="text1"/>
                      <w:sz w:val="21"/>
                      <w:szCs w:val="21"/>
                      <w:u w:val="none"/>
                      <w14:textFill>
                        <w14:solidFill>
                          <w14:schemeClr w14:val="tx1"/>
                        </w14:solidFill>
                      </w14:textFill>
                    </w:rPr>
                  </w:pPr>
                  <w:r>
                    <w:rPr>
                      <w:b/>
                      <w:bCs/>
                      <w:color w:val="000000" w:themeColor="text1"/>
                      <w:sz w:val="21"/>
                      <w:szCs w:val="21"/>
                      <w:u w:val="none"/>
                      <w14:textFill>
                        <w14:solidFill>
                          <w14:schemeClr w14:val="tx1"/>
                        </w14:solidFill>
                      </w14:textFill>
                    </w:rPr>
                    <w:t>项目</w:t>
                  </w:r>
                </w:p>
              </w:tc>
              <w:tc>
                <w:tcPr>
                  <w:tcW w:w="6555" w:type="dxa"/>
                  <w:tcBorders>
                    <w:tl2br w:val="nil"/>
                    <w:tr2bl w:val="nil"/>
                  </w:tcBorders>
                  <w:vAlign w:val="center"/>
                </w:tcPr>
                <w:p w14:paraId="16C887F3">
                  <w:pPr>
                    <w:spacing w:line="240" w:lineRule="auto"/>
                    <w:jc w:val="center"/>
                    <w:rPr>
                      <w:b/>
                      <w:bCs/>
                      <w:color w:val="000000" w:themeColor="text1"/>
                      <w:sz w:val="21"/>
                      <w:szCs w:val="21"/>
                      <w:u w:val="none"/>
                      <w14:textFill>
                        <w14:solidFill>
                          <w14:schemeClr w14:val="tx1"/>
                        </w14:solidFill>
                      </w14:textFill>
                    </w:rPr>
                  </w:pPr>
                  <w:r>
                    <w:rPr>
                      <w:b/>
                      <w:bCs/>
                      <w:color w:val="000000" w:themeColor="text1"/>
                      <w:sz w:val="21"/>
                      <w:szCs w:val="21"/>
                      <w:u w:val="none"/>
                      <w14:textFill>
                        <w14:solidFill>
                          <w14:schemeClr w14:val="tx1"/>
                        </w14:solidFill>
                      </w14:textFill>
                    </w:rPr>
                    <w:t>环境监理要点</w:t>
                  </w:r>
                </w:p>
              </w:tc>
            </w:tr>
            <w:tr w14:paraId="1BE47A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51" w:type="dxa"/>
                  <w:tcBorders>
                    <w:tl2br w:val="nil"/>
                    <w:tr2bl w:val="nil"/>
                  </w:tcBorders>
                  <w:vAlign w:val="center"/>
                </w:tcPr>
                <w:p w14:paraId="651FD83C">
                  <w:pPr>
                    <w:spacing w:line="240" w:lineRule="auto"/>
                    <w:jc w:val="center"/>
                    <w:rPr>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施工活动生态保护</w:t>
                  </w:r>
                </w:p>
              </w:tc>
              <w:tc>
                <w:tcPr>
                  <w:tcW w:w="6555" w:type="dxa"/>
                  <w:tcBorders>
                    <w:tl2br w:val="nil"/>
                    <w:tr2bl w:val="nil"/>
                  </w:tcBorders>
                </w:tcPr>
                <w:p w14:paraId="5CC6D34B">
                  <w:pPr>
                    <w:spacing w:line="240" w:lineRule="auto"/>
                    <w:rPr>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（1）施工方式的合理性、要求采取符合环保要求和生态景观保护的施工工艺和施工方法。</w:t>
                  </w:r>
                </w:p>
                <w:p w14:paraId="22F2C943">
                  <w:pPr>
                    <w:spacing w:line="240" w:lineRule="auto"/>
                    <w:rPr>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（2）控制施工作业区面积，限制施工活动扰动范围区域，禁止施工人员随意到非施工区域。</w:t>
                  </w:r>
                </w:p>
                <w:p w14:paraId="6304A240">
                  <w:pPr>
                    <w:spacing w:line="240" w:lineRule="auto"/>
                    <w:rPr>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（3）施工车辆必须沿规定运输路线行驶，不得随意越界行驶。</w:t>
                  </w:r>
                </w:p>
                <w:p w14:paraId="7B123211">
                  <w:pPr>
                    <w:spacing w:line="240" w:lineRule="auto"/>
                    <w:rPr>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（4）施工开挖表土和弃渣应就近集中分开堆存，以利于回填。</w:t>
                  </w:r>
                </w:p>
                <w:p w14:paraId="5C17C20E">
                  <w:pPr>
                    <w:spacing w:line="240" w:lineRule="auto"/>
                    <w:rPr>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（5）场内</w:t>
                  </w:r>
                  <w:r>
                    <w:rPr>
                      <w:rFonts w:hint="eastAsia"/>
                      <w:color w:val="000000" w:themeColor="text1"/>
                      <w:sz w:val="21"/>
                      <w:szCs w:val="21"/>
                      <w:u w:val="none"/>
                      <w14:textFill>
                        <w14:solidFill>
                          <w14:schemeClr w14:val="tx1"/>
                        </w14:solidFill>
                      </w14:textFill>
                    </w:rPr>
                    <w:t>道路</w:t>
                  </w:r>
                  <w:r>
                    <w:rPr>
                      <w:color w:val="000000" w:themeColor="text1"/>
                      <w:sz w:val="21"/>
                      <w:szCs w:val="21"/>
                      <w:u w:val="none"/>
                      <w14:textFill>
                        <w14:solidFill>
                          <w14:schemeClr w14:val="tx1"/>
                        </w14:solidFill>
                      </w14:textFill>
                    </w:rPr>
                    <w:t>、施工生产设施、弃渣场等区域水土保持工程防护措施须落实。</w:t>
                  </w:r>
                </w:p>
                <w:p w14:paraId="401F7249">
                  <w:pPr>
                    <w:spacing w:line="240" w:lineRule="auto"/>
                    <w:rPr>
                      <w:rFonts w:hint="eastAsia" w:eastAsia="宋体"/>
                      <w:color w:val="000000" w:themeColor="text1"/>
                      <w:sz w:val="21"/>
                      <w:szCs w:val="21"/>
                      <w:u w:val="none"/>
                      <w:lang w:eastAsia="zh-CN"/>
                      <w14:textFill>
                        <w14:solidFill>
                          <w14:schemeClr w14:val="tx1"/>
                        </w14:solidFill>
                      </w14:textFill>
                    </w:rPr>
                  </w:pPr>
                  <w:r>
                    <w:rPr>
                      <w:rFonts w:hint="eastAsia"/>
                      <w:color w:val="000000" w:themeColor="text1"/>
                      <w:sz w:val="21"/>
                      <w:szCs w:val="21"/>
                      <w:u w:val="none"/>
                      <w:lang w:eastAsia="zh-CN"/>
                      <w14:textFill>
                        <w14:solidFill>
                          <w14:schemeClr w14:val="tx1"/>
                        </w14:solidFill>
                      </w14:textFill>
                    </w:rPr>
                    <w:t>（</w:t>
                  </w:r>
                  <w:r>
                    <w:rPr>
                      <w:rFonts w:hint="eastAsia"/>
                      <w:color w:val="000000" w:themeColor="text1"/>
                      <w:sz w:val="21"/>
                      <w:szCs w:val="21"/>
                      <w:u w:val="none"/>
                      <w:lang w:val="en-US" w:eastAsia="zh-CN"/>
                      <w14:textFill>
                        <w14:solidFill>
                          <w14:schemeClr w14:val="tx1"/>
                        </w14:solidFill>
                      </w14:textFill>
                    </w:rPr>
                    <w:t>6</w:t>
                  </w:r>
                  <w:r>
                    <w:rPr>
                      <w:rFonts w:hint="eastAsia"/>
                      <w:color w:val="000000" w:themeColor="text1"/>
                      <w:sz w:val="21"/>
                      <w:szCs w:val="21"/>
                      <w:u w:val="none"/>
                      <w:lang w:eastAsia="zh-CN"/>
                      <w14:textFill>
                        <w14:solidFill>
                          <w14:schemeClr w14:val="tx1"/>
                        </w14:solidFill>
                      </w14:textFill>
                    </w:rPr>
                    <w:t>）重点保护动植物保护措施</w:t>
                  </w:r>
                </w:p>
              </w:tc>
            </w:tr>
            <w:tr w14:paraId="0B21B4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51" w:type="dxa"/>
                  <w:tcBorders>
                    <w:tl2br w:val="nil"/>
                    <w:tr2bl w:val="nil"/>
                  </w:tcBorders>
                  <w:vAlign w:val="center"/>
                </w:tcPr>
                <w:p w14:paraId="38D47D4F">
                  <w:pPr>
                    <w:spacing w:line="240" w:lineRule="auto"/>
                    <w:jc w:val="center"/>
                    <w:rPr>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施工后期生态恢复</w:t>
                  </w:r>
                </w:p>
              </w:tc>
              <w:tc>
                <w:tcPr>
                  <w:tcW w:w="6555" w:type="dxa"/>
                  <w:tcBorders>
                    <w:tl2br w:val="nil"/>
                    <w:tr2bl w:val="nil"/>
                  </w:tcBorders>
                </w:tcPr>
                <w:p w14:paraId="52EEA2C6">
                  <w:pPr>
                    <w:spacing w:line="240" w:lineRule="auto"/>
                    <w:rPr>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（1）场内道路区：要求清理公路沿线渣料，对沿线裸露区域覆土恢复植被。</w:t>
                  </w:r>
                </w:p>
                <w:p w14:paraId="531E44F4">
                  <w:pPr>
                    <w:spacing w:line="240" w:lineRule="auto"/>
                    <w:rPr>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（2）施工营地：要求施工结束后清理场地，再覆土恢复植被。</w:t>
                  </w:r>
                </w:p>
                <w:p w14:paraId="2DCA61A9">
                  <w:pPr>
                    <w:spacing w:line="240" w:lineRule="auto"/>
                    <w:rPr>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（3）主体工程区：风机基础区覆土植草，电缆沟沿线整地恢复植被。</w:t>
                  </w:r>
                </w:p>
              </w:tc>
            </w:tr>
            <w:tr w14:paraId="5910C1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51" w:type="dxa"/>
                  <w:tcBorders>
                    <w:tl2br w:val="nil"/>
                    <w:tr2bl w:val="nil"/>
                  </w:tcBorders>
                  <w:vAlign w:val="center"/>
                </w:tcPr>
                <w:p w14:paraId="7D91DA8C">
                  <w:pPr>
                    <w:spacing w:line="240" w:lineRule="auto"/>
                    <w:jc w:val="center"/>
                    <w:rPr>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废水</w:t>
                  </w:r>
                </w:p>
              </w:tc>
              <w:tc>
                <w:tcPr>
                  <w:tcW w:w="6555" w:type="dxa"/>
                  <w:tcBorders>
                    <w:tl2br w:val="nil"/>
                    <w:tr2bl w:val="nil"/>
                  </w:tcBorders>
                </w:tcPr>
                <w:p w14:paraId="7171EC83">
                  <w:pPr>
                    <w:spacing w:line="240" w:lineRule="auto"/>
                    <w:rPr>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w:t>
                  </w:r>
                  <w:r>
                    <w:rPr>
                      <w:rFonts w:hint="eastAsia"/>
                      <w:color w:val="000000" w:themeColor="text1"/>
                      <w:sz w:val="21"/>
                      <w:szCs w:val="21"/>
                      <w:u w:val="none"/>
                      <w:lang w:val="en-US" w:eastAsia="zh-CN"/>
                      <w14:textFill>
                        <w14:solidFill>
                          <w14:schemeClr w14:val="tx1"/>
                        </w14:solidFill>
                      </w14:textFill>
                    </w:rPr>
                    <w:t>1</w:t>
                  </w:r>
                  <w:r>
                    <w:rPr>
                      <w:color w:val="000000" w:themeColor="text1"/>
                      <w:sz w:val="21"/>
                      <w:szCs w:val="21"/>
                      <w:u w:val="none"/>
                      <w14:textFill>
                        <w14:solidFill>
                          <w14:schemeClr w14:val="tx1"/>
                        </w14:solidFill>
                      </w14:textFill>
                    </w:rPr>
                    <w:t>）机修废水采用隔油池+清水池处理设施设置情况，出水</w:t>
                  </w:r>
                  <w:r>
                    <w:rPr>
                      <w:rFonts w:hint="eastAsia"/>
                      <w:color w:val="000000" w:themeColor="text1"/>
                      <w:sz w:val="21"/>
                      <w:szCs w:val="21"/>
                      <w:u w:val="none"/>
                      <w14:textFill>
                        <w14:solidFill>
                          <w14:schemeClr w14:val="tx1"/>
                        </w14:solidFill>
                      </w14:textFill>
                    </w:rPr>
                    <w:t>回用情况</w:t>
                  </w:r>
                  <w:r>
                    <w:rPr>
                      <w:color w:val="000000" w:themeColor="text1"/>
                      <w:sz w:val="21"/>
                      <w:szCs w:val="21"/>
                      <w:u w:val="none"/>
                      <w14:textFill>
                        <w14:solidFill>
                          <w14:schemeClr w14:val="tx1"/>
                        </w14:solidFill>
                      </w14:textFill>
                    </w:rPr>
                    <w:t>。</w:t>
                  </w:r>
                </w:p>
                <w:p w14:paraId="1C650EEC">
                  <w:pPr>
                    <w:spacing w:line="240" w:lineRule="auto"/>
                    <w:rPr>
                      <w:color w:val="000000" w:themeColor="text1"/>
                      <w:sz w:val="21"/>
                      <w:szCs w:val="21"/>
                      <w:u w:val="none"/>
                      <w14:textFill>
                        <w14:solidFill>
                          <w14:schemeClr w14:val="tx1"/>
                        </w14:solidFill>
                      </w14:textFill>
                    </w:rPr>
                  </w:pPr>
                  <w:r>
                    <w:rPr>
                      <w:rFonts w:hint="eastAsia"/>
                      <w:color w:val="000000" w:themeColor="text1"/>
                      <w:sz w:val="21"/>
                      <w:szCs w:val="21"/>
                      <w:u w:val="none"/>
                      <w14:textFill>
                        <w14:solidFill>
                          <w14:schemeClr w14:val="tx1"/>
                        </w14:solidFill>
                      </w14:textFill>
                    </w:rPr>
                    <w:t>（</w:t>
                  </w:r>
                  <w:r>
                    <w:rPr>
                      <w:rFonts w:hint="eastAsia"/>
                      <w:color w:val="000000" w:themeColor="text1"/>
                      <w:sz w:val="21"/>
                      <w:szCs w:val="21"/>
                      <w:u w:val="none"/>
                      <w:lang w:val="en-US" w:eastAsia="zh-CN"/>
                      <w14:textFill>
                        <w14:solidFill>
                          <w14:schemeClr w14:val="tx1"/>
                        </w14:solidFill>
                      </w14:textFill>
                    </w:rPr>
                    <w:t>2</w:t>
                  </w:r>
                  <w:r>
                    <w:rPr>
                      <w:rFonts w:hint="eastAsia"/>
                      <w:color w:val="000000" w:themeColor="text1"/>
                      <w:sz w:val="21"/>
                      <w:szCs w:val="21"/>
                      <w:u w:val="none"/>
                      <w14:textFill>
                        <w14:solidFill>
                          <w14:schemeClr w14:val="tx1"/>
                        </w14:solidFill>
                      </w14:textFill>
                    </w:rPr>
                    <w:t>）升压站施工废水及生活废水均得到合理处置，</w:t>
                  </w:r>
                  <w:r>
                    <w:rPr>
                      <w:rFonts w:hint="eastAsia"/>
                      <w:color w:val="000000" w:themeColor="text1"/>
                      <w:sz w:val="21"/>
                      <w:szCs w:val="21"/>
                      <w:u w:val="none"/>
                      <w:lang w:val="en-US" w:eastAsia="zh-CN"/>
                      <w14:textFill>
                        <w14:solidFill>
                          <w14:schemeClr w14:val="tx1"/>
                        </w14:solidFill>
                      </w14:textFill>
                    </w:rPr>
                    <w:t>回用</w:t>
                  </w:r>
                  <w:r>
                    <w:rPr>
                      <w:rFonts w:hint="eastAsia"/>
                      <w:color w:val="000000" w:themeColor="text1"/>
                      <w:sz w:val="21"/>
                      <w:szCs w:val="21"/>
                      <w:u w:val="none"/>
                      <w14:textFill>
                        <w14:solidFill>
                          <w14:schemeClr w14:val="tx1"/>
                        </w14:solidFill>
                      </w14:textFill>
                    </w:rPr>
                    <w:t>不外排。</w:t>
                  </w:r>
                </w:p>
              </w:tc>
            </w:tr>
            <w:tr w14:paraId="2AEA11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51" w:type="dxa"/>
                  <w:tcBorders>
                    <w:tl2br w:val="nil"/>
                    <w:tr2bl w:val="nil"/>
                  </w:tcBorders>
                  <w:vAlign w:val="center"/>
                </w:tcPr>
                <w:p w14:paraId="1617B2FD">
                  <w:pPr>
                    <w:spacing w:line="240" w:lineRule="auto"/>
                    <w:jc w:val="center"/>
                    <w:rPr>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固废</w:t>
                  </w:r>
                </w:p>
              </w:tc>
              <w:tc>
                <w:tcPr>
                  <w:tcW w:w="6555" w:type="dxa"/>
                  <w:tcBorders>
                    <w:tl2br w:val="nil"/>
                    <w:tr2bl w:val="nil"/>
                  </w:tcBorders>
                </w:tcPr>
                <w:p w14:paraId="592E006D">
                  <w:pPr>
                    <w:spacing w:line="240" w:lineRule="auto"/>
                    <w:rPr>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（1）施工生活垃圾收集、堆放及最终处置去向，是否在场区内填埋丢弃。</w:t>
                  </w:r>
                </w:p>
                <w:p w14:paraId="0176DD75">
                  <w:pPr>
                    <w:spacing w:line="240" w:lineRule="auto"/>
                    <w:rPr>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（2）施工开挖回填弃土弃渣是否就近堆放，弃渣是否采用生态恢复措施，并采取拦挡措施。</w:t>
                  </w:r>
                </w:p>
              </w:tc>
            </w:tr>
            <w:tr w14:paraId="53C1DF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51" w:type="dxa"/>
                  <w:tcBorders>
                    <w:tl2br w:val="nil"/>
                    <w:tr2bl w:val="nil"/>
                  </w:tcBorders>
                  <w:vAlign w:val="center"/>
                </w:tcPr>
                <w:p w14:paraId="713C9C0E">
                  <w:pPr>
                    <w:spacing w:line="240" w:lineRule="auto"/>
                    <w:jc w:val="center"/>
                    <w:rPr>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噪声</w:t>
                  </w:r>
                </w:p>
              </w:tc>
              <w:tc>
                <w:tcPr>
                  <w:tcW w:w="6555" w:type="dxa"/>
                  <w:tcBorders>
                    <w:tl2br w:val="nil"/>
                    <w:tr2bl w:val="nil"/>
                  </w:tcBorders>
                </w:tcPr>
                <w:p w14:paraId="0E28DB16">
                  <w:pPr>
                    <w:spacing w:line="240" w:lineRule="auto"/>
                    <w:rPr>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（1）施工机械和设备符合国家相关标准。</w:t>
                  </w:r>
                </w:p>
                <w:p w14:paraId="128B231E">
                  <w:pPr>
                    <w:spacing w:line="240" w:lineRule="auto"/>
                    <w:rPr>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（2）居民点附近夜间不进行高噪声的施工作业。</w:t>
                  </w:r>
                </w:p>
                <w:p w14:paraId="62F8CB97">
                  <w:pPr>
                    <w:spacing w:line="240" w:lineRule="auto"/>
                    <w:rPr>
                      <w:rFonts w:hint="default" w:eastAsia="宋体"/>
                      <w:color w:val="000000" w:themeColor="text1"/>
                      <w:sz w:val="21"/>
                      <w:szCs w:val="21"/>
                      <w:u w:val="none"/>
                      <w:lang w:val="en-US" w:eastAsia="zh-CN"/>
                      <w14:textFill>
                        <w14:solidFill>
                          <w14:schemeClr w14:val="tx1"/>
                        </w14:solidFill>
                      </w14:textFill>
                    </w:rPr>
                  </w:pPr>
                  <w:r>
                    <w:rPr>
                      <w:rFonts w:hint="eastAsia"/>
                      <w:color w:val="000000" w:themeColor="text1"/>
                      <w:sz w:val="21"/>
                      <w:szCs w:val="21"/>
                      <w:u w:val="none"/>
                      <w:lang w:eastAsia="zh-CN"/>
                      <w14:textFill>
                        <w14:solidFill>
                          <w14:schemeClr w14:val="tx1"/>
                        </w14:solidFill>
                      </w14:textFill>
                    </w:rPr>
                    <w:t>（</w:t>
                  </w:r>
                  <w:r>
                    <w:rPr>
                      <w:rFonts w:hint="eastAsia"/>
                      <w:color w:val="000000" w:themeColor="text1"/>
                      <w:sz w:val="21"/>
                      <w:szCs w:val="21"/>
                      <w:u w:val="none"/>
                      <w:lang w:val="en-US" w:eastAsia="zh-CN"/>
                      <w14:textFill>
                        <w14:solidFill>
                          <w14:schemeClr w14:val="tx1"/>
                        </w14:solidFill>
                      </w14:textFill>
                    </w:rPr>
                    <w:t>3</w:t>
                  </w:r>
                  <w:r>
                    <w:rPr>
                      <w:rFonts w:hint="eastAsia"/>
                      <w:color w:val="000000" w:themeColor="text1"/>
                      <w:sz w:val="21"/>
                      <w:szCs w:val="21"/>
                      <w:u w:val="none"/>
                      <w:lang w:eastAsia="zh-CN"/>
                      <w14:textFill>
                        <w14:solidFill>
                          <w14:schemeClr w14:val="tx1"/>
                        </w14:solidFill>
                      </w14:textFill>
                    </w:rPr>
                    <w:t>）</w:t>
                  </w:r>
                  <w:r>
                    <w:rPr>
                      <w:rFonts w:hint="eastAsia"/>
                      <w:color w:val="000000" w:themeColor="text1"/>
                      <w:sz w:val="21"/>
                      <w:szCs w:val="21"/>
                      <w:u w:val="none"/>
                      <w:lang w:val="en-US" w:eastAsia="zh-CN"/>
                      <w14:textFill>
                        <w14:solidFill>
                          <w14:schemeClr w14:val="tx1"/>
                        </w14:solidFill>
                      </w14:textFill>
                    </w:rPr>
                    <w:t>若项目发现附近村民房声环境超标，需实施尾缘锯齿风叶+VG降噪及加装隔声窗等措施或调整建筑物使用性质，确保风机运行期间附近村民房声环境达标。</w:t>
                  </w:r>
                </w:p>
              </w:tc>
            </w:tr>
            <w:tr w14:paraId="38A632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51" w:type="dxa"/>
                  <w:tcBorders>
                    <w:tl2br w:val="nil"/>
                    <w:tr2bl w:val="nil"/>
                  </w:tcBorders>
                  <w:vAlign w:val="center"/>
                </w:tcPr>
                <w:p w14:paraId="5C4DC9ED">
                  <w:pPr>
                    <w:spacing w:line="240" w:lineRule="auto"/>
                    <w:jc w:val="center"/>
                    <w:rPr>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废气</w:t>
                  </w:r>
                </w:p>
              </w:tc>
              <w:tc>
                <w:tcPr>
                  <w:tcW w:w="6555" w:type="dxa"/>
                  <w:tcBorders>
                    <w:tl2br w:val="nil"/>
                    <w:tr2bl w:val="nil"/>
                  </w:tcBorders>
                </w:tcPr>
                <w:p w14:paraId="730DA420">
                  <w:pPr>
                    <w:autoSpaceDE w:val="0"/>
                    <w:autoSpaceDN w:val="0"/>
                    <w:adjustRightInd w:val="0"/>
                    <w:spacing w:line="240" w:lineRule="auto"/>
                    <w:rPr>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（1）施工营地的施工场地采取洒水抑尘和堆场临时遮盖等措施；对施工机械定期进行检修保养。</w:t>
                  </w:r>
                </w:p>
                <w:p w14:paraId="6CFB5E98">
                  <w:pPr>
                    <w:spacing w:line="240" w:lineRule="auto"/>
                    <w:rPr>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（2）居民点附近加强洒水降尘。</w:t>
                  </w:r>
                </w:p>
              </w:tc>
            </w:tr>
          </w:tbl>
          <w:p w14:paraId="1AF19FF6">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为切实保护好本项目的环境保护目标，必须严格实施本报告和《</w:t>
            </w:r>
            <w:r>
              <w:rPr>
                <w:rFonts w:hint="eastAsia"/>
                <w:color w:val="000000" w:themeColor="text1"/>
                <w:lang w:eastAsia="zh-CN"/>
                <w14:textFill>
                  <w14:solidFill>
                    <w14:schemeClr w14:val="tx1"/>
                  </w14:solidFill>
                </w14:textFill>
              </w:rPr>
              <w:t>怀化湖南华电通道太平山风电场项目</w:t>
            </w:r>
            <w:r>
              <w:rPr>
                <w:rFonts w:hint="eastAsia"/>
                <w:color w:val="000000" w:themeColor="text1"/>
                <w14:textFill>
                  <w14:solidFill>
                    <w14:schemeClr w14:val="tx1"/>
                  </w14:solidFill>
                </w14:textFill>
              </w:rPr>
              <w:t>场水土保持方案报告书</w:t>
            </w:r>
            <w:r>
              <w:rPr>
                <w:color w:val="000000" w:themeColor="text1"/>
                <w14:textFill>
                  <w14:solidFill>
                    <w14:schemeClr w14:val="tx1"/>
                  </w14:solidFill>
                </w14:textFill>
              </w:rPr>
              <w:t>》提出的各项保护措施。为保障各项措施得以认真执行，项目开工前应成立以建设单位为责任主体的环境管理机制，配备相关专业的专职或兼职人员，在招投标阶段、施工阶段进行环境监理与环境监测，强化工程竣工环保验收阶段的环境管理。建设单位应接受国家和地方</w:t>
            </w:r>
            <w:r>
              <w:rPr>
                <w:rFonts w:hint="eastAsia"/>
                <w:color w:val="000000" w:themeColor="text1"/>
                <w14:textFill>
                  <w14:solidFill>
                    <w14:schemeClr w14:val="tx1"/>
                  </w14:solidFill>
                </w14:textFill>
              </w:rPr>
              <w:t>生态环境</w:t>
            </w:r>
            <w:r>
              <w:rPr>
                <w:color w:val="000000" w:themeColor="text1"/>
                <w14:textFill>
                  <w14:solidFill>
                    <w14:schemeClr w14:val="tx1"/>
                  </w14:solidFill>
                </w14:textFill>
              </w:rPr>
              <w:t>部门的监督检查，对于工程建设过程中所产生的环境问题应建立报告制度，并及时得到处理，使环境问题得到有效控制。本工程环境管理任务见下表。地方水土保持与环保部门本着属地原则负责监督管理。</w:t>
            </w:r>
          </w:p>
          <w:p w14:paraId="0D7DBAB1">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下阶段应严格按照环境影响报告书的要求，将各项环保要求及措施落到实处，细化各单项环境保护设计，使其更具备可操作性、实践性，能指导环保工程施工。</w:t>
            </w:r>
          </w:p>
          <w:p w14:paraId="004E90AE">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1）进一步优化工程选址、选线，尽量减少升压站、风机、道路、集电线路施工对天然林或林木蓄积量较高林地的占用。施工过程中尽量少占临时用地，尽量少占土地、减少土石方开挖量及水土流失等。开挖土方优先进弃渣场集中处置，严禁乱堆乱弃；渣场及施工回填区应做好渣土挡护措施，防止滑坡。</w:t>
            </w:r>
          </w:p>
          <w:p w14:paraId="7FEEC128">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（2）施工过程若发现国家或地方保护植物、古树，工程应及时避让。如无法避让时，建设单位应立即停止施工，组织挽救，采取移栽、采种繁殖等措施进行保护，并及时报告当地林业部门。</w:t>
            </w:r>
          </w:p>
          <w:p w14:paraId="4AA6BC07">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（3）工程营运期间，应加强鸟类调查工作，如发生鸟类撞击风机的情况，应停止风机运行，研究产生鸟撞的原因，采取对策措施加以保护。 （4）建设单位在发包标书中应包含环境保护要求，明确承包商应承担环境保护责任。</w:t>
            </w:r>
            <w:r>
              <w:rPr>
                <w:rFonts w:hint="eastAsia"/>
                <w:color w:val="000000" w:themeColor="text1"/>
                <w:lang w:val="en-US" w:eastAsia="zh-CN"/>
                <w14:textFill>
                  <w14:solidFill>
                    <w14:schemeClr w14:val="tx1"/>
                  </w14:solidFill>
                </w14:textFill>
              </w:rPr>
              <w:t>明确</w:t>
            </w:r>
            <w:r>
              <w:rPr>
                <w:color w:val="000000" w:themeColor="text1"/>
                <w14:textFill>
                  <w14:solidFill>
                    <w14:schemeClr w14:val="tx1"/>
                  </w14:solidFill>
                </w14:textFill>
              </w:rPr>
              <w:t>环境保护目标责任制，结合本工程招投标承包体制，把环境保护目标纳入施工单位的承包任务中，并将环境保护落实到整个施工过程中。</w:t>
            </w:r>
          </w:p>
          <w:p w14:paraId="2E40C803">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（5）环境保护措施能否顺利实施关键在于资金是否及时到位，建设单位应高度重视环保投入，积极筹措资金，做到专款专用。</w:t>
            </w:r>
          </w:p>
          <w:p w14:paraId="51B615F9">
            <w:pPr>
              <w:adjustRightInd w:val="0"/>
              <w:snapToGrid w:val="0"/>
              <w:ind w:firstLine="480" w:firstLineChars="200"/>
              <w:rPr>
                <w:color w:val="000000" w:themeColor="text1"/>
                <w:kern w:val="0"/>
                <w14:textFill>
                  <w14:solidFill>
                    <w14:schemeClr w14:val="tx1"/>
                  </w14:solidFill>
                </w14:textFill>
              </w:rPr>
            </w:pPr>
            <w:r>
              <w:rPr>
                <w:color w:val="000000" w:themeColor="text1"/>
                <w14:textFill>
                  <w14:solidFill>
                    <w14:schemeClr w14:val="tx1"/>
                  </w14:solidFill>
                </w14:textFill>
              </w:rPr>
              <w:t>（6）严格控制风机机位选址，禁止擅自改变风机机位位置，必须确保风机周边声防护距离范围内没有新建居民居住。</w:t>
            </w:r>
          </w:p>
          <w:p w14:paraId="65E0CBE4">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（7）项目投入试运行后，应按照《建设项目竣工环境保护验收暂行办法》（国环规环评〔2017〕4号）及时办理项目环保竣工自主验收手续。</w:t>
            </w:r>
          </w:p>
          <w:p w14:paraId="0296651D">
            <w:pPr>
              <w:pStyle w:val="7"/>
              <w:adjustRightInd w:val="0"/>
              <w:snapToGrid w:val="0"/>
              <w:ind w:firstLine="480" w:firstLineChars="200"/>
              <w:rPr>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（8）</w:t>
            </w:r>
            <w:r>
              <w:rPr>
                <w:rFonts w:hint="eastAsia"/>
                <w:snapToGrid w:val="0"/>
                <w:color w:val="000000" w:themeColor="text1"/>
                <w:kern w:val="0"/>
                <w14:textFill>
                  <w14:solidFill>
                    <w14:schemeClr w14:val="tx1"/>
                  </w14:solidFill>
                </w14:textFill>
              </w:rPr>
              <w:t>建设单位应在</w:t>
            </w:r>
            <w:r>
              <w:rPr>
                <w:rFonts w:ascii="Times New Roman" w:hAnsi="Times New Roman"/>
                <w:snapToGrid w:val="0"/>
                <w:color w:val="000000" w:themeColor="text1"/>
                <w:kern w:val="0"/>
                <w14:textFill>
                  <w14:solidFill>
                    <w14:schemeClr w14:val="tx1"/>
                  </w14:solidFill>
                </w14:textFill>
              </w:rPr>
              <w:t>运营期</w:t>
            </w:r>
            <w:r>
              <w:rPr>
                <w:rFonts w:hint="eastAsia" w:ascii="Times New Roman" w:hAnsi="Times New Roman"/>
                <w:snapToGrid w:val="0"/>
                <w:color w:val="000000" w:themeColor="text1"/>
                <w:kern w:val="0"/>
                <w14:textFill>
                  <w14:solidFill>
                    <w14:schemeClr w14:val="tx1"/>
                  </w14:solidFill>
                </w14:textFill>
              </w:rPr>
              <w:t>对</w:t>
            </w:r>
            <w:r>
              <w:rPr>
                <w:rFonts w:ascii="Times New Roman" w:hAnsi="Times New Roman"/>
                <w:snapToGrid w:val="0"/>
                <w:color w:val="000000" w:themeColor="text1"/>
                <w:kern w:val="0"/>
                <w14:textFill>
                  <w14:solidFill>
                    <w14:schemeClr w14:val="tx1"/>
                  </w14:solidFill>
                </w14:textFill>
              </w:rPr>
              <w:t>风电机组运行噪声开展跟踪监测</w:t>
            </w:r>
            <w:r>
              <w:rPr>
                <w:rFonts w:hint="eastAsia" w:ascii="Times New Roman" w:hAnsi="Times New Roman"/>
                <w:snapToGrid w:val="0"/>
                <w:color w:val="000000" w:themeColor="text1"/>
                <w:kern w:val="0"/>
                <w14:textFill>
                  <w14:solidFill>
                    <w14:schemeClr w14:val="tx1"/>
                  </w14:solidFill>
                </w14:textFill>
              </w:rPr>
              <w:t>，预留</w:t>
            </w:r>
            <w:r>
              <w:rPr>
                <w:rFonts w:ascii="Times New Roman" w:hAnsi="Times New Roman"/>
                <w:color w:val="000000" w:themeColor="text1"/>
                <w14:textFill>
                  <w14:solidFill>
                    <w14:schemeClr w14:val="tx1"/>
                  </w14:solidFill>
                </w14:textFill>
              </w:rPr>
              <w:t>环保措施费用</w:t>
            </w:r>
            <w:r>
              <w:rPr>
                <w:rFonts w:hint="eastAsia" w:ascii="Times New Roman" w:hAnsi="Times New Roman"/>
                <w:color w:val="000000" w:themeColor="text1"/>
                <w14:textFill>
                  <w14:solidFill>
                    <w14:schemeClr w14:val="tx1"/>
                  </w14:solidFill>
                </w14:textFill>
              </w:rPr>
              <w:t>，</w:t>
            </w:r>
            <w:r>
              <w:rPr>
                <w:rFonts w:hint="eastAsia"/>
                <w:color w:val="000000" w:themeColor="text1"/>
                <w14:textFill>
                  <w14:solidFill>
                    <w14:schemeClr w14:val="tx1"/>
                  </w14:solidFill>
                </w14:textFill>
              </w:rPr>
              <w:t>一旦发现环境质量超标现象立即采取有效降噪措施，防止噪声超标影响附近居民正常的生活。</w:t>
            </w:r>
          </w:p>
          <w:p w14:paraId="0D770A41">
            <w:pPr>
              <w:adjustRightInd w:val="0"/>
              <w:snapToGrid w:val="0"/>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9</w:t>
            </w:r>
            <w:r>
              <w:rPr>
                <w:color w:val="000000" w:themeColor="text1"/>
                <w14:textFill>
                  <w14:solidFill>
                    <w14:schemeClr w14:val="tx1"/>
                  </w14:solidFill>
                </w14:textFill>
              </w:rPr>
              <w:t>）工程完工后尽快做好生态环境的恢复工作，以尽量减少生境破坏对动物的不利影响。每个风机基础施工完成后，在临时占地及其附近采用本土植被合理复绿，种植土著的常绿乔木，结合灌木和草本植物，尽快恢复动物生境及景观。</w:t>
            </w:r>
          </w:p>
          <w:p w14:paraId="668C7404">
            <w:pPr>
              <w:ind w:firstLine="480" w:firstLineChars="200"/>
              <w:rPr>
                <w:color w:val="000000" w:themeColor="text1"/>
                <w14:textFill>
                  <w14:solidFill>
                    <w14:schemeClr w14:val="tx1"/>
                  </w14:solidFill>
                </w14:textFill>
              </w:rPr>
            </w:pPr>
            <w:r>
              <w:rPr>
                <w:bCs/>
                <w:color w:val="000000" w:themeColor="text1"/>
                <w14:textFill>
                  <w14:solidFill>
                    <w14:schemeClr w14:val="tx1"/>
                  </w14:solidFill>
                </w14:textFill>
              </w:rPr>
              <w:t>（</w:t>
            </w:r>
            <w:r>
              <w:rPr>
                <w:rFonts w:hint="eastAsia"/>
                <w:bCs/>
                <w:color w:val="000000" w:themeColor="text1"/>
                <w14:textFill>
                  <w14:solidFill>
                    <w14:schemeClr w14:val="tx1"/>
                  </w14:solidFill>
                </w14:textFill>
              </w:rPr>
              <w:t>10</w:t>
            </w:r>
            <w:r>
              <w:rPr>
                <w:bCs/>
                <w:color w:val="000000" w:themeColor="text1"/>
                <w14:textFill>
                  <w14:solidFill>
                    <w14:schemeClr w14:val="tx1"/>
                  </w14:solidFill>
                </w14:textFill>
              </w:rPr>
              <w:t>）</w:t>
            </w:r>
            <w:r>
              <w:rPr>
                <w:color w:val="000000" w:themeColor="text1"/>
                <w14:textFill>
                  <w14:solidFill>
                    <w14:schemeClr w14:val="tx1"/>
                  </w14:solidFill>
                </w14:textFill>
              </w:rPr>
              <w:t>加强环境监督与管理，环境管理人员应深入施工现场，监督环保措施的实施；</w:t>
            </w:r>
          </w:p>
          <w:p w14:paraId="33815181">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11</w:t>
            </w:r>
            <w:r>
              <w:rPr>
                <w:color w:val="000000" w:themeColor="text1"/>
                <w14:textFill>
                  <w14:solidFill>
                    <w14:schemeClr w14:val="tx1"/>
                  </w14:solidFill>
                </w14:textFill>
              </w:rPr>
              <w:t>）加强对施工期及运营期环境风险的监管，建设单位应制定环境风险防范制度。</w:t>
            </w:r>
          </w:p>
          <w:p w14:paraId="45CE5BC2">
            <w:pPr>
              <w:pStyle w:val="8"/>
              <w:spacing w:line="240" w:lineRule="auto"/>
              <w:rPr>
                <w:color w:val="000000" w:themeColor="text1"/>
                <w:u w:val="none"/>
                <w14:textFill>
                  <w14:solidFill>
                    <w14:schemeClr w14:val="tx1"/>
                  </w14:solidFill>
                </w14:textFill>
              </w:rPr>
            </w:pPr>
            <w:r>
              <w:rPr>
                <w:color w:val="000000" w:themeColor="text1"/>
                <w:u w:val="none"/>
                <w14:textFill>
                  <w14:solidFill>
                    <w14:schemeClr w14:val="tx1"/>
                  </w14:solidFill>
                </w14:textFill>
              </w:rPr>
              <w:t>表</w:t>
            </w:r>
            <w:r>
              <w:rPr>
                <w:rFonts w:hint="eastAsia"/>
                <w:color w:val="000000" w:themeColor="text1"/>
                <w:u w:val="none"/>
                <w14:textFill>
                  <w14:solidFill>
                    <w14:schemeClr w14:val="tx1"/>
                  </w14:solidFill>
                </w14:textFill>
              </w:rPr>
              <w:t>5.14-2  本项目</w:t>
            </w:r>
            <w:r>
              <w:rPr>
                <w:color w:val="000000" w:themeColor="text1"/>
                <w:u w:val="none"/>
                <w14:textFill>
                  <w14:solidFill>
                    <w14:schemeClr w14:val="tx1"/>
                  </w14:solidFill>
                </w14:textFill>
              </w:rPr>
              <w:t>环境管理任务表</w:t>
            </w:r>
          </w:p>
          <w:tbl>
            <w:tblPr>
              <w:tblStyle w:val="26"/>
              <w:tblW w:w="76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5"/>
              <w:gridCol w:w="679"/>
              <w:gridCol w:w="1205"/>
              <w:gridCol w:w="3735"/>
              <w:gridCol w:w="1394"/>
            </w:tblGrid>
            <w:tr w14:paraId="61FE9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5" w:type="dxa"/>
                  <w:tcBorders>
                    <w:tl2br w:val="nil"/>
                    <w:tr2bl w:val="nil"/>
                  </w:tcBorders>
                  <w:vAlign w:val="center"/>
                </w:tcPr>
                <w:p w14:paraId="7F44F980">
                  <w:pPr>
                    <w:pStyle w:val="10"/>
                    <w:adjustRightInd w:val="0"/>
                    <w:spacing w:before="0" w:after="0" w:line="240" w:lineRule="auto"/>
                    <w:ind w:right="0"/>
                    <w:jc w:val="center"/>
                    <w:rPr>
                      <w:b/>
                      <w:bCs/>
                      <w:color w:val="000000" w:themeColor="text1"/>
                      <w:sz w:val="21"/>
                      <w:szCs w:val="21"/>
                      <w:u w:val="none"/>
                      <w14:textFill>
                        <w14:solidFill>
                          <w14:schemeClr w14:val="tx1"/>
                        </w14:solidFill>
                      </w14:textFill>
                    </w:rPr>
                  </w:pPr>
                  <w:r>
                    <w:rPr>
                      <w:b/>
                      <w:bCs/>
                      <w:color w:val="000000" w:themeColor="text1"/>
                      <w:sz w:val="21"/>
                      <w:szCs w:val="21"/>
                      <w:u w:val="none"/>
                      <w14:textFill>
                        <w14:solidFill>
                          <w14:schemeClr w14:val="tx1"/>
                        </w14:solidFill>
                      </w14:textFill>
                    </w:rPr>
                    <w:t>时期</w:t>
                  </w:r>
                </w:p>
              </w:tc>
              <w:tc>
                <w:tcPr>
                  <w:tcW w:w="1884" w:type="dxa"/>
                  <w:gridSpan w:val="2"/>
                  <w:tcBorders>
                    <w:tl2br w:val="nil"/>
                    <w:tr2bl w:val="nil"/>
                  </w:tcBorders>
                  <w:vAlign w:val="center"/>
                </w:tcPr>
                <w:p w14:paraId="4FC44412">
                  <w:pPr>
                    <w:pStyle w:val="10"/>
                    <w:adjustRightInd w:val="0"/>
                    <w:spacing w:before="0" w:after="0" w:line="240" w:lineRule="auto"/>
                    <w:ind w:right="0"/>
                    <w:jc w:val="center"/>
                    <w:rPr>
                      <w:b/>
                      <w:bCs/>
                      <w:color w:val="000000" w:themeColor="text1"/>
                      <w:sz w:val="21"/>
                      <w:szCs w:val="21"/>
                      <w:u w:val="none"/>
                      <w14:textFill>
                        <w14:solidFill>
                          <w14:schemeClr w14:val="tx1"/>
                        </w14:solidFill>
                      </w14:textFill>
                    </w:rPr>
                  </w:pPr>
                  <w:r>
                    <w:rPr>
                      <w:b/>
                      <w:bCs/>
                      <w:color w:val="000000" w:themeColor="text1"/>
                      <w:sz w:val="21"/>
                      <w:szCs w:val="21"/>
                      <w:u w:val="none"/>
                      <w14:textFill>
                        <w14:solidFill>
                          <w14:schemeClr w14:val="tx1"/>
                        </w14:solidFill>
                      </w14:textFill>
                    </w:rPr>
                    <w:t>项目</w:t>
                  </w:r>
                </w:p>
              </w:tc>
              <w:tc>
                <w:tcPr>
                  <w:tcW w:w="3735" w:type="dxa"/>
                  <w:tcBorders>
                    <w:tl2br w:val="nil"/>
                    <w:tr2bl w:val="nil"/>
                  </w:tcBorders>
                  <w:vAlign w:val="center"/>
                </w:tcPr>
                <w:p w14:paraId="1A4501FC">
                  <w:pPr>
                    <w:pStyle w:val="10"/>
                    <w:adjustRightInd w:val="0"/>
                    <w:spacing w:before="0" w:after="0" w:line="240" w:lineRule="auto"/>
                    <w:ind w:right="0"/>
                    <w:jc w:val="center"/>
                    <w:rPr>
                      <w:b/>
                      <w:bCs/>
                      <w:color w:val="000000" w:themeColor="text1"/>
                      <w:sz w:val="21"/>
                      <w:szCs w:val="21"/>
                      <w:u w:val="none"/>
                      <w14:textFill>
                        <w14:solidFill>
                          <w14:schemeClr w14:val="tx1"/>
                        </w14:solidFill>
                      </w14:textFill>
                    </w:rPr>
                  </w:pPr>
                  <w:r>
                    <w:rPr>
                      <w:b/>
                      <w:bCs/>
                      <w:color w:val="000000" w:themeColor="text1"/>
                      <w:sz w:val="21"/>
                      <w:szCs w:val="21"/>
                      <w:u w:val="none"/>
                      <w14:textFill>
                        <w14:solidFill>
                          <w14:schemeClr w14:val="tx1"/>
                        </w14:solidFill>
                      </w14:textFill>
                    </w:rPr>
                    <w:t>任务</w:t>
                  </w:r>
                </w:p>
              </w:tc>
              <w:tc>
                <w:tcPr>
                  <w:tcW w:w="1394" w:type="dxa"/>
                  <w:tcBorders>
                    <w:tl2br w:val="nil"/>
                    <w:tr2bl w:val="nil"/>
                  </w:tcBorders>
                  <w:vAlign w:val="center"/>
                </w:tcPr>
                <w:p w14:paraId="07EA7487">
                  <w:pPr>
                    <w:pStyle w:val="10"/>
                    <w:adjustRightInd w:val="0"/>
                    <w:spacing w:before="0" w:after="0" w:line="240" w:lineRule="auto"/>
                    <w:ind w:right="0"/>
                    <w:jc w:val="center"/>
                    <w:rPr>
                      <w:b/>
                      <w:bCs/>
                      <w:color w:val="000000" w:themeColor="text1"/>
                      <w:sz w:val="21"/>
                      <w:szCs w:val="21"/>
                      <w:u w:val="none"/>
                      <w14:textFill>
                        <w14:solidFill>
                          <w14:schemeClr w14:val="tx1"/>
                        </w14:solidFill>
                      </w14:textFill>
                    </w:rPr>
                  </w:pPr>
                  <w:r>
                    <w:rPr>
                      <w:b/>
                      <w:bCs/>
                      <w:color w:val="000000" w:themeColor="text1"/>
                      <w:sz w:val="21"/>
                      <w:szCs w:val="21"/>
                      <w:u w:val="none"/>
                      <w14:textFill>
                        <w14:solidFill>
                          <w14:schemeClr w14:val="tx1"/>
                        </w14:solidFill>
                      </w14:textFill>
                    </w:rPr>
                    <w:t>业主职责</w:t>
                  </w:r>
                </w:p>
              </w:tc>
            </w:tr>
            <w:tr w14:paraId="245D7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5" w:type="dxa"/>
                  <w:tcBorders>
                    <w:tl2br w:val="nil"/>
                    <w:tr2bl w:val="nil"/>
                  </w:tcBorders>
                  <w:vAlign w:val="center"/>
                </w:tcPr>
                <w:p w14:paraId="0D2532F3">
                  <w:pPr>
                    <w:pStyle w:val="10"/>
                    <w:adjustRightInd w:val="0"/>
                    <w:spacing w:before="0" w:after="0" w:line="240" w:lineRule="auto"/>
                    <w:ind w:right="0"/>
                    <w:rPr>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设计期</w:t>
                  </w:r>
                </w:p>
              </w:tc>
              <w:tc>
                <w:tcPr>
                  <w:tcW w:w="1884" w:type="dxa"/>
                  <w:gridSpan w:val="2"/>
                  <w:tcBorders>
                    <w:tl2br w:val="nil"/>
                    <w:tr2bl w:val="nil"/>
                  </w:tcBorders>
                  <w:vAlign w:val="center"/>
                </w:tcPr>
                <w:p w14:paraId="2B1AC11C">
                  <w:pPr>
                    <w:pStyle w:val="10"/>
                    <w:adjustRightInd w:val="0"/>
                    <w:spacing w:before="0" w:after="0" w:line="240" w:lineRule="auto"/>
                    <w:ind w:right="0"/>
                    <w:rPr>
                      <w:color w:val="000000" w:themeColor="text1"/>
                      <w:sz w:val="21"/>
                      <w:szCs w:val="21"/>
                      <w:u w:val="none"/>
                      <w14:textFill>
                        <w14:solidFill>
                          <w14:schemeClr w14:val="tx1"/>
                        </w14:solidFill>
                      </w14:textFill>
                    </w:rPr>
                  </w:pPr>
                  <w:r>
                    <w:rPr>
                      <w:rFonts w:hint="eastAsia"/>
                      <w:color w:val="000000" w:themeColor="text1"/>
                      <w:sz w:val="21"/>
                      <w:szCs w:val="21"/>
                      <w:u w:val="none"/>
                      <w14:textFill>
                        <w14:solidFill>
                          <w14:schemeClr w14:val="tx1"/>
                        </w14:solidFill>
                      </w14:textFill>
                    </w:rPr>
                    <w:t>减少对地表植被的破坏</w:t>
                  </w:r>
                </w:p>
              </w:tc>
              <w:tc>
                <w:tcPr>
                  <w:tcW w:w="3735" w:type="dxa"/>
                  <w:tcBorders>
                    <w:tl2br w:val="nil"/>
                    <w:tr2bl w:val="nil"/>
                  </w:tcBorders>
                  <w:vAlign w:val="center"/>
                </w:tcPr>
                <w:p w14:paraId="07A55943">
                  <w:pPr>
                    <w:pStyle w:val="10"/>
                    <w:adjustRightInd w:val="0"/>
                    <w:spacing w:before="0" w:after="0" w:line="240" w:lineRule="auto"/>
                    <w:ind w:right="0"/>
                    <w:rPr>
                      <w:color w:val="000000" w:themeColor="text1"/>
                      <w:sz w:val="21"/>
                      <w:szCs w:val="21"/>
                      <w:u w:val="none"/>
                      <w14:textFill>
                        <w14:solidFill>
                          <w14:schemeClr w14:val="tx1"/>
                        </w14:solidFill>
                      </w14:textFill>
                    </w:rPr>
                  </w:pPr>
                  <w:r>
                    <w:rPr>
                      <w:rFonts w:hint="eastAsia"/>
                      <w:color w:val="000000" w:themeColor="text1"/>
                      <w:sz w:val="21"/>
                      <w:szCs w:val="21"/>
                      <w:u w:val="none"/>
                      <w14:textFill>
                        <w14:solidFill>
                          <w14:schemeClr w14:val="tx1"/>
                        </w14:solidFill>
                      </w14:textFill>
                    </w:rPr>
                    <w:t>优化场内道路设计</w:t>
                  </w:r>
                </w:p>
              </w:tc>
              <w:tc>
                <w:tcPr>
                  <w:tcW w:w="1394" w:type="dxa"/>
                  <w:tcBorders>
                    <w:tl2br w:val="nil"/>
                    <w:tr2bl w:val="nil"/>
                  </w:tcBorders>
                  <w:vAlign w:val="center"/>
                </w:tcPr>
                <w:p w14:paraId="26A74003">
                  <w:pPr>
                    <w:pStyle w:val="10"/>
                    <w:adjustRightInd w:val="0"/>
                    <w:spacing w:before="0" w:after="0" w:line="240" w:lineRule="auto"/>
                    <w:ind w:right="0"/>
                    <w:rPr>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协调设计，审查调整结果</w:t>
                  </w:r>
                </w:p>
              </w:tc>
            </w:tr>
            <w:tr w14:paraId="339A1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5" w:type="dxa"/>
                  <w:vMerge w:val="restart"/>
                  <w:tcBorders>
                    <w:tl2br w:val="nil"/>
                    <w:tr2bl w:val="nil"/>
                  </w:tcBorders>
                  <w:vAlign w:val="center"/>
                </w:tcPr>
                <w:p w14:paraId="0BCC6178">
                  <w:pPr>
                    <w:pStyle w:val="10"/>
                    <w:adjustRightInd w:val="0"/>
                    <w:spacing w:before="0" w:after="0" w:line="240" w:lineRule="auto"/>
                    <w:ind w:right="0"/>
                    <w:rPr>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施</w:t>
                  </w:r>
                </w:p>
                <w:p w14:paraId="65073F85">
                  <w:pPr>
                    <w:pStyle w:val="10"/>
                    <w:adjustRightInd w:val="0"/>
                    <w:spacing w:before="0" w:after="0" w:line="240" w:lineRule="auto"/>
                    <w:ind w:right="0"/>
                    <w:rPr>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工</w:t>
                  </w:r>
                </w:p>
                <w:p w14:paraId="4B8250DA">
                  <w:pPr>
                    <w:pStyle w:val="10"/>
                    <w:adjustRightInd w:val="0"/>
                    <w:spacing w:before="0" w:after="0" w:line="240" w:lineRule="auto"/>
                    <w:ind w:right="0"/>
                    <w:rPr>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期</w:t>
                  </w:r>
                </w:p>
              </w:tc>
              <w:tc>
                <w:tcPr>
                  <w:tcW w:w="679" w:type="dxa"/>
                  <w:vMerge w:val="restart"/>
                  <w:tcBorders>
                    <w:tl2br w:val="nil"/>
                    <w:tr2bl w:val="nil"/>
                  </w:tcBorders>
                  <w:vAlign w:val="center"/>
                </w:tcPr>
                <w:p w14:paraId="74413B80">
                  <w:pPr>
                    <w:pStyle w:val="10"/>
                    <w:adjustRightInd w:val="0"/>
                    <w:spacing w:before="0" w:after="0" w:line="240" w:lineRule="auto"/>
                    <w:ind w:right="0"/>
                    <w:rPr>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水环境</w:t>
                  </w:r>
                </w:p>
              </w:tc>
              <w:tc>
                <w:tcPr>
                  <w:tcW w:w="1205" w:type="dxa"/>
                  <w:tcBorders>
                    <w:tl2br w:val="nil"/>
                    <w:tr2bl w:val="nil"/>
                  </w:tcBorders>
                  <w:vAlign w:val="center"/>
                </w:tcPr>
                <w:p w14:paraId="5459A80D">
                  <w:pPr>
                    <w:pStyle w:val="10"/>
                    <w:adjustRightInd w:val="0"/>
                    <w:spacing w:before="0" w:after="0" w:line="240" w:lineRule="auto"/>
                    <w:ind w:right="0"/>
                    <w:rPr>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生产废水</w:t>
                  </w:r>
                </w:p>
              </w:tc>
              <w:tc>
                <w:tcPr>
                  <w:tcW w:w="3735" w:type="dxa"/>
                  <w:tcBorders>
                    <w:tl2br w:val="nil"/>
                    <w:tr2bl w:val="nil"/>
                  </w:tcBorders>
                  <w:vAlign w:val="center"/>
                </w:tcPr>
                <w:p w14:paraId="776AFEBA">
                  <w:pPr>
                    <w:pStyle w:val="10"/>
                    <w:adjustRightInd w:val="0"/>
                    <w:spacing w:before="0" w:after="0" w:line="240" w:lineRule="auto"/>
                    <w:ind w:right="0"/>
                    <w:rPr>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生产废水采取沉淀加隔油池处理</w:t>
                  </w:r>
                </w:p>
              </w:tc>
              <w:tc>
                <w:tcPr>
                  <w:tcW w:w="1394" w:type="dxa"/>
                  <w:vMerge w:val="restart"/>
                  <w:tcBorders>
                    <w:tl2br w:val="nil"/>
                    <w:tr2bl w:val="nil"/>
                  </w:tcBorders>
                  <w:vAlign w:val="center"/>
                </w:tcPr>
                <w:p w14:paraId="637AE238">
                  <w:pPr>
                    <w:pStyle w:val="10"/>
                    <w:adjustRightInd w:val="0"/>
                    <w:spacing w:before="0" w:after="0" w:line="240" w:lineRule="auto"/>
                    <w:ind w:right="0"/>
                    <w:rPr>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负责有关事务安排，支付费用，监督进展情况。</w:t>
                  </w:r>
                </w:p>
              </w:tc>
            </w:tr>
            <w:tr w14:paraId="00F6E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5" w:type="dxa"/>
                  <w:vMerge w:val="continue"/>
                  <w:tcBorders>
                    <w:tl2br w:val="nil"/>
                    <w:tr2bl w:val="nil"/>
                  </w:tcBorders>
                  <w:vAlign w:val="center"/>
                </w:tcPr>
                <w:p w14:paraId="68CF8D75">
                  <w:pPr>
                    <w:pStyle w:val="10"/>
                    <w:adjustRightInd w:val="0"/>
                    <w:spacing w:before="0" w:after="0" w:line="240" w:lineRule="auto"/>
                    <w:ind w:right="0"/>
                    <w:rPr>
                      <w:color w:val="000000" w:themeColor="text1"/>
                      <w:sz w:val="21"/>
                      <w:szCs w:val="21"/>
                      <w:u w:val="none"/>
                      <w14:textFill>
                        <w14:solidFill>
                          <w14:schemeClr w14:val="tx1"/>
                        </w14:solidFill>
                      </w14:textFill>
                    </w:rPr>
                  </w:pPr>
                </w:p>
              </w:tc>
              <w:tc>
                <w:tcPr>
                  <w:tcW w:w="679" w:type="dxa"/>
                  <w:vMerge w:val="continue"/>
                  <w:tcBorders>
                    <w:tl2br w:val="nil"/>
                    <w:tr2bl w:val="nil"/>
                  </w:tcBorders>
                  <w:vAlign w:val="center"/>
                </w:tcPr>
                <w:p w14:paraId="061D3EFC">
                  <w:pPr>
                    <w:pStyle w:val="10"/>
                    <w:adjustRightInd w:val="0"/>
                    <w:spacing w:before="0" w:after="0" w:line="240" w:lineRule="auto"/>
                    <w:ind w:right="0"/>
                    <w:rPr>
                      <w:color w:val="000000" w:themeColor="text1"/>
                      <w:sz w:val="21"/>
                      <w:szCs w:val="21"/>
                      <w:u w:val="none"/>
                      <w14:textFill>
                        <w14:solidFill>
                          <w14:schemeClr w14:val="tx1"/>
                        </w14:solidFill>
                      </w14:textFill>
                    </w:rPr>
                  </w:pPr>
                </w:p>
              </w:tc>
              <w:tc>
                <w:tcPr>
                  <w:tcW w:w="1205" w:type="dxa"/>
                  <w:tcBorders>
                    <w:tl2br w:val="nil"/>
                    <w:tr2bl w:val="nil"/>
                  </w:tcBorders>
                  <w:vAlign w:val="center"/>
                </w:tcPr>
                <w:p w14:paraId="129E9992">
                  <w:pPr>
                    <w:pStyle w:val="10"/>
                    <w:adjustRightInd w:val="0"/>
                    <w:spacing w:before="0" w:after="0" w:line="240" w:lineRule="auto"/>
                    <w:ind w:right="0"/>
                    <w:rPr>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生活污水</w:t>
                  </w:r>
                </w:p>
              </w:tc>
              <w:tc>
                <w:tcPr>
                  <w:tcW w:w="3735" w:type="dxa"/>
                  <w:tcBorders>
                    <w:tl2br w:val="nil"/>
                    <w:tr2bl w:val="nil"/>
                  </w:tcBorders>
                  <w:vAlign w:val="center"/>
                </w:tcPr>
                <w:p w14:paraId="1ACD5A39">
                  <w:pPr>
                    <w:pStyle w:val="10"/>
                    <w:adjustRightInd w:val="0"/>
                    <w:spacing w:before="0" w:after="0" w:line="240" w:lineRule="auto"/>
                    <w:ind w:right="0"/>
                    <w:rPr>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生活污水通过化粪池处理后回用</w:t>
                  </w:r>
                </w:p>
              </w:tc>
              <w:tc>
                <w:tcPr>
                  <w:tcW w:w="1394" w:type="dxa"/>
                  <w:vMerge w:val="continue"/>
                  <w:tcBorders>
                    <w:tl2br w:val="nil"/>
                    <w:tr2bl w:val="nil"/>
                  </w:tcBorders>
                  <w:vAlign w:val="center"/>
                </w:tcPr>
                <w:p w14:paraId="5A29F503">
                  <w:pPr>
                    <w:pStyle w:val="10"/>
                    <w:adjustRightInd w:val="0"/>
                    <w:spacing w:before="0" w:after="0" w:line="240" w:lineRule="auto"/>
                    <w:ind w:right="0"/>
                    <w:rPr>
                      <w:color w:val="000000" w:themeColor="text1"/>
                      <w:sz w:val="21"/>
                      <w:szCs w:val="21"/>
                      <w:u w:val="none"/>
                      <w14:textFill>
                        <w14:solidFill>
                          <w14:schemeClr w14:val="tx1"/>
                        </w14:solidFill>
                      </w14:textFill>
                    </w:rPr>
                  </w:pPr>
                </w:p>
              </w:tc>
            </w:tr>
            <w:tr w14:paraId="77CAC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5" w:type="dxa"/>
                  <w:vMerge w:val="continue"/>
                  <w:tcBorders>
                    <w:tl2br w:val="nil"/>
                    <w:tr2bl w:val="nil"/>
                  </w:tcBorders>
                  <w:vAlign w:val="center"/>
                </w:tcPr>
                <w:p w14:paraId="6CCD5FDA">
                  <w:pPr>
                    <w:pStyle w:val="10"/>
                    <w:adjustRightInd w:val="0"/>
                    <w:spacing w:before="0" w:after="0" w:line="240" w:lineRule="auto"/>
                    <w:ind w:right="0"/>
                    <w:rPr>
                      <w:color w:val="000000" w:themeColor="text1"/>
                      <w:sz w:val="21"/>
                      <w:szCs w:val="21"/>
                      <w:u w:val="none"/>
                      <w14:textFill>
                        <w14:solidFill>
                          <w14:schemeClr w14:val="tx1"/>
                        </w14:solidFill>
                      </w14:textFill>
                    </w:rPr>
                  </w:pPr>
                </w:p>
              </w:tc>
              <w:tc>
                <w:tcPr>
                  <w:tcW w:w="679" w:type="dxa"/>
                  <w:tcBorders>
                    <w:tl2br w:val="nil"/>
                    <w:tr2bl w:val="nil"/>
                  </w:tcBorders>
                  <w:vAlign w:val="center"/>
                </w:tcPr>
                <w:p w14:paraId="4C70F196">
                  <w:pPr>
                    <w:pStyle w:val="10"/>
                    <w:adjustRightInd w:val="0"/>
                    <w:spacing w:before="0" w:after="0" w:line="240" w:lineRule="auto"/>
                    <w:ind w:right="0"/>
                    <w:rPr>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大气环境</w:t>
                  </w:r>
                </w:p>
              </w:tc>
              <w:tc>
                <w:tcPr>
                  <w:tcW w:w="1205" w:type="dxa"/>
                  <w:tcBorders>
                    <w:tl2br w:val="nil"/>
                    <w:tr2bl w:val="nil"/>
                  </w:tcBorders>
                  <w:vAlign w:val="center"/>
                </w:tcPr>
                <w:p w14:paraId="1F120A71">
                  <w:pPr>
                    <w:pStyle w:val="10"/>
                    <w:adjustRightInd w:val="0"/>
                    <w:spacing w:before="0" w:after="0" w:line="240" w:lineRule="auto"/>
                    <w:ind w:right="0"/>
                    <w:rPr>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粉尘及尾气</w:t>
                  </w:r>
                </w:p>
              </w:tc>
              <w:tc>
                <w:tcPr>
                  <w:tcW w:w="3735" w:type="dxa"/>
                  <w:tcBorders>
                    <w:tl2br w:val="nil"/>
                    <w:tr2bl w:val="nil"/>
                  </w:tcBorders>
                  <w:vAlign w:val="center"/>
                </w:tcPr>
                <w:p w14:paraId="7C958B44">
                  <w:pPr>
                    <w:pStyle w:val="10"/>
                    <w:adjustRightInd w:val="0"/>
                    <w:spacing w:before="0" w:after="0" w:line="240" w:lineRule="auto"/>
                    <w:ind w:right="0"/>
                    <w:rPr>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洒水降尘，干旱季节每天</w:t>
                  </w:r>
                  <w:r>
                    <w:rPr>
                      <w:rFonts w:hint="eastAsia"/>
                      <w:color w:val="000000" w:themeColor="text1"/>
                      <w:sz w:val="21"/>
                      <w:szCs w:val="21"/>
                      <w:u w:val="none"/>
                      <w14:textFill>
                        <w14:solidFill>
                          <w14:schemeClr w14:val="tx1"/>
                        </w14:solidFill>
                      </w14:textFill>
                    </w:rPr>
                    <w:t>4</w:t>
                  </w:r>
                  <w:r>
                    <w:rPr>
                      <w:color w:val="000000" w:themeColor="text1"/>
                      <w:sz w:val="21"/>
                      <w:szCs w:val="21"/>
                      <w:u w:val="none"/>
                      <w14:textFill>
                        <w14:solidFill>
                          <w14:schemeClr w14:val="tx1"/>
                        </w14:solidFill>
                      </w14:textFill>
                    </w:rPr>
                    <w:t>~</w:t>
                  </w:r>
                  <w:r>
                    <w:rPr>
                      <w:rFonts w:hint="eastAsia"/>
                      <w:color w:val="000000" w:themeColor="text1"/>
                      <w:sz w:val="21"/>
                      <w:szCs w:val="21"/>
                      <w:u w:val="none"/>
                      <w14:textFill>
                        <w14:solidFill>
                          <w14:schemeClr w14:val="tx1"/>
                        </w14:solidFill>
                      </w14:textFill>
                    </w:rPr>
                    <w:t>5</w:t>
                  </w:r>
                  <w:r>
                    <w:rPr>
                      <w:color w:val="000000" w:themeColor="text1"/>
                      <w:sz w:val="21"/>
                      <w:szCs w:val="21"/>
                      <w:u w:val="none"/>
                      <w14:textFill>
                        <w14:solidFill>
                          <w14:schemeClr w14:val="tx1"/>
                        </w14:solidFill>
                      </w14:textFill>
                    </w:rPr>
                    <w:t>次。选择符合环保标准的施工机械，并定期维修保养</w:t>
                  </w:r>
                </w:p>
              </w:tc>
              <w:tc>
                <w:tcPr>
                  <w:tcW w:w="1394" w:type="dxa"/>
                  <w:vMerge w:val="continue"/>
                  <w:tcBorders>
                    <w:tl2br w:val="nil"/>
                    <w:tr2bl w:val="nil"/>
                  </w:tcBorders>
                  <w:vAlign w:val="center"/>
                </w:tcPr>
                <w:p w14:paraId="0ABC2804">
                  <w:pPr>
                    <w:pStyle w:val="10"/>
                    <w:adjustRightInd w:val="0"/>
                    <w:spacing w:before="0" w:after="0" w:line="240" w:lineRule="auto"/>
                    <w:ind w:right="0"/>
                    <w:rPr>
                      <w:color w:val="000000" w:themeColor="text1"/>
                      <w:sz w:val="21"/>
                      <w:szCs w:val="21"/>
                      <w:u w:val="none"/>
                      <w14:textFill>
                        <w14:solidFill>
                          <w14:schemeClr w14:val="tx1"/>
                        </w14:solidFill>
                      </w14:textFill>
                    </w:rPr>
                  </w:pPr>
                </w:p>
              </w:tc>
            </w:tr>
            <w:tr w14:paraId="20A61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5" w:type="dxa"/>
                  <w:vMerge w:val="continue"/>
                  <w:tcBorders>
                    <w:tl2br w:val="nil"/>
                    <w:tr2bl w:val="nil"/>
                  </w:tcBorders>
                  <w:vAlign w:val="center"/>
                </w:tcPr>
                <w:p w14:paraId="18F05E06">
                  <w:pPr>
                    <w:pStyle w:val="10"/>
                    <w:adjustRightInd w:val="0"/>
                    <w:spacing w:before="0" w:after="0" w:line="240" w:lineRule="auto"/>
                    <w:ind w:right="0"/>
                    <w:rPr>
                      <w:color w:val="000000" w:themeColor="text1"/>
                      <w:sz w:val="21"/>
                      <w:szCs w:val="21"/>
                      <w:u w:val="none"/>
                      <w14:textFill>
                        <w14:solidFill>
                          <w14:schemeClr w14:val="tx1"/>
                        </w14:solidFill>
                      </w14:textFill>
                    </w:rPr>
                  </w:pPr>
                </w:p>
              </w:tc>
              <w:tc>
                <w:tcPr>
                  <w:tcW w:w="679" w:type="dxa"/>
                  <w:tcBorders>
                    <w:tl2br w:val="nil"/>
                    <w:tr2bl w:val="nil"/>
                  </w:tcBorders>
                  <w:vAlign w:val="center"/>
                </w:tcPr>
                <w:p w14:paraId="7D495835">
                  <w:pPr>
                    <w:pStyle w:val="10"/>
                    <w:adjustRightInd w:val="0"/>
                    <w:spacing w:before="0" w:after="0" w:line="240" w:lineRule="auto"/>
                    <w:ind w:right="0"/>
                    <w:rPr>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声环境</w:t>
                  </w:r>
                </w:p>
              </w:tc>
              <w:tc>
                <w:tcPr>
                  <w:tcW w:w="1205" w:type="dxa"/>
                  <w:tcBorders>
                    <w:tl2br w:val="nil"/>
                    <w:tr2bl w:val="nil"/>
                  </w:tcBorders>
                  <w:vAlign w:val="center"/>
                </w:tcPr>
                <w:p w14:paraId="7E490BAD">
                  <w:pPr>
                    <w:pStyle w:val="10"/>
                    <w:adjustRightInd w:val="0"/>
                    <w:spacing w:before="0" w:after="0" w:line="240" w:lineRule="auto"/>
                    <w:ind w:right="0"/>
                    <w:rPr>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施工机械</w:t>
                  </w:r>
                </w:p>
                <w:p w14:paraId="1695A258">
                  <w:pPr>
                    <w:pStyle w:val="10"/>
                    <w:adjustRightInd w:val="0"/>
                    <w:spacing w:before="0" w:after="0" w:line="240" w:lineRule="auto"/>
                    <w:ind w:right="0"/>
                    <w:rPr>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噪声</w:t>
                  </w:r>
                </w:p>
              </w:tc>
              <w:tc>
                <w:tcPr>
                  <w:tcW w:w="3735" w:type="dxa"/>
                  <w:tcBorders>
                    <w:tl2br w:val="nil"/>
                    <w:tr2bl w:val="nil"/>
                  </w:tcBorders>
                  <w:vAlign w:val="center"/>
                </w:tcPr>
                <w:p w14:paraId="5842806A">
                  <w:pPr>
                    <w:pStyle w:val="10"/>
                    <w:adjustRightInd w:val="0"/>
                    <w:spacing w:before="0" w:after="0" w:line="240" w:lineRule="auto"/>
                    <w:ind w:right="0"/>
                    <w:rPr>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禁止夜间爆破、采取低噪声工艺和设备、禁止夜间运行高噪声设备；居民点附近</w:t>
                  </w:r>
                  <w:r>
                    <w:rPr>
                      <w:rFonts w:hint="eastAsia"/>
                      <w:color w:val="000000" w:themeColor="text1"/>
                      <w:sz w:val="21"/>
                      <w:szCs w:val="21"/>
                      <w:u w:val="none"/>
                      <w14:textFill>
                        <w14:solidFill>
                          <w14:schemeClr w14:val="tx1"/>
                        </w14:solidFill>
                      </w14:textFill>
                    </w:rPr>
                    <w:t>新建道路</w:t>
                  </w:r>
                  <w:r>
                    <w:rPr>
                      <w:color w:val="000000" w:themeColor="text1"/>
                      <w:sz w:val="21"/>
                      <w:szCs w:val="21"/>
                      <w:u w:val="none"/>
                      <w14:textFill>
                        <w14:solidFill>
                          <w14:schemeClr w14:val="tx1"/>
                        </w14:solidFill>
                      </w14:textFill>
                    </w:rPr>
                    <w:t>时，合理安排施工时间，提前告知附近居民</w:t>
                  </w:r>
                </w:p>
              </w:tc>
              <w:tc>
                <w:tcPr>
                  <w:tcW w:w="1394" w:type="dxa"/>
                  <w:vMerge w:val="continue"/>
                  <w:tcBorders>
                    <w:tl2br w:val="nil"/>
                    <w:tr2bl w:val="nil"/>
                  </w:tcBorders>
                  <w:vAlign w:val="center"/>
                </w:tcPr>
                <w:p w14:paraId="127DBF72">
                  <w:pPr>
                    <w:pStyle w:val="10"/>
                    <w:adjustRightInd w:val="0"/>
                    <w:spacing w:before="0" w:after="0" w:line="240" w:lineRule="auto"/>
                    <w:ind w:right="0"/>
                    <w:rPr>
                      <w:color w:val="000000" w:themeColor="text1"/>
                      <w:sz w:val="21"/>
                      <w:szCs w:val="21"/>
                      <w:u w:val="none"/>
                      <w14:textFill>
                        <w14:solidFill>
                          <w14:schemeClr w14:val="tx1"/>
                        </w14:solidFill>
                      </w14:textFill>
                    </w:rPr>
                  </w:pPr>
                </w:p>
              </w:tc>
            </w:tr>
            <w:tr w14:paraId="32B42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5" w:type="dxa"/>
                  <w:vMerge w:val="continue"/>
                  <w:tcBorders>
                    <w:tl2br w:val="nil"/>
                    <w:tr2bl w:val="nil"/>
                  </w:tcBorders>
                  <w:vAlign w:val="center"/>
                </w:tcPr>
                <w:p w14:paraId="53AD24F6">
                  <w:pPr>
                    <w:pStyle w:val="10"/>
                    <w:adjustRightInd w:val="0"/>
                    <w:spacing w:before="0" w:after="0" w:line="240" w:lineRule="auto"/>
                    <w:ind w:right="0"/>
                    <w:rPr>
                      <w:color w:val="000000" w:themeColor="text1"/>
                      <w:sz w:val="21"/>
                      <w:szCs w:val="21"/>
                      <w:u w:val="none"/>
                      <w14:textFill>
                        <w14:solidFill>
                          <w14:schemeClr w14:val="tx1"/>
                        </w14:solidFill>
                      </w14:textFill>
                    </w:rPr>
                  </w:pPr>
                </w:p>
              </w:tc>
              <w:tc>
                <w:tcPr>
                  <w:tcW w:w="679" w:type="dxa"/>
                  <w:vMerge w:val="restart"/>
                  <w:tcBorders>
                    <w:tl2br w:val="nil"/>
                    <w:tr2bl w:val="nil"/>
                  </w:tcBorders>
                  <w:vAlign w:val="center"/>
                </w:tcPr>
                <w:p w14:paraId="1B01DE32">
                  <w:pPr>
                    <w:pStyle w:val="10"/>
                    <w:adjustRightInd w:val="0"/>
                    <w:spacing w:before="0" w:after="0" w:line="240" w:lineRule="auto"/>
                    <w:ind w:right="0"/>
                    <w:rPr>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固体废物</w:t>
                  </w:r>
                </w:p>
              </w:tc>
              <w:tc>
                <w:tcPr>
                  <w:tcW w:w="1205" w:type="dxa"/>
                  <w:tcBorders>
                    <w:tl2br w:val="nil"/>
                    <w:tr2bl w:val="nil"/>
                  </w:tcBorders>
                  <w:vAlign w:val="center"/>
                </w:tcPr>
                <w:p w14:paraId="40B7604B">
                  <w:pPr>
                    <w:pStyle w:val="10"/>
                    <w:adjustRightInd w:val="0"/>
                    <w:spacing w:before="0" w:after="0" w:line="240" w:lineRule="auto"/>
                    <w:ind w:right="0"/>
                    <w:rPr>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生活垃圾</w:t>
                  </w:r>
                </w:p>
              </w:tc>
              <w:tc>
                <w:tcPr>
                  <w:tcW w:w="3735" w:type="dxa"/>
                  <w:tcBorders>
                    <w:tl2br w:val="nil"/>
                    <w:tr2bl w:val="nil"/>
                  </w:tcBorders>
                  <w:vAlign w:val="center"/>
                </w:tcPr>
                <w:p w14:paraId="751D9E50">
                  <w:pPr>
                    <w:pStyle w:val="10"/>
                    <w:adjustRightInd w:val="0"/>
                    <w:spacing w:before="0" w:after="0" w:line="240" w:lineRule="auto"/>
                    <w:ind w:right="0"/>
                    <w:rPr>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施工期采用垃圾桶分类收集，交由乡镇环卫部门统一收集处置</w:t>
                  </w:r>
                </w:p>
              </w:tc>
              <w:tc>
                <w:tcPr>
                  <w:tcW w:w="1394" w:type="dxa"/>
                  <w:vMerge w:val="continue"/>
                  <w:tcBorders>
                    <w:tl2br w:val="nil"/>
                    <w:tr2bl w:val="nil"/>
                  </w:tcBorders>
                  <w:vAlign w:val="center"/>
                </w:tcPr>
                <w:p w14:paraId="2D013ED4">
                  <w:pPr>
                    <w:pStyle w:val="10"/>
                    <w:adjustRightInd w:val="0"/>
                    <w:spacing w:before="0" w:after="0" w:line="240" w:lineRule="auto"/>
                    <w:ind w:right="0"/>
                    <w:rPr>
                      <w:color w:val="000000" w:themeColor="text1"/>
                      <w:sz w:val="21"/>
                      <w:szCs w:val="21"/>
                      <w:u w:val="none"/>
                      <w14:textFill>
                        <w14:solidFill>
                          <w14:schemeClr w14:val="tx1"/>
                        </w14:solidFill>
                      </w14:textFill>
                    </w:rPr>
                  </w:pPr>
                </w:p>
              </w:tc>
            </w:tr>
            <w:tr w14:paraId="6906D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5" w:type="dxa"/>
                  <w:vMerge w:val="continue"/>
                  <w:tcBorders>
                    <w:tl2br w:val="nil"/>
                    <w:tr2bl w:val="nil"/>
                  </w:tcBorders>
                  <w:vAlign w:val="center"/>
                </w:tcPr>
                <w:p w14:paraId="44487634">
                  <w:pPr>
                    <w:pStyle w:val="10"/>
                    <w:adjustRightInd w:val="0"/>
                    <w:spacing w:before="0" w:after="0" w:line="240" w:lineRule="auto"/>
                    <w:ind w:right="0"/>
                    <w:rPr>
                      <w:color w:val="000000" w:themeColor="text1"/>
                      <w:sz w:val="21"/>
                      <w:szCs w:val="21"/>
                      <w:u w:val="none"/>
                      <w14:textFill>
                        <w14:solidFill>
                          <w14:schemeClr w14:val="tx1"/>
                        </w14:solidFill>
                      </w14:textFill>
                    </w:rPr>
                  </w:pPr>
                </w:p>
              </w:tc>
              <w:tc>
                <w:tcPr>
                  <w:tcW w:w="679" w:type="dxa"/>
                  <w:vMerge w:val="continue"/>
                  <w:tcBorders>
                    <w:tl2br w:val="nil"/>
                    <w:tr2bl w:val="nil"/>
                  </w:tcBorders>
                  <w:vAlign w:val="center"/>
                </w:tcPr>
                <w:p w14:paraId="4137593D">
                  <w:pPr>
                    <w:pStyle w:val="10"/>
                    <w:adjustRightInd w:val="0"/>
                    <w:spacing w:before="0" w:after="0" w:line="240" w:lineRule="auto"/>
                    <w:ind w:right="0"/>
                    <w:rPr>
                      <w:color w:val="000000" w:themeColor="text1"/>
                      <w:sz w:val="21"/>
                      <w:szCs w:val="21"/>
                      <w:u w:val="none"/>
                      <w14:textFill>
                        <w14:solidFill>
                          <w14:schemeClr w14:val="tx1"/>
                        </w14:solidFill>
                      </w14:textFill>
                    </w:rPr>
                  </w:pPr>
                </w:p>
              </w:tc>
              <w:tc>
                <w:tcPr>
                  <w:tcW w:w="1205" w:type="dxa"/>
                  <w:tcBorders>
                    <w:tl2br w:val="nil"/>
                    <w:tr2bl w:val="nil"/>
                  </w:tcBorders>
                  <w:vAlign w:val="center"/>
                </w:tcPr>
                <w:p w14:paraId="6F4133B3">
                  <w:pPr>
                    <w:pStyle w:val="10"/>
                    <w:adjustRightInd w:val="0"/>
                    <w:spacing w:before="0" w:after="0" w:line="240" w:lineRule="auto"/>
                    <w:ind w:right="0"/>
                    <w:rPr>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弃渣</w:t>
                  </w:r>
                </w:p>
              </w:tc>
              <w:tc>
                <w:tcPr>
                  <w:tcW w:w="3735" w:type="dxa"/>
                  <w:tcBorders>
                    <w:tl2br w:val="nil"/>
                    <w:tr2bl w:val="nil"/>
                  </w:tcBorders>
                  <w:vAlign w:val="center"/>
                </w:tcPr>
                <w:p w14:paraId="20252DE0">
                  <w:pPr>
                    <w:pStyle w:val="10"/>
                    <w:adjustRightInd w:val="0"/>
                    <w:spacing w:before="0" w:after="0" w:line="240" w:lineRule="auto"/>
                    <w:ind w:right="0"/>
                    <w:rPr>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表土收集堆存，规范堆存于弃渣场或表土场，施工结束后对弃渣进行覆土绿化</w:t>
                  </w:r>
                </w:p>
              </w:tc>
              <w:tc>
                <w:tcPr>
                  <w:tcW w:w="1394" w:type="dxa"/>
                  <w:vMerge w:val="continue"/>
                  <w:tcBorders>
                    <w:tl2br w:val="nil"/>
                    <w:tr2bl w:val="nil"/>
                  </w:tcBorders>
                  <w:vAlign w:val="center"/>
                </w:tcPr>
                <w:p w14:paraId="5408B20D">
                  <w:pPr>
                    <w:pStyle w:val="10"/>
                    <w:adjustRightInd w:val="0"/>
                    <w:spacing w:before="0" w:after="0" w:line="240" w:lineRule="auto"/>
                    <w:ind w:right="0"/>
                    <w:rPr>
                      <w:color w:val="000000" w:themeColor="text1"/>
                      <w:sz w:val="21"/>
                      <w:szCs w:val="21"/>
                      <w:u w:val="none"/>
                      <w14:textFill>
                        <w14:solidFill>
                          <w14:schemeClr w14:val="tx1"/>
                        </w14:solidFill>
                      </w14:textFill>
                    </w:rPr>
                  </w:pPr>
                </w:p>
              </w:tc>
            </w:tr>
            <w:tr w14:paraId="3683B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5" w:type="dxa"/>
                  <w:vMerge w:val="continue"/>
                  <w:tcBorders>
                    <w:tl2br w:val="nil"/>
                    <w:tr2bl w:val="nil"/>
                  </w:tcBorders>
                  <w:vAlign w:val="center"/>
                </w:tcPr>
                <w:p w14:paraId="136AF8F0">
                  <w:pPr>
                    <w:pStyle w:val="10"/>
                    <w:adjustRightInd w:val="0"/>
                    <w:spacing w:before="0" w:after="0" w:line="240" w:lineRule="auto"/>
                    <w:ind w:right="0"/>
                    <w:rPr>
                      <w:color w:val="000000" w:themeColor="text1"/>
                      <w:sz w:val="21"/>
                      <w:szCs w:val="21"/>
                      <w:u w:val="none"/>
                      <w14:textFill>
                        <w14:solidFill>
                          <w14:schemeClr w14:val="tx1"/>
                        </w14:solidFill>
                      </w14:textFill>
                    </w:rPr>
                  </w:pPr>
                </w:p>
              </w:tc>
              <w:tc>
                <w:tcPr>
                  <w:tcW w:w="679" w:type="dxa"/>
                  <w:vMerge w:val="restart"/>
                  <w:tcBorders>
                    <w:tl2br w:val="nil"/>
                    <w:tr2bl w:val="nil"/>
                  </w:tcBorders>
                  <w:vAlign w:val="center"/>
                </w:tcPr>
                <w:p w14:paraId="6DDA87BD">
                  <w:pPr>
                    <w:pStyle w:val="10"/>
                    <w:adjustRightInd w:val="0"/>
                    <w:spacing w:before="0" w:after="0" w:line="240" w:lineRule="auto"/>
                    <w:ind w:right="0"/>
                    <w:rPr>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生态环境</w:t>
                  </w:r>
                </w:p>
              </w:tc>
              <w:tc>
                <w:tcPr>
                  <w:tcW w:w="1205" w:type="dxa"/>
                  <w:tcBorders>
                    <w:tl2br w:val="nil"/>
                    <w:tr2bl w:val="nil"/>
                  </w:tcBorders>
                  <w:vAlign w:val="center"/>
                </w:tcPr>
                <w:p w14:paraId="3028D5F7">
                  <w:pPr>
                    <w:pStyle w:val="10"/>
                    <w:adjustRightInd w:val="0"/>
                    <w:spacing w:before="0" w:after="0" w:line="240" w:lineRule="auto"/>
                    <w:ind w:right="0"/>
                    <w:rPr>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植被和</w:t>
                  </w:r>
                </w:p>
                <w:p w14:paraId="5F1A90D4">
                  <w:pPr>
                    <w:pStyle w:val="10"/>
                    <w:adjustRightInd w:val="0"/>
                    <w:spacing w:before="0" w:after="0" w:line="240" w:lineRule="auto"/>
                    <w:ind w:right="0"/>
                    <w:rPr>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野生鸟类</w:t>
                  </w:r>
                </w:p>
              </w:tc>
              <w:tc>
                <w:tcPr>
                  <w:tcW w:w="3735" w:type="dxa"/>
                  <w:tcBorders>
                    <w:tl2br w:val="nil"/>
                    <w:tr2bl w:val="nil"/>
                  </w:tcBorders>
                  <w:vAlign w:val="center"/>
                </w:tcPr>
                <w:p w14:paraId="25B67AF7">
                  <w:pPr>
                    <w:pStyle w:val="10"/>
                    <w:adjustRightInd w:val="0"/>
                    <w:spacing w:before="0" w:after="0" w:line="240" w:lineRule="auto"/>
                    <w:ind w:right="0"/>
                    <w:rPr>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升压站周围园林绿化；风机叶片艳化</w:t>
                  </w:r>
                </w:p>
              </w:tc>
              <w:tc>
                <w:tcPr>
                  <w:tcW w:w="1394" w:type="dxa"/>
                  <w:vMerge w:val="continue"/>
                  <w:tcBorders>
                    <w:tl2br w:val="nil"/>
                    <w:tr2bl w:val="nil"/>
                  </w:tcBorders>
                  <w:vAlign w:val="center"/>
                </w:tcPr>
                <w:p w14:paraId="585D2682">
                  <w:pPr>
                    <w:pStyle w:val="10"/>
                    <w:adjustRightInd w:val="0"/>
                    <w:spacing w:before="0" w:after="0" w:line="240" w:lineRule="auto"/>
                    <w:ind w:right="0"/>
                    <w:rPr>
                      <w:color w:val="000000" w:themeColor="text1"/>
                      <w:sz w:val="21"/>
                      <w:szCs w:val="21"/>
                      <w:u w:val="none"/>
                      <w14:textFill>
                        <w14:solidFill>
                          <w14:schemeClr w14:val="tx1"/>
                        </w14:solidFill>
                      </w14:textFill>
                    </w:rPr>
                  </w:pPr>
                </w:p>
              </w:tc>
            </w:tr>
            <w:tr w14:paraId="0EFE3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5" w:type="dxa"/>
                  <w:vMerge w:val="continue"/>
                  <w:tcBorders>
                    <w:tl2br w:val="nil"/>
                    <w:tr2bl w:val="nil"/>
                  </w:tcBorders>
                  <w:vAlign w:val="center"/>
                </w:tcPr>
                <w:p w14:paraId="25F59681">
                  <w:pPr>
                    <w:pStyle w:val="10"/>
                    <w:adjustRightInd w:val="0"/>
                    <w:spacing w:before="0" w:after="0" w:line="240" w:lineRule="auto"/>
                    <w:ind w:right="0"/>
                    <w:rPr>
                      <w:color w:val="000000" w:themeColor="text1"/>
                      <w:sz w:val="21"/>
                      <w:szCs w:val="21"/>
                      <w:u w:val="none"/>
                      <w14:textFill>
                        <w14:solidFill>
                          <w14:schemeClr w14:val="tx1"/>
                        </w14:solidFill>
                      </w14:textFill>
                    </w:rPr>
                  </w:pPr>
                </w:p>
              </w:tc>
              <w:tc>
                <w:tcPr>
                  <w:tcW w:w="679" w:type="dxa"/>
                  <w:vMerge w:val="continue"/>
                  <w:tcBorders>
                    <w:tl2br w:val="nil"/>
                    <w:tr2bl w:val="nil"/>
                  </w:tcBorders>
                  <w:vAlign w:val="center"/>
                </w:tcPr>
                <w:p w14:paraId="5BBD6738">
                  <w:pPr>
                    <w:pStyle w:val="10"/>
                    <w:adjustRightInd w:val="0"/>
                    <w:spacing w:before="0" w:after="0" w:line="240" w:lineRule="auto"/>
                    <w:ind w:right="0"/>
                    <w:rPr>
                      <w:color w:val="000000" w:themeColor="text1"/>
                      <w:sz w:val="21"/>
                      <w:szCs w:val="21"/>
                      <w:u w:val="none"/>
                      <w14:textFill>
                        <w14:solidFill>
                          <w14:schemeClr w14:val="tx1"/>
                        </w14:solidFill>
                      </w14:textFill>
                    </w:rPr>
                  </w:pPr>
                </w:p>
              </w:tc>
              <w:tc>
                <w:tcPr>
                  <w:tcW w:w="1205" w:type="dxa"/>
                  <w:tcBorders>
                    <w:tl2br w:val="nil"/>
                    <w:tr2bl w:val="nil"/>
                  </w:tcBorders>
                  <w:vAlign w:val="center"/>
                </w:tcPr>
                <w:p w14:paraId="036565C5">
                  <w:pPr>
                    <w:pStyle w:val="10"/>
                    <w:adjustRightInd w:val="0"/>
                    <w:spacing w:before="0" w:after="0" w:line="240" w:lineRule="auto"/>
                    <w:ind w:right="0"/>
                    <w:rPr>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植</w:t>
                  </w:r>
                  <w:r>
                    <w:rPr>
                      <w:rFonts w:hint="eastAsia"/>
                      <w:color w:val="000000" w:themeColor="text1"/>
                      <w:sz w:val="21"/>
                      <w:szCs w:val="21"/>
                      <w:u w:val="none"/>
                      <w14:textFill>
                        <w14:solidFill>
                          <w14:schemeClr w14:val="tx1"/>
                        </w14:solidFill>
                      </w14:textFill>
                    </w:rPr>
                    <w:t>被</w:t>
                  </w:r>
                </w:p>
              </w:tc>
              <w:tc>
                <w:tcPr>
                  <w:tcW w:w="3735" w:type="dxa"/>
                  <w:tcBorders>
                    <w:tl2br w:val="nil"/>
                    <w:tr2bl w:val="nil"/>
                  </w:tcBorders>
                  <w:vAlign w:val="center"/>
                </w:tcPr>
                <w:p w14:paraId="3C72B635">
                  <w:pPr>
                    <w:pStyle w:val="10"/>
                    <w:adjustRightInd w:val="0"/>
                    <w:spacing w:before="0" w:after="0" w:line="240" w:lineRule="auto"/>
                    <w:ind w:right="0"/>
                    <w:rPr>
                      <w:color w:val="000000" w:themeColor="text1"/>
                      <w:sz w:val="21"/>
                      <w:szCs w:val="21"/>
                      <w:u w:val="none"/>
                      <w14:textFill>
                        <w14:solidFill>
                          <w14:schemeClr w14:val="tx1"/>
                        </w14:solidFill>
                      </w14:textFill>
                    </w:rPr>
                  </w:pPr>
                  <w:r>
                    <w:rPr>
                      <w:rFonts w:hint="eastAsia"/>
                      <w:color w:val="000000" w:themeColor="text1"/>
                      <w:sz w:val="21"/>
                      <w:szCs w:val="21"/>
                      <w:u w:val="none"/>
                      <w14:textFill>
                        <w14:solidFill>
                          <w14:schemeClr w14:val="tx1"/>
                        </w14:solidFill>
                      </w14:textFill>
                    </w:rPr>
                    <w:t>禁止越界施工</w:t>
                  </w:r>
                </w:p>
              </w:tc>
              <w:tc>
                <w:tcPr>
                  <w:tcW w:w="1394" w:type="dxa"/>
                  <w:vMerge w:val="continue"/>
                  <w:tcBorders>
                    <w:tl2br w:val="nil"/>
                    <w:tr2bl w:val="nil"/>
                  </w:tcBorders>
                  <w:vAlign w:val="center"/>
                </w:tcPr>
                <w:p w14:paraId="594142FE">
                  <w:pPr>
                    <w:pStyle w:val="10"/>
                    <w:adjustRightInd w:val="0"/>
                    <w:spacing w:before="0" w:after="0" w:line="240" w:lineRule="auto"/>
                    <w:ind w:right="0"/>
                    <w:rPr>
                      <w:color w:val="000000" w:themeColor="text1"/>
                      <w:sz w:val="21"/>
                      <w:szCs w:val="21"/>
                      <w:u w:val="none"/>
                      <w14:textFill>
                        <w14:solidFill>
                          <w14:schemeClr w14:val="tx1"/>
                        </w14:solidFill>
                      </w14:textFill>
                    </w:rPr>
                  </w:pPr>
                </w:p>
              </w:tc>
            </w:tr>
            <w:tr w14:paraId="0EDA3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5" w:type="dxa"/>
                  <w:vMerge w:val="continue"/>
                  <w:tcBorders>
                    <w:tl2br w:val="nil"/>
                    <w:tr2bl w:val="nil"/>
                  </w:tcBorders>
                  <w:vAlign w:val="center"/>
                </w:tcPr>
                <w:p w14:paraId="16C3F94F">
                  <w:pPr>
                    <w:pStyle w:val="10"/>
                    <w:adjustRightInd w:val="0"/>
                    <w:spacing w:before="0" w:after="0" w:line="240" w:lineRule="auto"/>
                    <w:ind w:right="0"/>
                    <w:rPr>
                      <w:color w:val="000000" w:themeColor="text1"/>
                      <w:sz w:val="21"/>
                      <w:szCs w:val="21"/>
                      <w:u w:val="none"/>
                      <w14:textFill>
                        <w14:solidFill>
                          <w14:schemeClr w14:val="tx1"/>
                        </w14:solidFill>
                      </w14:textFill>
                    </w:rPr>
                  </w:pPr>
                </w:p>
              </w:tc>
              <w:tc>
                <w:tcPr>
                  <w:tcW w:w="679" w:type="dxa"/>
                  <w:vMerge w:val="continue"/>
                  <w:tcBorders>
                    <w:tl2br w:val="nil"/>
                    <w:tr2bl w:val="nil"/>
                  </w:tcBorders>
                  <w:vAlign w:val="center"/>
                </w:tcPr>
                <w:p w14:paraId="72A59001">
                  <w:pPr>
                    <w:pStyle w:val="10"/>
                    <w:adjustRightInd w:val="0"/>
                    <w:spacing w:before="0" w:after="0" w:line="240" w:lineRule="auto"/>
                    <w:ind w:right="0"/>
                    <w:rPr>
                      <w:color w:val="000000" w:themeColor="text1"/>
                      <w:sz w:val="21"/>
                      <w:szCs w:val="21"/>
                      <w:u w:val="none"/>
                      <w14:textFill>
                        <w14:solidFill>
                          <w14:schemeClr w14:val="tx1"/>
                        </w14:solidFill>
                      </w14:textFill>
                    </w:rPr>
                  </w:pPr>
                </w:p>
              </w:tc>
              <w:tc>
                <w:tcPr>
                  <w:tcW w:w="1205" w:type="dxa"/>
                  <w:tcBorders>
                    <w:tl2br w:val="nil"/>
                    <w:tr2bl w:val="nil"/>
                  </w:tcBorders>
                  <w:vAlign w:val="center"/>
                </w:tcPr>
                <w:p w14:paraId="77CE1F42">
                  <w:pPr>
                    <w:pStyle w:val="10"/>
                    <w:adjustRightInd w:val="0"/>
                    <w:spacing w:before="0" w:after="0" w:line="240" w:lineRule="auto"/>
                    <w:ind w:right="0"/>
                    <w:rPr>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生态公益林</w:t>
                  </w:r>
                </w:p>
              </w:tc>
              <w:tc>
                <w:tcPr>
                  <w:tcW w:w="3735" w:type="dxa"/>
                  <w:tcBorders>
                    <w:tl2br w:val="nil"/>
                    <w:tr2bl w:val="nil"/>
                  </w:tcBorders>
                  <w:vAlign w:val="center"/>
                </w:tcPr>
                <w:p w14:paraId="5D7BB986">
                  <w:pPr>
                    <w:pStyle w:val="10"/>
                    <w:adjustRightInd w:val="0"/>
                    <w:spacing w:before="0" w:after="0" w:line="240" w:lineRule="auto"/>
                    <w:ind w:right="0"/>
                    <w:rPr>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风电场项目禁止占用天然乔木（竹林）林地以及一级国家公益林地和二级国家公益林中的有林地。</w:t>
                  </w:r>
                </w:p>
              </w:tc>
              <w:tc>
                <w:tcPr>
                  <w:tcW w:w="1394" w:type="dxa"/>
                  <w:vMerge w:val="continue"/>
                  <w:tcBorders>
                    <w:tl2br w:val="nil"/>
                    <w:tr2bl w:val="nil"/>
                  </w:tcBorders>
                  <w:vAlign w:val="center"/>
                </w:tcPr>
                <w:p w14:paraId="5CD32E5E">
                  <w:pPr>
                    <w:pStyle w:val="10"/>
                    <w:adjustRightInd w:val="0"/>
                    <w:spacing w:before="0" w:after="0" w:line="240" w:lineRule="auto"/>
                    <w:ind w:right="0"/>
                    <w:rPr>
                      <w:color w:val="000000" w:themeColor="text1"/>
                      <w:sz w:val="21"/>
                      <w:szCs w:val="21"/>
                      <w:u w:val="none"/>
                      <w14:textFill>
                        <w14:solidFill>
                          <w14:schemeClr w14:val="tx1"/>
                        </w14:solidFill>
                      </w14:textFill>
                    </w:rPr>
                  </w:pPr>
                </w:p>
              </w:tc>
            </w:tr>
            <w:tr w14:paraId="6BFFD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5" w:type="dxa"/>
                  <w:vMerge w:val="continue"/>
                  <w:tcBorders>
                    <w:tl2br w:val="nil"/>
                    <w:tr2bl w:val="nil"/>
                  </w:tcBorders>
                  <w:vAlign w:val="center"/>
                </w:tcPr>
                <w:p w14:paraId="12DB1D94">
                  <w:pPr>
                    <w:pStyle w:val="10"/>
                    <w:adjustRightInd w:val="0"/>
                    <w:spacing w:before="0" w:after="0" w:line="240" w:lineRule="auto"/>
                    <w:ind w:right="0"/>
                    <w:rPr>
                      <w:color w:val="000000" w:themeColor="text1"/>
                      <w:sz w:val="21"/>
                      <w:szCs w:val="21"/>
                      <w:u w:val="none"/>
                      <w14:textFill>
                        <w14:solidFill>
                          <w14:schemeClr w14:val="tx1"/>
                        </w14:solidFill>
                      </w14:textFill>
                    </w:rPr>
                  </w:pPr>
                </w:p>
              </w:tc>
              <w:tc>
                <w:tcPr>
                  <w:tcW w:w="679" w:type="dxa"/>
                  <w:tcBorders>
                    <w:tl2br w:val="nil"/>
                    <w:tr2bl w:val="nil"/>
                  </w:tcBorders>
                  <w:vAlign w:val="center"/>
                </w:tcPr>
                <w:p w14:paraId="4ECB539F">
                  <w:pPr>
                    <w:pStyle w:val="10"/>
                    <w:adjustRightInd w:val="0"/>
                    <w:spacing w:before="0" w:after="0" w:line="240" w:lineRule="auto"/>
                    <w:ind w:right="0"/>
                    <w:rPr>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水土保持</w:t>
                  </w:r>
                </w:p>
              </w:tc>
              <w:tc>
                <w:tcPr>
                  <w:tcW w:w="1205" w:type="dxa"/>
                  <w:tcBorders>
                    <w:tl2br w:val="nil"/>
                    <w:tr2bl w:val="nil"/>
                  </w:tcBorders>
                  <w:vAlign w:val="center"/>
                </w:tcPr>
                <w:p w14:paraId="22FF9780">
                  <w:pPr>
                    <w:pStyle w:val="10"/>
                    <w:adjustRightInd w:val="0"/>
                    <w:spacing w:before="0" w:after="0" w:line="240" w:lineRule="auto"/>
                    <w:ind w:right="0"/>
                    <w:rPr>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水土流失</w:t>
                  </w:r>
                </w:p>
              </w:tc>
              <w:tc>
                <w:tcPr>
                  <w:tcW w:w="3735" w:type="dxa"/>
                  <w:tcBorders>
                    <w:tl2br w:val="nil"/>
                    <w:tr2bl w:val="nil"/>
                  </w:tcBorders>
                  <w:vAlign w:val="center"/>
                </w:tcPr>
                <w:p w14:paraId="054CC17E">
                  <w:pPr>
                    <w:pStyle w:val="10"/>
                    <w:adjustRightInd w:val="0"/>
                    <w:spacing w:before="0" w:after="0" w:line="240" w:lineRule="auto"/>
                    <w:ind w:right="0"/>
                    <w:rPr>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工程措施、植物措施和临时措施</w:t>
                  </w:r>
                </w:p>
              </w:tc>
              <w:tc>
                <w:tcPr>
                  <w:tcW w:w="1394" w:type="dxa"/>
                  <w:vMerge w:val="continue"/>
                  <w:tcBorders>
                    <w:tl2br w:val="nil"/>
                    <w:tr2bl w:val="nil"/>
                  </w:tcBorders>
                  <w:vAlign w:val="center"/>
                </w:tcPr>
                <w:p w14:paraId="4DDABCD8">
                  <w:pPr>
                    <w:pStyle w:val="10"/>
                    <w:adjustRightInd w:val="0"/>
                    <w:spacing w:before="0" w:after="0" w:line="240" w:lineRule="auto"/>
                    <w:ind w:right="0"/>
                    <w:rPr>
                      <w:color w:val="000000" w:themeColor="text1"/>
                      <w:sz w:val="21"/>
                      <w:szCs w:val="21"/>
                      <w:u w:val="none"/>
                      <w14:textFill>
                        <w14:solidFill>
                          <w14:schemeClr w14:val="tx1"/>
                        </w14:solidFill>
                      </w14:textFill>
                    </w:rPr>
                  </w:pPr>
                </w:p>
              </w:tc>
            </w:tr>
            <w:tr w14:paraId="00C2C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5" w:type="dxa"/>
                  <w:vMerge w:val="continue"/>
                  <w:tcBorders>
                    <w:tl2br w:val="nil"/>
                    <w:tr2bl w:val="nil"/>
                  </w:tcBorders>
                  <w:vAlign w:val="center"/>
                </w:tcPr>
                <w:p w14:paraId="6F904AF3">
                  <w:pPr>
                    <w:pStyle w:val="10"/>
                    <w:adjustRightInd w:val="0"/>
                    <w:spacing w:before="0" w:after="0" w:line="240" w:lineRule="auto"/>
                    <w:ind w:right="0"/>
                    <w:rPr>
                      <w:color w:val="000000" w:themeColor="text1"/>
                      <w:sz w:val="21"/>
                      <w:szCs w:val="21"/>
                      <w:u w:val="none"/>
                      <w14:textFill>
                        <w14:solidFill>
                          <w14:schemeClr w14:val="tx1"/>
                        </w14:solidFill>
                      </w14:textFill>
                    </w:rPr>
                  </w:pPr>
                </w:p>
              </w:tc>
              <w:tc>
                <w:tcPr>
                  <w:tcW w:w="1884" w:type="dxa"/>
                  <w:gridSpan w:val="2"/>
                  <w:tcBorders>
                    <w:tl2br w:val="nil"/>
                    <w:tr2bl w:val="nil"/>
                  </w:tcBorders>
                  <w:vAlign w:val="center"/>
                </w:tcPr>
                <w:p w14:paraId="1FF400C3">
                  <w:pPr>
                    <w:pStyle w:val="10"/>
                    <w:adjustRightInd w:val="0"/>
                    <w:spacing w:before="0" w:after="0" w:line="240" w:lineRule="auto"/>
                    <w:ind w:right="0"/>
                    <w:rPr>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人群健康</w:t>
                  </w:r>
                </w:p>
              </w:tc>
              <w:tc>
                <w:tcPr>
                  <w:tcW w:w="3735" w:type="dxa"/>
                  <w:tcBorders>
                    <w:tl2br w:val="nil"/>
                    <w:tr2bl w:val="nil"/>
                  </w:tcBorders>
                  <w:vAlign w:val="center"/>
                </w:tcPr>
                <w:p w14:paraId="03E3D927">
                  <w:pPr>
                    <w:pStyle w:val="10"/>
                    <w:adjustRightInd w:val="0"/>
                    <w:spacing w:before="0" w:after="0" w:line="240" w:lineRule="auto"/>
                    <w:ind w:right="0"/>
                    <w:rPr>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定期调查，疫情防控</w:t>
                  </w:r>
                  <w:r>
                    <w:rPr>
                      <w:rFonts w:hint="eastAsia"/>
                      <w:color w:val="000000" w:themeColor="text1"/>
                      <w:sz w:val="21"/>
                      <w:szCs w:val="21"/>
                      <w:u w:val="none"/>
                      <w14:textFill>
                        <w14:solidFill>
                          <w14:schemeClr w14:val="tx1"/>
                        </w14:solidFill>
                      </w14:textFill>
                    </w:rPr>
                    <w:t>，</w:t>
                  </w:r>
                  <w:r>
                    <w:rPr>
                      <w:color w:val="000000" w:themeColor="text1"/>
                      <w:sz w:val="21"/>
                      <w:szCs w:val="21"/>
                      <w:u w:val="none"/>
                      <w14:textFill>
                        <w14:solidFill>
                          <w14:schemeClr w14:val="tx1"/>
                        </w14:solidFill>
                      </w14:textFill>
                    </w:rPr>
                    <w:t>卫生清理</w:t>
                  </w:r>
                </w:p>
              </w:tc>
              <w:tc>
                <w:tcPr>
                  <w:tcW w:w="1394" w:type="dxa"/>
                  <w:vMerge w:val="continue"/>
                  <w:tcBorders>
                    <w:tl2br w:val="nil"/>
                    <w:tr2bl w:val="nil"/>
                  </w:tcBorders>
                  <w:vAlign w:val="center"/>
                </w:tcPr>
                <w:p w14:paraId="2D84E1CF">
                  <w:pPr>
                    <w:pStyle w:val="10"/>
                    <w:adjustRightInd w:val="0"/>
                    <w:spacing w:before="0" w:after="0" w:line="240" w:lineRule="auto"/>
                    <w:ind w:right="0"/>
                    <w:rPr>
                      <w:color w:val="000000" w:themeColor="text1"/>
                      <w:sz w:val="21"/>
                      <w:szCs w:val="21"/>
                      <w:u w:val="none"/>
                      <w14:textFill>
                        <w14:solidFill>
                          <w14:schemeClr w14:val="tx1"/>
                        </w14:solidFill>
                      </w14:textFill>
                    </w:rPr>
                  </w:pPr>
                </w:p>
              </w:tc>
            </w:tr>
            <w:tr w14:paraId="09956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5" w:type="dxa"/>
                  <w:vMerge w:val="restart"/>
                  <w:tcBorders>
                    <w:tl2br w:val="nil"/>
                    <w:tr2bl w:val="nil"/>
                  </w:tcBorders>
                  <w:vAlign w:val="center"/>
                </w:tcPr>
                <w:p w14:paraId="587B867D">
                  <w:pPr>
                    <w:pStyle w:val="10"/>
                    <w:adjustRightInd w:val="0"/>
                    <w:spacing w:before="0" w:after="0" w:line="240" w:lineRule="auto"/>
                    <w:ind w:right="0"/>
                    <w:rPr>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营</w:t>
                  </w:r>
                </w:p>
                <w:p w14:paraId="6B166386">
                  <w:pPr>
                    <w:pStyle w:val="10"/>
                    <w:adjustRightInd w:val="0"/>
                    <w:spacing w:before="0" w:after="0" w:line="240" w:lineRule="auto"/>
                    <w:ind w:right="0"/>
                    <w:rPr>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运</w:t>
                  </w:r>
                </w:p>
                <w:p w14:paraId="7370792D">
                  <w:pPr>
                    <w:pStyle w:val="10"/>
                    <w:adjustRightInd w:val="0"/>
                    <w:spacing w:before="0" w:after="0" w:line="240" w:lineRule="auto"/>
                    <w:ind w:right="0"/>
                    <w:rPr>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期</w:t>
                  </w:r>
                </w:p>
              </w:tc>
              <w:tc>
                <w:tcPr>
                  <w:tcW w:w="679" w:type="dxa"/>
                  <w:vMerge w:val="restart"/>
                  <w:tcBorders>
                    <w:tl2br w:val="nil"/>
                    <w:tr2bl w:val="nil"/>
                  </w:tcBorders>
                  <w:vAlign w:val="center"/>
                </w:tcPr>
                <w:p w14:paraId="58B0A9BE">
                  <w:pPr>
                    <w:pStyle w:val="10"/>
                    <w:adjustRightInd w:val="0"/>
                    <w:spacing w:before="0" w:after="0" w:line="240" w:lineRule="auto"/>
                    <w:ind w:right="0"/>
                    <w:rPr>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水环境</w:t>
                  </w:r>
                </w:p>
              </w:tc>
              <w:tc>
                <w:tcPr>
                  <w:tcW w:w="1205" w:type="dxa"/>
                  <w:tcBorders>
                    <w:tl2br w:val="nil"/>
                    <w:tr2bl w:val="nil"/>
                  </w:tcBorders>
                  <w:vAlign w:val="center"/>
                </w:tcPr>
                <w:p w14:paraId="1E06F4A1">
                  <w:pPr>
                    <w:pStyle w:val="10"/>
                    <w:adjustRightInd w:val="0"/>
                    <w:spacing w:before="0" w:after="0" w:line="240" w:lineRule="auto"/>
                    <w:ind w:right="0"/>
                    <w:rPr>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生活污水</w:t>
                  </w:r>
                </w:p>
              </w:tc>
              <w:tc>
                <w:tcPr>
                  <w:tcW w:w="3735" w:type="dxa"/>
                  <w:tcBorders>
                    <w:tl2br w:val="nil"/>
                    <w:tr2bl w:val="nil"/>
                  </w:tcBorders>
                  <w:vAlign w:val="center"/>
                </w:tcPr>
                <w:p w14:paraId="3F467503">
                  <w:pPr>
                    <w:pStyle w:val="10"/>
                    <w:adjustRightInd w:val="0"/>
                    <w:spacing w:before="0" w:after="0" w:line="240" w:lineRule="auto"/>
                    <w:ind w:right="0"/>
                    <w:rPr>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生活污水采取成套污水处理设备处理</w:t>
                  </w:r>
                </w:p>
              </w:tc>
              <w:tc>
                <w:tcPr>
                  <w:tcW w:w="1394" w:type="dxa"/>
                  <w:vMerge w:val="restart"/>
                  <w:tcBorders>
                    <w:tl2br w:val="nil"/>
                    <w:tr2bl w:val="nil"/>
                  </w:tcBorders>
                  <w:vAlign w:val="center"/>
                </w:tcPr>
                <w:p w14:paraId="3141ACE0">
                  <w:pPr>
                    <w:pStyle w:val="10"/>
                    <w:adjustRightInd w:val="0"/>
                    <w:spacing w:before="0" w:after="0" w:line="240" w:lineRule="auto"/>
                    <w:ind w:right="0"/>
                    <w:rPr>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负责有关事务安排，支付费监督，保证实施效果。</w:t>
                  </w:r>
                </w:p>
              </w:tc>
            </w:tr>
            <w:tr w14:paraId="744A6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5" w:type="dxa"/>
                  <w:vMerge w:val="continue"/>
                  <w:tcBorders>
                    <w:tl2br w:val="nil"/>
                    <w:tr2bl w:val="nil"/>
                  </w:tcBorders>
                  <w:vAlign w:val="center"/>
                </w:tcPr>
                <w:p w14:paraId="281D3ADE">
                  <w:pPr>
                    <w:pStyle w:val="10"/>
                    <w:adjustRightInd w:val="0"/>
                    <w:spacing w:before="0" w:after="0" w:line="240" w:lineRule="auto"/>
                    <w:ind w:right="0"/>
                    <w:rPr>
                      <w:color w:val="000000" w:themeColor="text1"/>
                      <w:sz w:val="21"/>
                      <w:szCs w:val="21"/>
                      <w:u w:val="none"/>
                      <w14:textFill>
                        <w14:solidFill>
                          <w14:schemeClr w14:val="tx1"/>
                        </w14:solidFill>
                      </w14:textFill>
                    </w:rPr>
                  </w:pPr>
                </w:p>
              </w:tc>
              <w:tc>
                <w:tcPr>
                  <w:tcW w:w="679" w:type="dxa"/>
                  <w:vMerge w:val="continue"/>
                  <w:tcBorders>
                    <w:tl2br w:val="nil"/>
                    <w:tr2bl w:val="nil"/>
                  </w:tcBorders>
                  <w:vAlign w:val="center"/>
                </w:tcPr>
                <w:p w14:paraId="308E6222">
                  <w:pPr>
                    <w:pStyle w:val="10"/>
                    <w:adjustRightInd w:val="0"/>
                    <w:spacing w:before="0" w:after="0" w:line="240" w:lineRule="auto"/>
                    <w:ind w:right="0"/>
                    <w:rPr>
                      <w:color w:val="000000" w:themeColor="text1"/>
                      <w:sz w:val="21"/>
                      <w:szCs w:val="21"/>
                      <w:u w:val="none"/>
                      <w14:textFill>
                        <w14:solidFill>
                          <w14:schemeClr w14:val="tx1"/>
                        </w14:solidFill>
                      </w14:textFill>
                    </w:rPr>
                  </w:pPr>
                </w:p>
              </w:tc>
              <w:tc>
                <w:tcPr>
                  <w:tcW w:w="1205" w:type="dxa"/>
                  <w:tcBorders>
                    <w:tl2br w:val="nil"/>
                    <w:tr2bl w:val="nil"/>
                  </w:tcBorders>
                  <w:vAlign w:val="center"/>
                </w:tcPr>
                <w:p w14:paraId="23B762A5">
                  <w:pPr>
                    <w:pStyle w:val="10"/>
                    <w:adjustRightInd w:val="0"/>
                    <w:spacing w:before="0" w:after="0" w:line="240" w:lineRule="auto"/>
                    <w:ind w:right="0"/>
                    <w:rPr>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废油</w:t>
                  </w:r>
                </w:p>
              </w:tc>
              <w:tc>
                <w:tcPr>
                  <w:tcW w:w="3735" w:type="dxa"/>
                  <w:tcBorders>
                    <w:tl2br w:val="nil"/>
                    <w:tr2bl w:val="nil"/>
                  </w:tcBorders>
                  <w:vAlign w:val="center"/>
                </w:tcPr>
                <w:p w14:paraId="2EEC0FE4">
                  <w:pPr>
                    <w:pStyle w:val="10"/>
                    <w:adjustRightInd w:val="0"/>
                    <w:spacing w:before="0" w:after="0" w:line="240" w:lineRule="auto"/>
                    <w:ind w:right="0"/>
                    <w:rPr>
                      <w:color w:val="000000" w:themeColor="text1"/>
                      <w:sz w:val="21"/>
                      <w:szCs w:val="21"/>
                      <w:u w:val="none"/>
                      <w14:textFill>
                        <w14:solidFill>
                          <w14:schemeClr w14:val="tx1"/>
                        </w14:solidFill>
                      </w14:textFill>
                    </w:rPr>
                  </w:pPr>
                  <w:r>
                    <w:rPr>
                      <w:rFonts w:hint="eastAsia"/>
                      <w:color w:val="000000" w:themeColor="text1"/>
                      <w:sz w:val="21"/>
                      <w:szCs w:val="21"/>
                      <w:u w:val="none"/>
                      <w14:textFill>
                        <w14:solidFill>
                          <w14:schemeClr w14:val="tx1"/>
                        </w14:solidFill>
                      </w14:textFill>
                    </w:rPr>
                    <w:t>主变及箱变</w:t>
                  </w:r>
                  <w:r>
                    <w:rPr>
                      <w:color w:val="000000" w:themeColor="text1"/>
                      <w:sz w:val="21"/>
                      <w:szCs w:val="21"/>
                      <w:u w:val="none"/>
                      <w14:textFill>
                        <w14:solidFill>
                          <w14:schemeClr w14:val="tx1"/>
                        </w14:solidFill>
                      </w14:textFill>
                    </w:rPr>
                    <w:t>事故油池</w:t>
                  </w:r>
                </w:p>
              </w:tc>
              <w:tc>
                <w:tcPr>
                  <w:tcW w:w="1394" w:type="dxa"/>
                  <w:vMerge w:val="continue"/>
                  <w:tcBorders>
                    <w:tl2br w:val="nil"/>
                    <w:tr2bl w:val="nil"/>
                  </w:tcBorders>
                  <w:vAlign w:val="center"/>
                </w:tcPr>
                <w:p w14:paraId="3363A0E4">
                  <w:pPr>
                    <w:pStyle w:val="10"/>
                    <w:adjustRightInd w:val="0"/>
                    <w:spacing w:before="0" w:after="0" w:line="240" w:lineRule="auto"/>
                    <w:ind w:right="0"/>
                    <w:rPr>
                      <w:color w:val="000000" w:themeColor="text1"/>
                      <w:sz w:val="21"/>
                      <w:szCs w:val="21"/>
                      <w:u w:val="none"/>
                      <w14:textFill>
                        <w14:solidFill>
                          <w14:schemeClr w14:val="tx1"/>
                        </w14:solidFill>
                      </w14:textFill>
                    </w:rPr>
                  </w:pPr>
                </w:p>
              </w:tc>
            </w:tr>
            <w:tr w14:paraId="5BF83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5" w:type="dxa"/>
                  <w:vMerge w:val="continue"/>
                  <w:tcBorders>
                    <w:tl2br w:val="nil"/>
                    <w:tr2bl w:val="nil"/>
                  </w:tcBorders>
                  <w:vAlign w:val="center"/>
                </w:tcPr>
                <w:p w14:paraId="6BF05804">
                  <w:pPr>
                    <w:pStyle w:val="10"/>
                    <w:adjustRightInd w:val="0"/>
                    <w:spacing w:before="0" w:after="0" w:line="240" w:lineRule="auto"/>
                    <w:ind w:right="0"/>
                    <w:rPr>
                      <w:color w:val="000000" w:themeColor="text1"/>
                      <w:sz w:val="21"/>
                      <w:szCs w:val="21"/>
                      <w:u w:val="none"/>
                      <w14:textFill>
                        <w14:solidFill>
                          <w14:schemeClr w14:val="tx1"/>
                        </w14:solidFill>
                      </w14:textFill>
                    </w:rPr>
                  </w:pPr>
                </w:p>
              </w:tc>
              <w:tc>
                <w:tcPr>
                  <w:tcW w:w="679" w:type="dxa"/>
                  <w:vMerge w:val="restart"/>
                  <w:tcBorders>
                    <w:tl2br w:val="nil"/>
                    <w:tr2bl w:val="nil"/>
                  </w:tcBorders>
                  <w:vAlign w:val="center"/>
                </w:tcPr>
                <w:p w14:paraId="45A8BEAA">
                  <w:pPr>
                    <w:pStyle w:val="10"/>
                    <w:adjustRightInd w:val="0"/>
                    <w:spacing w:before="0" w:after="0" w:line="240" w:lineRule="auto"/>
                    <w:ind w:right="0"/>
                    <w:rPr>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声环境</w:t>
                  </w:r>
                </w:p>
              </w:tc>
              <w:tc>
                <w:tcPr>
                  <w:tcW w:w="1205" w:type="dxa"/>
                  <w:tcBorders>
                    <w:tl2br w:val="nil"/>
                    <w:tr2bl w:val="nil"/>
                  </w:tcBorders>
                  <w:vAlign w:val="center"/>
                </w:tcPr>
                <w:p w14:paraId="7848EE9A">
                  <w:pPr>
                    <w:pStyle w:val="10"/>
                    <w:adjustRightInd w:val="0"/>
                    <w:spacing w:before="0" w:after="0" w:line="240" w:lineRule="auto"/>
                    <w:ind w:right="0"/>
                    <w:rPr>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运输噪声</w:t>
                  </w:r>
                </w:p>
              </w:tc>
              <w:tc>
                <w:tcPr>
                  <w:tcW w:w="3735" w:type="dxa"/>
                  <w:tcBorders>
                    <w:tl2br w:val="nil"/>
                    <w:tr2bl w:val="nil"/>
                  </w:tcBorders>
                  <w:vAlign w:val="center"/>
                </w:tcPr>
                <w:p w14:paraId="077A4366">
                  <w:pPr>
                    <w:pStyle w:val="10"/>
                    <w:adjustRightInd w:val="0"/>
                    <w:spacing w:before="0" w:after="0" w:line="240" w:lineRule="auto"/>
                    <w:ind w:right="0"/>
                    <w:rPr>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禁止大声鸣笛、限制车速，设置减速墩，减速标志</w:t>
                  </w:r>
                </w:p>
              </w:tc>
              <w:tc>
                <w:tcPr>
                  <w:tcW w:w="1394" w:type="dxa"/>
                  <w:vMerge w:val="continue"/>
                  <w:tcBorders>
                    <w:tl2br w:val="nil"/>
                    <w:tr2bl w:val="nil"/>
                  </w:tcBorders>
                  <w:vAlign w:val="center"/>
                </w:tcPr>
                <w:p w14:paraId="77BD3BE6">
                  <w:pPr>
                    <w:pStyle w:val="10"/>
                    <w:adjustRightInd w:val="0"/>
                    <w:spacing w:before="0" w:after="0" w:line="240" w:lineRule="auto"/>
                    <w:ind w:right="0"/>
                    <w:rPr>
                      <w:color w:val="000000" w:themeColor="text1"/>
                      <w:sz w:val="21"/>
                      <w:szCs w:val="21"/>
                      <w:u w:val="none"/>
                      <w14:textFill>
                        <w14:solidFill>
                          <w14:schemeClr w14:val="tx1"/>
                        </w14:solidFill>
                      </w14:textFill>
                    </w:rPr>
                  </w:pPr>
                </w:p>
              </w:tc>
            </w:tr>
            <w:tr w14:paraId="57804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5" w:type="dxa"/>
                  <w:vMerge w:val="continue"/>
                  <w:tcBorders>
                    <w:tl2br w:val="nil"/>
                    <w:tr2bl w:val="nil"/>
                  </w:tcBorders>
                  <w:vAlign w:val="center"/>
                </w:tcPr>
                <w:p w14:paraId="33E8350E">
                  <w:pPr>
                    <w:pStyle w:val="10"/>
                    <w:adjustRightInd w:val="0"/>
                    <w:spacing w:before="0" w:after="0" w:line="240" w:lineRule="auto"/>
                    <w:ind w:right="0"/>
                    <w:rPr>
                      <w:color w:val="000000" w:themeColor="text1"/>
                      <w:sz w:val="21"/>
                      <w:szCs w:val="21"/>
                      <w:u w:val="none"/>
                      <w14:textFill>
                        <w14:solidFill>
                          <w14:schemeClr w14:val="tx1"/>
                        </w14:solidFill>
                      </w14:textFill>
                    </w:rPr>
                  </w:pPr>
                </w:p>
              </w:tc>
              <w:tc>
                <w:tcPr>
                  <w:tcW w:w="679" w:type="dxa"/>
                  <w:vMerge w:val="continue"/>
                  <w:tcBorders>
                    <w:tl2br w:val="nil"/>
                    <w:tr2bl w:val="nil"/>
                  </w:tcBorders>
                  <w:vAlign w:val="center"/>
                </w:tcPr>
                <w:p w14:paraId="6131B0D9">
                  <w:pPr>
                    <w:pStyle w:val="10"/>
                    <w:adjustRightInd w:val="0"/>
                    <w:spacing w:before="0" w:after="0" w:line="240" w:lineRule="auto"/>
                    <w:ind w:right="0"/>
                    <w:rPr>
                      <w:color w:val="000000" w:themeColor="text1"/>
                      <w:sz w:val="21"/>
                      <w:szCs w:val="21"/>
                      <w:u w:val="none"/>
                      <w14:textFill>
                        <w14:solidFill>
                          <w14:schemeClr w14:val="tx1"/>
                        </w14:solidFill>
                      </w14:textFill>
                    </w:rPr>
                  </w:pPr>
                </w:p>
              </w:tc>
              <w:tc>
                <w:tcPr>
                  <w:tcW w:w="1205" w:type="dxa"/>
                  <w:tcBorders>
                    <w:tl2br w:val="nil"/>
                    <w:tr2bl w:val="nil"/>
                  </w:tcBorders>
                  <w:vAlign w:val="center"/>
                </w:tcPr>
                <w:p w14:paraId="2619564C">
                  <w:pPr>
                    <w:pStyle w:val="10"/>
                    <w:adjustRightInd w:val="0"/>
                    <w:spacing w:before="0" w:after="0" w:line="240" w:lineRule="auto"/>
                    <w:ind w:right="0"/>
                    <w:rPr>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升压站噪声</w:t>
                  </w:r>
                </w:p>
              </w:tc>
              <w:tc>
                <w:tcPr>
                  <w:tcW w:w="3735" w:type="dxa"/>
                  <w:tcBorders>
                    <w:tl2br w:val="nil"/>
                    <w:tr2bl w:val="nil"/>
                  </w:tcBorders>
                  <w:vAlign w:val="center"/>
                </w:tcPr>
                <w:p w14:paraId="736501F7">
                  <w:pPr>
                    <w:pStyle w:val="10"/>
                    <w:adjustRightInd w:val="0"/>
                    <w:spacing w:before="0" w:after="0" w:line="240" w:lineRule="auto"/>
                    <w:ind w:right="0"/>
                    <w:rPr>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选用低噪声主变压器，优化站内布局</w:t>
                  </w:r>
                </w:p>
              </w:tc>
              <w:tc>
                <w:tcPr>
                  <w:tcW w:w="1394" w:type="dxa"/>
                  <w:vMerge w:val="continue"/>
                  <w:tcBorders>
                    <w:tl2br w:val="nil"/>
                    <w:tr2bl w:val="nil"/>
                  </w:tcBorders>
                  <w:vAlign w:val="center"/>
                </w:tcPr>
                <w:p w14:paraId="48FEE7FA">
                  <w:pPr>
                    <w:pStyle w:val="10"/>
                    <w:adjustRightInd w:val="0"/>
                    <w:spacing w:before="0" w:after="0" w:line="240" w:lineRule="auto"/>
                    <w:ind w:right="0"/>
                    <w:rPr>
                      <w:color w:val="000000" w:themeColor="text1"/>
                      <w:sz w:val="21"/>
                      <w:szCs w:val="21"/>
                      <w:u w:val="none"/>
                      <w14:textFill>
                        <w14:solidFill>
                          <w14:schemeClr w14:val="tx1"/>
                        </w14:solidFill>
                      </w14:textFill>
                    </w:rPr>
                  </w:pPr>
                </w:p>
              </w:tc>
            </w:tr>
            <w:tr w14:paraId="23FB7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5" w:type="dxa"/>
                  <w:vMerge w:val="continue"/>
                  <w:tcBorders>
                    <w:tl2br w:val="nil"/>
                    <w:tr2bl w:val="nil"/>
                  </w:tcBorders>
                  <w:vAlign w:val="center"/>
                </w:tcPr>
                <w:p w14:paraId="487CFA0A">
                  <w:pPr>
                    <w:pStyle w:val="10"/>
                    <w:adjustRightInd w:val="0"/>
                    <w:spacing w:before="0" w:after="0" w:line="240" w:lineRule="auto"/>
                    <w:ind w:right="0"/>
                    <w:rPr>
                      <w:color w:val="000000" w:themeColor="text1"/>
                      <w:sz w:val="21"/>
                      <w:szCs w:val="21"/>
                      <w:u w:val="none"/>
                      <w14:textFill>
                        <w14:solidFill>
                          <w14:schemeClr w14:val="tx1"/>
                        </w14:solidFill>
                      </w14:textFill>
                    </w:rPr>
                  </w:pPr>
                </w:p>
              </w:tc>
              <w:tc>
                <w:tcPr>
                  <w:tcW w:w="679" w:type="dxa"/>
                  <w:vMerge w:val="restart"/>
                  <w:tcBorders>
                    <w:tl2br w:val="nil"/>
                    <w:tr2bl w:val="nil"/>
                  </w:tcBorders>
                  <w:vAlign w:val="center"/>
                </w:tcPr>
                <w:p w14:paraId="13B2293F">
                  <w:pPr>
                    <w:pStyle w:val="10"/>
                    <w:adjustRightInd w:val="0"/>
                    <w:spacing w:before="0" w:after="0" w:line="240" w:lineRule="auto"/>
                    <w:ind w:right="0"/>
                    <w:rPr>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固体废物</w:t>
                  </w:r>
                </w:p>
              </w:tc>
              <w:tc>
                <w:tcPr>
                  <w:tcW w:w="1205" w:type="dxa"/>
                  <w:tcBorders>
                    <w:tl2br w:val="nil"/>
                    <w:tr2bl w:val="nil"/>
                  </w:tcBorders>
                  <w:vAlign w:val="center"/>
                </w:tcPr>
                <w:p w14:paraId="48850A9B">
                  <w:pPr>
                    <w:pStyle w:val="10"/>
                    <w:adjustRightInd w:val="0"/>
                    <w:spacing w:before="0" w:after="0" w:line="240" w:lineRule="auto"/>
                    <w:ind w:right="0"/>
                    <w:rPr>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生活垃圾</w:t>
                  </w:r>
                </w:p>
              </w:tc>
              <w:tc>
                <w:tcPr>
                  <w:tcW w:w="3735" w:type="dxa"/>
                  <w:tcBorders>
                    <w:tl2br w:val="nil"/>
                    <w:tr2bl w:val="nil"/>
                  </w:tcBorders>
                  <w:vAlign w:val="center"/>
                </w:tcPr>
                <w:p w14:paraId="7B9660E3">
                  <w:pPr>
                    <w:pStyle w:val="10"/>
                    <w:adjustRightInd w:val="0"/>
                    <w:spacing w:before="0" w:after="0" w:line="240" w:lineRule="auto"/>
                    <w:ind w:right="0"/>
                    <w:rPr>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升压站设置垃圾箱，将生活垃圾进行分类收集后，交由乡镇环卫部门统一收集处置</w:t>
                  </w:r>
                </w:p>
              </w:tc>
              <w:tc>
                <w:tcPr>
                  <w:tcW w:w="1394" w:type="dxa"/>
                  <w:vMerge w:val="continue"/>
                  <w:tcBorders>
                    <w:tl2br w:val="nil"/>
                    <w:tr2bl w:val="nil"/>
                  </w:tcBorders>
                  <w:vAlign w:val="center"/>
                </w:tcPr>
                <w:p w14:paraId="1E953A64">
                  <w:pPr>
                    <w:pStyle w:val="10"/>
                    <w:adjustRightInd w:val="0"/>
                    <w:spacing w:before="0" w:after="0" w:line="240" w:lineRule="auto"/>
                    <w:ind w:right="0"/>
                    <w:rPr>
                      <w:color w:val="000000" w:themeColor="text1"/>
                      <w:sz w:val="21"/>
                      <w:szCs w:val="21"/>
                      <w:u w:val="none"/>
                      <w14:textFill>
                        <w14:solidFill>
                          <w14:schemeClr w14:val="tx1"/>
                        </w14:solidFill>
                      </w14:textFill>
                    </w:rPr>
                  </w:pPr>
                </w:p>
              </w:tc>
            </w:tr>
            <w:tr w14:paraId="56EBB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5" w:type="dxa"/>
                  <w:vMerge w:val="continue"/>
                  <w:tcBorders>
                    <w:tl2br w:val="nil"/>
                    <w:tr2bl w:val="nil"/>
                  </w:tcBorders>
                  <w:vAlign w:val="center"/>
                </w:tcPr>
                <w:p w14:paraId="18931607">
                  <w:pPr>
                    <w:pStyle w:val="10"/>
                    <w:adjustRightInd w:val="0"/>
                    <w:spacing w:before="0" w:after="0" w:line="240" w:lineRule="auto"/>
                    <w:ind w:right="0"/>
                    <w:rPr>
                      <w:color w:val="000000" w:themeColor="text1"/>
                      <w:sz w:val="21"/>
                      <w:szCs w:val="21"/>
                      <w:u w:val="none"/>
                      <w14:textFill>
                        <w14:solidFill>
                          <w14:schemeClr w14:val="tx1"/>
                        </w14:solidFill>
                      </w14:textFill>
                    </w:rPr>
                  </w:pPr>
                </w:p>
              </w:tc>
              <w:tc>
                <w:tcPr>
                  <w:tcW w:w="679" w:type="dxa"/>
                  <w:vMerge w:val="continue"/>
                  <w:tcBorders>
                    <w:tl2br w:val="nil"/>
                    <w:tr2bl w:val="nil"/>
                  </w:tcBorders>
                  <w:vAlign w:val="center"/>
                </w:tcPr>
                <w:p w14:paraId="575DE92F">
                  <w:pPr>
                    <w:pStyle w:val="10"/>
                    <w:adjustRightInd w:val="0"/>
                    <w:spacing w:before="0" w:after="0" w:line="240" w:lineRule="auto"/>
                    <w:ind w:right="0"/>
                    <w:rPr>
                      <w:color w:val="000000" w:themeColor="text1"/>
                      <w:sz w:val="21"/>
                      <w:szCs w:val="21"/>
                      <w:u w:val="none"/>
                      <w14:textFill>
                        <w14:solidFill>
                          <w14:schemeClr w14:val="tx1"/>
                        </w14:solidFill>
                      </w14:textFill>
                    </w:rPr>
                  </w:pPr>
                </w:p>
              </w:tc>
              <w:tc>
                <w:tcPr>
                  <w:tcW w:w="1205" w:type="dxa"/>
                  <w:tcBorders>
                    <w:tl2br w:val="nil"/>
                    <w:tr2bl w:val="nil"/>
                  </w:tcBorders>
                  <w:vAlign w:val="center"/>
                </w:tcPr>
                <w:p w14:paraId="0FD2FC70">
                  <w:pPr>
                    <w:pStyle w:val="10"/>
                    <w:adjustRightInd w:val="0"/>
                    <w:spacing w:before="0" w:after="0" w:line="240" w:lineRule="auto"/>
                    <w:ind w:right="0"/>
                    <w:rPr>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废旧</w:t>
                  </w:r>
                  <w:r>
                    <w:rPr>
                      <w:rFonts w:hint="eastAsia"/>
                      <w:color w:val="000000" w:themeColor="text1"/>
                      <w:sz w:val="21"/>
                      <w:szCs w:val="21"/>
                      <w:u w:val="none"/>
                      <w14:textFill>
                        <w14:solidFill>
                          <w14:schemeClr w14:val="tx1"/>
                        </w14:solidFill>
                      </w14:textFill>
                    </w:rPr>
                    <w:t>铅</w:t>
                  </w:r>
                  <w:r>
                    <w:rPr>
                      <w:color w:val="000000" w:themeColor="text1"/>
                      <w:sz w:val="21"/>
                      <w:szCs w:val="21"/>
                      <w:u w:val="none"/>
                      <w14:textFill>
                        <w14:solidFill>
                          <w14:schemeClr w14:val="tx1"/>
                        </w14:solidFill>
                      </w14:textFill>
                    </w:rPr>
                    <w:t>蓄电池、废油</w:t>
                  </w:r>
                  <w:r>
                    <w:rPr>
                      <w:rFonts w:hint="eastAsia"/>
                      <w:color w:val="000000" w:themeColor="text1"/>
                      <w:sz w:val="21"/>
                      <w:szCs w:val="21"/>
                      <w:u w:val="none"/>
                      <w14:textFill>
                        <w14:solidFill>
                          <w14:schemeClr w14:val="tx1"/>
                        </w14:solidFill>
                      </w14:textFill>
                    </w:rPr>
                    <w:t>等</w:t>
                  </w:r>
                </w:p>
              </w:tc>
              <w:tc>
                <w:tcPr>
                  <w:tcW w:w="3735" w:type="dxa"/>
                  <w:tcBorders>
                    <w:tl2br w:val="nil"/>
                    <w:tr2bl w:val="nil"/>
                  </w:tcBorders>
                  <w:vAlign w:val="center"/>
                </w:tcPr>
                <w:p w14:paraId="5BFD3989">
                  <w:pPr>
                    <w:pStyle w:val="10"/>
                    <w:adjustRightInd w:val="0"/>
                    <w:spacing w:before="0" w:after="0" w:line="240" w:lineRule="auto"/>
                    <w:ind w:right="0"/>
                    <w:rPr>
                      <w:color w:val="000000" w:themeColor="text1"/>
                      <w:sz w:val="21"/>
                      <w:szCs w:val="21"/>
                      <w:u w:val="none"/>
                      <w14:textFill>
                        <w14:solidFill>
                          <w14:schemeClr w14:val="tx1"/>
                        </w14:solidFill>
                      </w14:textFill>
                    </w:rPr>
                  </w:pPr>
                  <w:r>
                    <w:rPr>
                      <w:rFonts w:hint="eastAsia"/>
                      <w:color w:val="000000" w:themeColor="text1"/>
                      <w:sz w:val="21"/>
                      <w:szCs w:val="21"/>
                      <w:u w:val="none"/>
                      <w14:textFill>
                        <w14:solidFill>
                          <w14:schemeClr w14:val="tx1"/>
                        </w14:solidFill>
                      </w14:textFill>
                    </w:rPr>
                    <w:t>危废间、事故油池暂存，</w:t>
                  </w:r>
                  <w:r>
                    <w:rPr>
                      <w:color w:val="000000" w:themeColor="text1"/>
                      <w:sz w:val="21"/>
                      <w:szCs w:val="21"/>
                      <w:u w:val="none"/>
                      <w14:textFill>
                        <w14:solidFill>
                          <w14:schemeClr w14:val="tx1"/>
                        </w14:solidFill>
                      </w14:textFill>
                    </w:rPr>
                    <w:t>由有资质单位处理</w:t>
                  </w:r>
                </w:p>
              </w:tc>
              <w:tc>
                <w:tcPr>
                  <w:tcW w:w="1394" w:type="dxa"/>
                  <w:vMerge w:val="continue"/>
                  <w:tcBorders>
                    <w:tl2br w:val="nil"/>
                    <w:tr2bl w:val="nil"/>
                  </w:tcBorders>
                  <w:vAlign w:val="center"/>
                </w:tcPr>
                <w:p w14:paraId="0EC480BC">
                  <w:pPr>
                    <w:pStyle w:val="10"/>
                    <w:adjustRightInd w:val="0"/>
                    <w:spacing w:before="0" w:after="0" w:line="240" w:lineRule="auto"/>
                    <w:ind w:right="0"/>
                    <w:rPr>
                      <w:color w:val="000000" w:themeColor="text1"/>
                      <w:sz w:val="21"/>
                      <w:szCs w:val="21"/>
                      <w:u w:val="none"/>
                      <w14:textFill>
                        <w14:solidFill>
                          <w14:schemeClr w14:val="tx1"/>
                        </w14:solidFill>
                      </w14:textFill>
                    </w:rPr>
                  </w:pPr>
                </w:p>
              </w:tc>
            </w:tr>
            <w:tr w14:paraId="387DC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5" w:type="dxa"/>
                  <w:vMerge w:val="continue"/>
                  <w:tcBorders>
                    <w:tl2br w:val="nil"/>
                    <w:tr2bl w:val="nil"/>
                  </w:tcBorders>
                  <w:vAlign w:val="center"/>
                </w:tcPr>
                <w:p w14:paraId="62360E11">
                  <w:pPr>
                    <w:pStyle w:val="10"/>
                    <w:adjustRightInd w:val="0"/>
                    <w:spacing w:before="0" w:after="0" w:line="240" w:lineRule="auto"/>
                    <w:ind w:right="0"/>
                    <w:rPr>
                      <w:color w:val="000000" w:themeColor="text1"/>
                      <w:sz w:val="21"/>
                      <w:szCs w:val="21"/>
                      <w:u w:val="none"/>
                      <w14:textFill>
                        <w14:solidFill>
                          <w14:schemeClr w14:val="tx1"/>
                        </w14:solidFill>
                      </w14:textFill>
                    </w:rPr>
                  </w:pPr>
                </w:p>
              </w:tc>
              <w:tc>
                <w:tcPr>
                  <w:tcW w:w="679" w:type="dxa"/>
                  <w:tcBorders>
                    <w:tl2br w:val="nil"/>
                    <w:tr2bl w:val="nil"/>
                  </w:tcBorders>
                  <w:vAlign w:val="center"/>
                </w:tcPr>
                <w:p w14:paraId="1FEEBD80">
                  <w:pPr>
                    <w:pStyle w:val="10"/>
                    <w:adjustRightInd w:val="0"/>
                    <w:spacing w:before="0" w:after="0" w:line="240" w:lineRule="auto"/>
                    <w:ind w:right="0"/>
                    <w:rPr>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生态环境</w:t>
                  </w:r>
                </w:p>
              </w:tc>
              <w:tc>
                <w:tcPr>
                  <w:tcW w:w="1205" w:type="dxa"/>
                  <w:tcBorders>
                    <w:tl2br w:val="nil"/>
                    <w:tr2bl w:val="nil"/>
                  </w:tcBorders>
                  <w:vAlign w:val="center"/>
                </w:tcPr>
                <w:p w14:paraId="15C00658">
                  <w:pPr>
                    <w:pStyle w:val="10"/>
                    <w:adjustRightInd w:val="0"/>
                    <w:spacing w:before="0" w:after="0" w:line="240" w:lineRule="auto"/>
                    <w:ind w:right="0"/>
                    <w:rPr>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生态恢复</w:t>
                  </w:r>
                </w:p>
              </w:tc>
              <w:tc>
                <w:tcPr>
                  <w:tcW w:w="3735" w:type="dxa"/>
                  <w:tcBorders>
                    <w:tl2br w:val="nil"/>
                    <w:tr2bl w:val="nil"/>
                  </w:tcBorders>
                  <w:vAlign w:val="center"/>
                </w:tcPr>
                <w:p w14:paraId="2C49A76B">
                  <w:pPr>
                    <w:pStyle w:val="10"/>
                    <w:adjustRightInd w:val="0"/>
                    <w:spacing w:before="0" w:after="0" w:line="240" w:lineRule="auto"/>
                    <w:ind w:right="0"/>
                    <w:rPr>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营运初期落实生态恢复措施，确保生态恢复效果</w:t>
                  </w:r>
                </w:p>
              </w:tc>
              <w:tc>
                <w:tcPr>
                  <w:tcW w:w="1394" w:type="dxa"/>
                  <w:vMerge w:val="continue"/>
                  <w:tcBorders>
                    <w:tl2br w:val="nil"/>
                    <w:tr2bl w:val="nil"/>
                  </w:tcBorders>
                  <w:vAlign w:val="center"/>
                </w:tcPr>
                <w:p w14:paraId="0D97A16F">
                  <w:pPr>
                    <w:pStyle w:val="10"/>
                    <w:adjustRightInd w:val="0"/>
                    <w:spacing w:before="0" w:after="0" w:line="240" w:lineRule="auto"/>
                    <w:ind w:right="0"/>
                    <w:rPr>
                      <w:color w:val="000000" w:themeColor="text1"/>
                      <w:sz w:val="21"/>
                      <w:szCs w:val="21"/>
                      <w:u w:val="none"/>
                      <w14:textFill>
                        <w14:solidFill>
                          <w14:schemeClr w14:val="tx1"/>
                        </w14:solidFill>
                      </w14:textFill>
                    </w:rPr>
                  </w:pPr>
                </w:p>
              </w:tc>
            </w:tr>
          </w:tbl>
          <w:p w14:paraId="059C524E">
            <w:pPr>
              <w:pStyle w:val="10"/>
              <w:ind w:firstLine="360"/>
              <w:rPr>
                <w:color w:val="FF0000"/>
              </w:rPr>
            </w:pPr>
          </w:p>
        </w:tc>
      </w:tr>
      <w:tr w14:paraId="0C8179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33" w:hRule="atLeast"/>
        </w:trPr>
        <w:tc>
          <w:tcPr>
            <w:tcW w:w="696" w:type="dxa"/>
            <w:vAlign w:val="center"/>
          </w:tcPr>
          <w:p w14:paraId="10D3EA5D">
            <w:pPr>
              <w:adjustRightInd w:val="0"/>
              <w:snapToGrid w:val="0"/>
              <w:jc w:val="center"/>
              <w:rPr>
                <w:bCs/>
                <w:color w:val="FF0000"/>
                <w:spacing w:val="10"/>
                <w:szCs w:val="21"/>
              </w:rPr>
            </w:pPr>
            <w:r>
              <w:rPr>
                <w:bCs/>
                <w:color w:val="000000" w:themeColor="text1"/>
                <w:szCs w:val="21"/>
                <w14:textFill>
                  <w14:solidFill>
                    <w14:schemeClr w14:val="tx1"/>
                  </w14:solidFill>
                </w14:textFill>
              </w:rPr>
              <w:t>环保投资</w:t>
            </w:r>
          </w:p>
        </w:tc>
        <w:tc>
          <w:tcPr>
            <w:tcW w:w="7837" w:type="dxa"/>
          </w:tcPr>
          <w:p w14:paraId="6A013257">
            <w:pPr>
              <w:spacing w:before="120" w:beforeLines="50"/>
              <w:ind w:firstLine="480" w:firstLineChars="200"/>
              <w:rPr>
                <w:color w:val="000000" w:themeColor="text1"/>
                <w:u w:val="none"/>
                <w14:textFill>
                  <w14:solidFill>
                    <w14:schemeClr w14:val="tx1"/>
                  </w14:solidFill>
                </w14:textFill>
              </w:rPr>
            </w:pPr>
            <w:r>
              <w:rPr>
                <w:color w:val="000000" w:themeColor="text1"/>
                <w:u w:val="none"/>
                <w14:textFill>
                  <w14:solidFill>
                    <w14:schemeClr w14:val="tx1"/>
                  </w14:solidFill>
                </w14:textFill>
              </w:rPr>
              <w:t>本工程总投资</w:t>
            </w:r>
            <w:r>
              <w:rPr>
                <w:rFonts w:hint="eastAsia"/>
                <w:color w:val="000000" w:themeColor="text1"/>
                <w:u w:val="none"/>
                <w:lang w:val="en-US" w:eastAsia="zh-CN"/>
                <w14:textFill>
                  <w14:solidFill>
                    <w14:schemeClr w14:val="tx1"/>
                  </w14:solidFill>
                </w14:textFill>
              </w:rPr>
              <w:t>57077.19</w:t>
            </w:r>
            <w:r>
              <w:rPr>
                <w:color w:val="000000" w:themeColor="text1"/>
                <w:u w:val="none"/>
                <w14:textFill>
                  <w14:solidFill>
                    <w14:schemeClr w14:val="tx1"/>
                  </w14:solidFill>
                </w14:textFill>
              </w:rPr>
              <w:t>万元，计算得到本项目环境保护投资</w:t>
            </w:r>
            <w:r>
              <w:rPr>
                <w:rFonts w:hint="eastAsia"/>
                <w:color w:val="000000" w:themeColor="text1"/>
                <w:u w:val="none"/>
                <w:lang w:val="en-US" w:eastAsia="zh-CN"/>
                <w14:textFill>
                  <w14:solidFill>
                    <w14:schemeClr w14:val="tx1"/>
                  </w14:solidFill>
                </w14:textFill>
              </w:rPr>
              <w:t>2230.5</w:t>
            </w:r>
            <w:r>
              <w:rPr>
                <w:color w:val="000000" w:themeColor="text1"/>
                <w:u w:val="none"/>
                <w14:textFill>
                  <w14:solidFill>
                    <w14:schemeClr w14:val="tx1"/>
                  </w14:solidFill>
                </w14:textFill>
              </w:rPr>
              <w:t>万元，扣除水保投资后，环保投资</w:t>
            </w:r>
            <w:r>
              <w:rPr>
                <w:rFonts w:hint="eastAsia"/>
                <w:color w:val="000000" w:themeColor="text1"/>
                <w:u w:val="none"/>
                <w:lang w:val="en-US" w:eastAsia="zh-CN"/>
                <w14:textFill>
                  <w14:solidFill>
                    <w14:schemeClr w14:val="tx1"/>
                  </w14:solidFill>
                </w14:textFill>
              </w:rPr>
              <w:t>480</w:t>
            </w:r>
            <w:r>
              <w:rPr>
                <w:color w:val="000000" w:themeColor="text1"/>
                <w:u w:val="none"/>
                <w14:textFill>
                  <w14:solidFill>
                    <w14:schemeClr w14:val="tx1"/>
                  </w14:solidFill>
                </w14:textFill>
              </w:rPr>
              <w:t>万</w:t>
            </w:r>
            <w:r>
              <w:rPr>
                <w:rFonts w:hint="eastAsia"/>
                <w:color w:val="000000" w:themeColor="text1"/>
                <w:u w:val="none"/>
                <w:lang w:val="en-US" w:eastAsia="zh-CN"/>
                <w14:textFill>
                  <w14:solidFill>
                    <w14:schemeClr w14:val="tx1"/>
                  </w14:solidFill>
                </w14:textFill>
              </w:rPr>
              <w:t>元</w:t>
            </w:r>
            <w:r>
              <w:rPr>
                <w:color w:val="000000" w:themeColor="text1"/>
                <w:u w:val="none"/>
                <w14:textFill>
                  <w14:solidFill>
                    <w14:schemeClr w14:val="tx1"/>
                  </w14:solidFill>
                </w14:textFill>
              </w:rPr>
              <w:t>，占工程总投资的</w:t>
            </w:r>
            <w:r>
              <w:rPr>
                <w:rFonts w:hint="eastAsia"/>
                <w:color w:val="000000" w:themeColor="text1"/>
                <w:u w:val="none"/>
                <w:lang w:val="en-US" w:eastAsia="zh-CN"/>
                <w14:textFill>
                  <w14:solidFill>
                    <w14:schemeClr w14:val="tx1"/>
                  </w14:solidFill>
                </w14:textFill>
              </w:rPr>
              <w:t>0.084</w:t>
            </w:r>
            <w:r>
              <w:rPr>
                <w:rFonts w:hint="eastAsia"/>
                <w:color w:val="000000" w:themeColor="text1"/>
                <w:u w:val="none"/>
                <w:lang w:eastAsia="zh-CN"/>
                <w14:textFill>
                  <w14:solidFill>
                    <w14:schemeClr w14:val="tx1"/>
                  </w14:solidFill>
                </w14:textFill>
              </w:rPr>
              <w:t>%</w:t>
            </w:r>
            <w:r>
              <w:rPr>
                <w:color w:val="000000" w:themeColor="text1"/>
                <w:u w:val="none"/>
                <w14:textFill>
                  <w14:solidFill>
                    <w14:schemeClr w14:val="tx1"/>
                  </w14:solidFill>
                </w14:textFill>
              </w:rPr>
              <w:t>，其费用构成见下表。</w:t>
            </w:r>
          </w:p>
          <w:p w14:paraId="6C3AED0A">
            <w:pPr>
              <w:pStyle w:val="8"/>
              <w:spacing w:line="240" w:lineRule="auto"/>
              <w:rPr>
                <w:color w:val="000000" w:themeColor="text1"/>
                <w:u w:val="none"/>
                <w14:textFill>
                  <w14:solidFill>
                    <w14:schemeClr w14:val="tx1"/>
                  </w14:solidFill>
                </w14:textFill>
              </w:rPr>
            </w:pPr>
            <w:r>
              <w:rPr>
                <w:color w:val="000000" w:themeColor="text1"/>
                <w:u w:val="none"/>
                <w14:textFill>
                  <w14:solidFill>
                    <w14:schemeClr w14:val="tx1"/>
                  </w14:solidFill>
                </w14:textFill>
              </w:rPr>
              <w:t>表</w:t>
            </w:r>
            <w:r>
              <w:rPr>
                <w:rFonts w:hint="eastAsia"/>
                <w:color w:val="000000" w:themeColor="text1"/>
                <w:u w:val="none"/>
                <w14:textFill>
                  <w14:solidFill>
                    <w14:schemeClr w14:val="tx1"/>
                  </w14:solidFill>
                </w14:textFill>
              </w:rPr>
              <w:t>5.15</w:t>
            </w:r>
            <w:r>
              <w:rPr>
                <w:rFonts w:hint="eastAsia"/>
                <w:color w:val="000000" w:themeColor="text1"/>
                <w:u w:val="none"/>
                <w:lang w:val="en-US" w:eastAsia="zh-CN"/>
                <w14:textFill>
                  <w14:solidFill>
                    <w14:schemeClr w14:val="tx1"/>
                  </w14:solidFill>
                </w14:textFill>
              </w:rPr>
              <w:t>-1</w:t>
            </w:r>
            <w:r>
              <w:rPr>
                <w:color w:val="000000" w:themeColor="text1"/>
                <w:u w:val="none"/>
                <w14:textFill>
                  <w14:solidFill>
                    <w14:schemeClr w14:val="tx1"/>
                  </w14:solidFill>
                </w14:textFill>
              </w:rPr>
              <w:t xml:space="preserve"> </w:t>
            </w:r>
            <w:r>
              <w:rPr>
                <w:rFonts w:hint="eastAsia"/>
                <w:color w:val="000000" w:themeColor="text1"/>
                <w:u w:val="none"/>
                <w14:textFill>
                  <w14:solidFill>
                    <w14:schemeClr w14:val="tx1"/>
                  </w14:solidFill>
                </w14:textFill>
              </w:rPr>
              <w:t xml:space="preserve"> </w:t>
            </w:r>
            <w:r>
              <w:rPr>
                <w:color w:val="000000" w:themeColor="text1"/>
                <w:u w:val="none"/>
                <w14:textFill>
                  <w14:solidFill>
                    <w14:schemeClr w14:val="tx1"/>
                  </w14:solidFill>
                </w14:textFill>
              </w:rPr>
              <w:t>项目环境保护投资一览表（单位：万元）</w:t>
            </w:r>
          </w:p>
          <w:tbl>
            <w:tblPr>
              <w:tblStyle w:val="26"/>
              <w:tblW w:w="76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350"/>
              <w:gridCol w:w="350"/>
              <w:gridCol w:w="799"/>
              <w:gridCol w:w="4259"/>
              <w:gridCol w:w="739"/>
              <w:gridCol w:w="1114"/>
            </w:tblGrid>
            <w:tr w14:paraId="7E8E0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50" w:type="dxa"/>
                  <w:tcBorders>
                    <w:tl2br w:val="nil"/>
                    <w:tr2bl w:val="nil"/>
                  </w:tcBorders>
                  <w:vAlign w:val="center"/>
                </w:tcPr>
                <w:p w14:paraId="3FF6F4B1">
                  <w:pPr>
                    <w:pStyle w:val="63"/>
                    <w:spacing w:before="24" w:after="24"/>
                    <w:rPr>
                      <w:rFonts w:ascii="Times New Roman" w:hAnsi="Times New Roman"/>
                      <w:b/>
                      <w:bCs/>
                      <w:color w:val="000000" w:themeColor="text1"/>
                      <w:sz w:val="21"/>
                      <w:u w:val="none"/>
                      <w14:textFill>
                        <w14:solidFill>
                          <w14:schemeClr w14:val="tx1"/>
                        </w14:solidFill>
                      </w14:textFill>
                    </w:rPr>
                  </w:pPr>
                  <w:r>
                    <w:rPr>
                      <w:rFonts w:ascii="Times New Roman" w:hAnsi="Times New Roman"/>
                      <w:b/>
                      <w:bCs/>
                      <w:color w:val="000000" w:themeColor="text1"/>
                      <w:sz w:val="21"/>
                      <w:u w:val="none"/>
                      <w14:textFill>
                        <w14:solidFill>
                          <w14:schemeClr w14:val="tx1"/>
                        </w14:solidFill>
                      </w14:textFill>
                    </w:rPr>
                    <w:t>时期</w:t>
                  </w:r>
                </w:p>
              </w:tc>
              <w:tc>
                <w:tcPr>
                  <w:tcW w:w="1149" w:type="dxa"/>
                  <w:gridSpan w:val="2"/>
                  <w:tcBorders>
                    <w:tl2br w:val="nil"/>
                    <w:tr2bl w:val="nil"/>
                  </w:tcBorders>
                  <w:vAlign w:val="center"/>
                </w:tcPr>
                <w:p w14:paraId="1FC70DFC">
                  <w:pPr>
                    <w:pStyle w:val="63"/>
                    <w:spacing w:before="24" w:after="24"/>
                    <w:rPr>
                      <w:rFonts w:ascii="Times New Roman" w:hAnsi="Times New Roman"/>
                      <w:b/>
                      <w:bCs/>
                      <w:color w:val="000000" w:themeColor="text1"/>
                      <w:sz w:val="21"/>
                      <w:u w:val="none"/>
                      <w14:textFill>
                        <w14:solidFill>
                          <w14:schemeClr w14:val="tx1"/>
                        </w14:solidFill>
                      </w14:textFill>
                    </w:rPr>
                  </w:pPr>
                  <w:r>
                    <w:rPr>
                      <w:rFonts w:ascii="Times New Roman" w:hAnsi="Times New Roman"/>
                      <w:b/>
                      <w:bCs/>
                      <w:color w:val="000000" w:themeColor="text1"/>
                      <w:sz w:val="21"/>
                      <w:u w:val="none"/>
                      <w14:textFill>
                        <w14:solidFill>
                          <w14:schemeClr w14:val="tx1"/>
                        </w14:solidFill>
                      </w14:textFill>
                    </w:rPr>
                    <w:t>项  目</w:t>
                  </w:r>
                </w:p>
              </w:tc>
              <w:tc>
                <w:tcPr>
                  <w:tcW w:w="4259" w:type="dxa"/>
                  <w:tcBorders>
                    <w:tl2br w:val="nil"/>
                    <w:tr2bl w:val="nil"/>
                  </w:tcBorders>
                  <w:vAlign w:val="center"/>
                </w:tcPr>
                <w:p w14:paraId="6F0EC87E">
                  <w:pPr>
                    <w:pStyle w:val="63"/>
                    <w:spacing w:before="24" w:after="24"/>
                    <w:rPr>
                      <w:rFonts w:ascii="Times New Roman" w:hAnsi="Times New Roman"/>
                      <w:b/>
                      <w:bCs/>
                      <w:color w:val="000000" w:themeColor="text1"/>
                      <w:sz w:val="21"/>
                      <w:u w:val="none"/>
                      <w14:textFill>
                        <w14:solidFill>
                          <w14:schemeClr w14:val="tx1"/>
                        </w14:solidFill>
                      </w14:textFill>
                    </w:rPr>
                  </w:pPr>
                  <w:r>
                    <w:rPr>
                      <w:rFonts w:ascii="Times New Roman" w:hAnsi="Times New Roman"/>
                      <w:b/>
                      <w:bCs/>
                      <w:color w:val="000000" w:themeColor="text1"/>
                      <w:sz w:val="21"/>
                      <w:u w:val="none"/>
                      <w14:textFill>
                        <w14:solidFill>
                          <w14:schemeClr w14:val="tx1"/>
                        </w14:solidFill>
                      </w14:textFill>
                    </w:rPr>
                    <w:t>治理措施</w:t>
                  </w:r>
                </w:p>
              </w:tc>
              <w:tc>
                <w:tcPr>
                  <w:tcW w:w="739" w:type="dxa"/>
                  <w:tcBorders>
                    <w:tl2br w:val="nil"/>
                    <w:tr2bl w:val="nil"/>
                  </w:tcBorders>
                  <w:vAlign w:val="center"/>
                </w:tcPr>
                <w:p w14:paraId="6F678F40">
                  <w:pPr>
                    <w:pStyle w:val="63"/>
                    <w:spacing w:before="24" w:after="24"/>
                    <w:rPr>
                      <w:rFonts w:ascii="Times New Roman" w:hAnsi="Times New Roman"/>
                      <w:b/>
                      <w:bCs/>
                      <w:color w:val="000000" w:themeColor="text1"/>
                      <w:sz w:val="21"/>
                      <w:u w:val="none"/>
                      <w14:textFill>
                        <w14:solidFill>
                          <w14:schemeClr w14:val="tx1"/>
                        </w14:solidFill>
                      </w14:textFill>
                    </w:rPr>
                  </w:pPr>
                  <w:r>
                    <w:rPr>
                      <w:rFonts w:ascii="Times New Roman" w:hAnsi="Times New Roman"/>
                      <w:b/>
                      <w:bCs/>
                      <w:color w:val="000000" w:themeColor="text1"/>
                      <w:sz w:val="21"/>
                      <w:u w:val="none"/>
                      <w14:textFill>
                        <w14:solidFill>
                          <w14:schemeClr w14:val="tx1"/>
                        </w14:solidFill>
                      </w14:textFill>
                    </w:rPr>
                    <w:t>投资</w:t>
                  </w:r>
                </w:p>
              </w:tc>
              <w:tc>
                <w:tcPr>
                  <w:tcW w:w="1114" w:type="dxa"/>
                  <w:tcBorders>
                    <w:tl2br w:val="nil"/>
                    <w:tr2bl w:val="nil"/>
                  </w:tcBorders>
                  <w:vAlign w:val="center"/>
                </w:tcPr>
                <w:p w14:paraId="0980916E">
                  <w:pPr>
                    <w:pStyle w:val="63"/>
                    <w:spacing w:before="24" w:after="24"/>
                    <w:rPr>
                      <w:rFonts w:ascii="Times New Roman" w:hAnsi="Times New Roman"/>
                      <w:b/>
                      <w:bCs/>
                      <w:color w:val="000000" w:themeColor="text1"/>
                      <w:sz w:val="21"/>
                      <w:u w:val="none"/>
                      <w14:textFill>
                        <w14:solidFill>
                          <w14:schemeClr w14:val="tx1"/>
                        </w14:solidFill>
                      </w14:textFill>
                    </w:rPr>
                  </w:pPr>
                  <w:r>
                    <w:rPr>
                      <w:rFonts w:ascii="Times New Roman" w:hAnsi="Times New Roman"/>
                      <w:b/>
                      <w:bCs/>
                      <w:color w:val="000000" w:themeColor="text1"/>
                      <w:sz w:val="21"/>
                      <w:u w:val="none"/>
                      <w14:textFill>
                        <w14:solidFill>
                          <w14:schemeClr w14:val="tx1"/>
                        </w14:solidFill>
                      </w14:textFill>
                    </w:rPr>
                    <w:t>治理效果</w:t>
                  </w:r>
                </w:p>
              </w:tc>
            </w:tr>
            <w:tr w14:paraId="252FD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50" w:type="dxa"/>
                  <w:vMerge w:val="restart"/>
                  <w:tcBorders>
                    <w:tl2br w:val="nil"/>
                    <w:tr2bl w:val="nil"/>
                  </w:tcBorders>
                  <w:vAlign w:val="center"/>
                </w:tcPr>
                <w:p w14:paraId="28D422DA">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施</w:t>
                  </w:r>
                </w:p>
                <w:p w14:paraId="4D34067B">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工</w:t>
                  </w:r>
                </w:p>
                <w:p w14:paraId="6F7A4128">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期</w:t>
                  </w:r>
                </w:p>
              </w:tc>
              <w:tc>
                <w:tcPr>
                  <w:tcW w:w="350" w:type="dxa"/>
                  <w:vMerge w:val="restart"/>
                  <w:tcBorders>
                    <w:tl2br w:val="nil"/>
                    <w:tr2bl w:val="nil"/>
                  </w:tcBorders>
                  <w:vAlign w:val="center"/>
                </w:tcPr>
                <w:p w14:paraId="3A7A4F47">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水环境</w:t>
                  </w:r>
                </w:p>
              </w:tc>
              <w:tc>
                <w:tcPr>
                  <w:tcW w:w="799" w:type="dxa"/>
                  <w:tcBorders>
                    <w:tl2br w:val="nil"/>
                    <w:tr2bl w:val="nil"/>
                  </w:tcBorders>
                  <w:vAlign w:val="center"/>
                </w:tcPr>
                <w:p w14:paraId="607A774E">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生产废水</w:t>
                  </w:r>
                </w:p>
              </w:tc>
              <w:tc>
                <w:tcPr>
                  <w:tcW w:w="4259" w:type="dxa"/>
                  <w:tcBorders>
                    <w:tl2br w:val="nil"/>
                    <w:tr2bl w:val="nil"/>
                  </w:tcBorders>
                  <w:vAlign w:val="center"/>
                </w:tcPr>
                <w:p w14:paraId="317B48F9">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生产废水采取沉淀加隔油池处理；</w:t>
                  </w:r>
                </w:p>
              </w:tc>
              <w:tc>
                <w:tcPr>
                  <w:tcW w:w="739" w:type="dxa"/>
                  <w:vMerge w:val="restart"/>
                  <w:tcBorders>
                    <w:tl2br w:val="nil"/>
                    <w:tr2bl w:val="nil"/>
                  </w:tcBorders>
                  <w:vAlign w:val="center"/>
                </w:tcPr>
                <w:p w14:paraId="617D5063">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25.00</w:t>
                  </w:r>
                </w:p>
              </w:tc>
              <w:tc>
                <w:tcPr>
                  <w:tcW w:w="1114" w:type="dxa"/>
                  <w:vMerge w:val="restart"/>
                  <w:tcBorders>
                    <w:tl2br w:val="nil"/>
                    <w:tr2bl w:val="nil"/>
                  </w:tcBorders>
                  <w:vAlign w:val="center"/>
                </w:tcPr>
                <w:p w14:paraId="707502A5">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生产废水和生活污水处理后用于绿化</w:t>
                  </w:r>
                </w:p>
              </w:tc>
            </w:tr>
            <w:tr w14:paraId="07A5E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50" w:type="dxa"/>
                  <w:vMerge w:val="continue"/>
                  <w:tcBorders>
                    <w:tl2br w:val="nil"/>
                    <w:tr2bl w:val="nil"/>
                  </w:tcBorders>
                  <w:vAlign w:val="center"/>
                </w:tcPr>
                <w:p w14:paraId="5D21509C">
                  <w:pPr>
                    <w:pStyle w:val="63"/>
                    <w:spacing w:before="24" w:after="24"/>
                    <w:rPr>
                      <w:rFonts w:ascii="Times New Roman" w:hAnsi="Times New Roman"/>
                      <w:color w:val="000000" w:themeColor="text1"/>
                      <w:sz w:val="21"/>
                      <w:u w:val="none"/>
                      <w14:textFill>
                        <w14:solidFill>
                          <w14:schemeClr w14:val="tx1"/>
                        </w14:solidFill>
                      </w14:textFill>
                    </w:rPr>
                  </w:pPr>
                </w:p>
              </w:tc>
              <w:tc>
                <w:tcPr>
                  <w:tcW w:w="350" w:type="dxa"/>
                  <w:vMerge w:val="continue"/>
                  <w:tcBorders>
                    <w:tl2br w:val="nil"/>
                    <w:tr2bl w:val="nil"/>
                  </w:tcBorders>
                  <w:vAlign w:val="center"/>
                </w:tcPr>
                <w:p w14:paraId="4FA968CD">
                  <w:pPr>
                    <w:pStyle w:val="63"/>
                    <w:spacing w:before="24" w:after="24"/>
                    <w:rPr>
                      <w:rFonts w:ascii="Times New Roman" w:hAnsi="Times New Roman"/>
                      <w:color w:val="000000" w:themeColor="text1"/>
                      <w:sz w:val="21"/>
                      <w:u w:val="none"/>
                      <w14:textFill>
                        <w14:solidFill>
                          <w14:schemeClr w14:val="tx1"/>
                        </w14:solidFill>
                      </w14:textFill>
                    </w:rPr>
                  </w:pPr>
                </w:p>
              </w:tc>
              <w:tc>
                <w:tcPr>
                  <w:tcW w:w="799" w:type="dxa"/>
                  <w:tcBorders>
                    <w:tl2br w:val="nil"/>
                    <w:tr2bl w:val="nil"/>
                  </w:tcBorders>
                  <w:vAlign w:val="center"/>
                </w:tcPr>
                <w:p w14:paraId="0FB7AB25">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生活污水</w:t>
                  </w:r>
                </w:p>
              </w:tc>
              <w:tc>
                <w:tcPr>
                  <w:tcW w:w="4259" w:type="dxa"/>
                  <w:tcBorders>
                    <w:tl2br w:val="nil"/>
                    <w:tr2bl w:val="nil"/>
                  </w:tcBorders>
                  <w:vAlign w:val="center"/>
                </w:tcPr>
                <w:p w14:paraId="467565F2">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生活污水通过化粪池处理后回用。</w:t>
                  </w:r>
                </w:p>
              </w:tc>
              <w:tc>
                <w:tcPr>
                  <w:tcW w:w="739" w:type="dxa"/>
                  <w:vMerge w:val="continue"/>
                  <w:tcBorders>
                    <w:tl2br w:val="nil"/>
                    <w:tr2bl w:val="nil"/>
                  </w:tcBorders>
                  <w:vAlign w:val="center"/>
                </w:tcPr>
                <w:p w14:paraId="15D6C8F7">
                  <w:pPr>
                    <w:pStyle w:val="63"/>
                    <w:spacing w:before="24" w:after="24"/>
                    <w:rPr>
                      <w:rFonts w:ascii="Times New Roman" w:hAnsi="Times New Roman"/>
                      <w:color w:val="000000" w:themeColor="text1"/>
                      <w:sz w:val="21"/>
                      <w:u w:val="none"/>
                      <w14:textFill>
                        <w14:solidFill>
                          <w14:schemeClr w14:val="tx1"/>
                        </w14:solidFill>
                      </w14:textFill>
                    </w:rPr>
                  </w:pPr>
                </w:p>
              </w:tc>
              <w:tc>
                <w:tcPr>
                  <w:tcW w:w="1114" w:type="dxa"/>
                  <w:vMerge w:val="continue"/>
                  <w:tcBorders>
                    <w:tl2br w:val="nil"/>
                    <w:tr2bl w:val="nil"/>
                  </w:tcBorders>
                  <w:vAlign w:val="center"/>
                </w:tcPr>
                <w:p w14:paraId="5C52A640">
                  <w:pPr>
                    <w:pStyle w:val="63"/>
                    <w:spacing w:before="24" w:after="24"/>
                    <w:rPr>
                      <w:rFonts w:ascii="Times New Roman" w:hAnsi="Times New Roman"/>
                      <w:color w:val="000000" w:themeColor="text1"/>
                      <w:sz w:val="21"/>
                      <w:u w:val="none"/>
                      <w14:textFill>
                        <w14:solidFill>
                          <w14:schemeClr w14:val="tx1"/>
                        </w14:solidFill>
                      </w14:textFill>
                    </w:rPr>
                  </w:pPr>
                </w:p>
              </w:tc>
            </w:tr>
            <w:tr w14:paraId="1378B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50" w:type="dxa"/>
                  <w:vMerge w:val="continue"/>
                  <w:tcBorders>
                    <w:tl2br w:val="nil"/>
                    <w:tr2bl w:val="nil"/>
                  </w:tcBorders>
                  <w:vAlign w:val="center"/>
                </w:tcPr>
                <w:p w14:paraId="5AEF4A84">
                  <w:pPr>
                    <w:pStyle w:val="63"/>
                    <w:spacing w:before="24" w:after="24"/>
                    <w:rPr>
                      <w:rFonts w:ascii="Times New Roman" w:hAnsi="Times New Roman"/>
                      <w:color w:val="000000" w:themeColor="text1"/>
                      <w:sz w:val="21"/>
                      <w:u w:val="none"/>
                      <w14:textFill>
                        <w14:solidFill>
                          <w14:schemeClr w14:val="tx1"/>
                        </w14:solidFill>
                      </w14:textFill>
                    </w:rPr>
                  </w:pPr>
                </w:p>
              </w:tc>
              <w:tc>
                <w:tcPr>
                  <w:tcW w:w="350" w:type="dxa"/>
                  <w:tcBorders>
                    <w:tl2br w:val="nil"/>
                    <w:tr2bl w:val="nil"/>
                  </w:tcBorders>
                  <w:vAlign w:val="center"/>
                </w:tcPr>
                <w:p w14:paraId="1AD34A4E">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大气环境</w:t>
                  </w:r>
                </w:p>
              </w:tc>
              <w:tc>
                <w:tcPr>
                  <w:tcW w:w="799" w:type="dxa"/>
                  <w:tcBorders>
                    <w:tl2br w:val="nil"/>
                    <w:tr2bl w:val="nil"/>
                  </w:tcBorders>
                  <w:vAlign w:val="center"/>
                </w:tcPr>
                <w:p w14:paraId="63393255">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粉尘及尾气</w:t>
                  </w:r>
                </w:p>
              </w:tc>
              <w:tc>
                <w:tcPr>
                  <w:tcW w:w="4259" w:type="dxa"/>
                  <w:tcBorders>
                    <w:tl2br w:val="nil"/>
                    <w:tr2bl w:val="nil"/>
                  </w:tcBorders>
                  <w:vAlign w:val="center"/>
                </w:tcPr>
                <w:p w14:paraId="5F5F332A">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租用洒水车洒水降尘，干旱季节每天</w:t>
                  </w:r>
                  <w:r>
                    <w:rPr>
                      <w:rFonts w:hint="eastAsia" w:ascii="Times New Roman" w:hAnsi="Times New Roman"/>
                      <w:color w:val="000000" w:themeColor="text1"/>
                      <w:sz w:val="21"/>
                      <w:u w:val="none"/>
                      <w14:textFill>
                        <w14:solidFill>
                          <w14:schemeClr w14:val="tx1"/>
                        </w14:solidFill>
                      </w14:textFill>
                    </w:rPr>
                    <w:t>4</w:t>
                  </w:r>
                  <w:r>
                    <w:rPr>
                      <w:rFonts w:ascii="Times New Roman" w:hAnsi="Times New Roman"/>
                      <w:color w:val="000000" w:themeColor="text1"/>
                      <w:sz w:val="21"/>
                      <w:u w:val="none"/>
                      <w14:textFill>
                        <w14:solidFill>
                          <w14:schemeClr w14:val="tx1"/>
                        </w14:solidFill>
                      </w14:textFill>
                    </w:rPr>
                    <w:t>~</w:t>
                  </w:r>
                  <w:r>
                    <w:rPr>
                      <w:rFonts w:hint="eastAsia" w:ascii="Times New Roman" w:hAnsi="Times New Roman"/>
                      <w:color w:val="000000" w:themeColor="text1"/>
                      <w:sz w:val="21"/>
                      <w:u w:val="none"/>
                      <w14:textFill>
                        <w14:solidFill>
                          <w14:schemeClr w14:val="tx1"/>
                        </w14:solidFill>
                      </w14:textFill>
                    </w:rPr>
                    <w:t>5</w:t>
                  </w:r>
                  <w:r>
                    <w:rPr>
                      <w:rFonts w:ascii="Times New Roman" w:hAnsi="Times New Roman"/>
                      <w:color w:val="000000" w:themeColor="text1"/>
                      <w:sz w:val="21"/>
                      <w:u w:val="none"/>
                      <w14:textFill>
                        <w14:solidFill>
                          <w14:schemeClr w14:val="tx1"/>
                        </w14:solidFill>
                      </w14:textFill>
                    </w:rPr>
                    <w:t>次。选择符合环保标准的施工机械，并定期维修保养。</w:t>
                  </w:r>
                </w:p>
              </w:tc>
              <w:tc>
                <w:tcPr>
                  <w:tcW w:w="739" w:type="dxa"/>
                  <w:tcBorders>
                    <w:tl2br w:val="nil"/>
                    <w:tr2bl w:val="nil"/>
                  </w:tcBorders>
                  <w:vAlign w:val="center"/>
                </w:tcPr>
                <w:p w14:paraId="29B693EF">
                  <w:pPr>
                    <w:pStyle w:val="63"/>
                    <w:spacing w:before="24" w:after="24"/>
                    <w:rPr>
                      <w:rFonts w:ascii="Times New Roman" w:hAnsi="Times New Roman"/>
                      <w:color w:val="000000" w:themeColor="text1"/>
                      <w:sz w:val="21"/>
                      <w:u w:val="none"/>
                      <w14:textFill>
                        <w14:solidFill>
                          <w14:schemeClr w14:val="tx1"/>
                        </w14:solidFill>
                      </w14:textFill>
                    </w:rPr>
                  </w:pPr>
                  <w:r>
                    <w:rPr>
                      <w:rFonts w:hint="eastAsia" w:ascii="Times New Roman" w:hAnsi="Times New Roman"/>
                      <w:color w:val="000000" w:themeColor="text1"/>
                      <w:sz w:val="21"/>
                      <w:u w:val="none"/>
                      <w14:textFill>
                        <w14:solidFill>
                          <w14:schemeClr w14:val="tx1"/>
                        </w14:solidFill>
                      </w14:textFill>
                    </w:rPr>
                    <w:t>15</w:t>
                  </w:r>
                  <w:r>
                    <w:rPr>
                      <w:rFonts w:ascii="Times New Roman" w:hAnsi="Times New Roman"/>
                      <w:color w:val="000000" w:themeColor="text1"/>
                      <w:sz w:val="21"/>
                      <w:u w:val="none"/>
                      <w14:textFill>
                        <w14:solidFill>
                          <w14:schemeClr w14:val="tx1"/>
                        </w14:solidFill>
                      </w14:textFill>
                    </w:rPr>
                    <w:t>.00</w:t>
                  </w:r>
                </w:p>
              </w:tc>
              <w:tc>
                <w:tcPr>
                  <w:tcW w:w="1114" w:type="dxa"/>
                  <w:tcBorders>
                    <w:tl2br w:val="nil"/>
                    <w:tr2bl w:val="nil"/>
                  </w:tcBorders>
                  <w:vAlign w:val="center"/>
                </w:tcPr>
                <w:p w14:paraId="14D196E8">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达标排放</w:t>
                  </w:r>
                </w:p>
              </w:tc>
            </w:tr>
            <w:tr w14:paraId="07CD2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50" w:type="dxa"/>
                  <w:vMerge w:val="continue"/>
                  <w:tcBorders>
                    <w:tl2br w:val="nil"/>
                    <w:tr2bl w:val="nil"/>
                  </w:tcBorders>
                  <w:vAlign w:val="center"/>
                </w:tcPr>
                <w:p w14:paraId="664E8769">
                  <w:pPr>
                    <w:pStyle w:val="63"/>
                    <w:spacing w:before="24" w:after="24"/>
                    <w:rPr>
                      <w:rFonts w:ascii="Times New Roman" w:hAnsi="Times New Roman"/>
                      <w:color w:val="000000" w:themeColor="text1"/>
                      <w:sz w:val="21"/>
                      <w:u w:val="none"/>
                      <w14:textFill>
                        <w14:solidFill>
                          <w14:schemeClr w14:val="tx1"/>
                        </w14:solidFill>
                      </w14:textFill>
                    </w:rPr>
                  </w:pPr>
                </w:p>
              </w:tc>
              <w:tc>
                <w:tcPr>
                  <w:tcW w:w="350" w:type="dxa"/>
                  <w:tcBorders>
                    <w:tl2br w:val="nil"/>
                    <w:tr2bl w:val="nil"/>
                  </w:tcBorders>
                  <w:vAlign w:val="center"/>
                </w:tcPr>
                <w:p w14:paraId="79B07F64">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声环境</w:t>
                  </w:r>
                </w:p>
              </w:tc>
              <w:tc>
                <w:tcPr>
                  <w:tcW w:w="799" w:type="dxa"/>
                  <w:tcBorders>
                    <w:tl2br w:val="nil"/>
                    <w:tr2bl w:val="nil"/>
                  </w:tcBorders>
                  <w:vAlign w:val="center"/>
                </w:tcPr>
                <w:p w14:paraId="11E4062A">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施工机械噪声、运输噪声</w:t>
                  </w:r>
                </w:p>
              </w:tc>
              <w:tc>
                <w:tcPr>
                  <w:tcW w:w="4259" w:type="dxa"/>
                  <w:tcBorders>
                    <w:tl2br w:val="nil"/>
                    <w:tr2bl w:val="nil"/>
                  </w:tcBorders>
                  <w:vAlign w:val="center"/>
                </w:tcPr>
                <w:p w14:paraId="6B3B1152">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禁止夜间爆破、采取低噪声工艺和设备、禁止夜间运行高噪声设备；居民点附近</w:t>
                  </w:r>
                  <w:r>
                    <w:rPr>
                      <w:rFonts w:hint="eastAsia" w:ascii="Times New Roman" w:hAnsi="Times New Roman"/>
                      <w:color w:val="000000" w:themeColor="text1"/>
                      <w:sz w:val="21"/>
                      <w:u w:val="none"/>
                      <w14:textFill>
                        <w14:solidFill>
                          <w14:schemeClr w14:val="tx1"/>
                        </w14:solidFill>
                      </w14:textFill>
                    </w:rPr>
                    <w:t>新建</w:t>
                  </w:r>
                  <w:r>
                    <w:rPr>
                      <w:rFonts w:ascii="Times New Roman" w:hAnsi="Times New Roman"/>
                      <w:color w:val="000000" w:themeColor="text1"/>
                      <w:sz w:val="21"/>
                      <w:u w:val="none"/>
                      <w14:textFill>
                        <w14:solidFill>
                          <w14:schemeClr w14:val="tx1"/>
                        </w14:solidFill>
                      </w14:textFill>
                    </w:rPr>
                    <w:t>道路时，提前告知附近居民；设置禁鸣标志；运输作业尽量安排在昼间上午8:30～11:30、下午2:30～6:30进行。预留环保资金</w:t>
                  </w:r>
                </w:p>
              </w:tc>
              <w:tc>
                <w:tcPr>
                  <w:tcW w:w="739" w:type="dxa"/>
                  <w:tcBorders>
                    <w:tl2br w:val="nil"/>
                    <w:tr2bl w:val="nil"/>
                  </w:tcBorders>
                  <w:vAlign w:val="center"/>
                </w:tcPr>
                <w:p w14:paraId="13929A56">
                  <w:pPr>
                    <w:pStyle w:val="63"/>
                    <w:spacing w:before="24" w:after="24"/>
                    <w:rPr>
                      <w:rFonts w:ascii="Times New Roman" w:hAnsi="Times New Roman"/>
                      <w:color w:val="000000" w:themeColor="text1"/>
                      <w:sz w:val="21"/>
                      <w:u w:val="none"/>
                      <w14:textFill>
                        <w14:solidFill>
                          <w14:schemeClr w14:val="tx1"/>
                        </w14:solidFill>
                      </w14:textFill>
                    </w:rPr>
                  </w:pPr>
                  <w:r>
                    <w:rPr>
                      <w:rFonts w:hint="eastAsia" w:ascii="Times New Roman" w:hAnsi="Times New Roman"/>
                      <w:color w:val="000000" w:themeColor="text1"/>
                      <w:sz w:val="21"/>
                      <w:u w:val="none"/>
                      <w:lang w:val="en-US" w:eastAsia="zh-CN"/>
                      <w14:textFill>
                        <w14:solidFill>
                          <w14:schemeClr w14:val="tx1"/>
                        </w14:solidFill>
                      </w14:textFill>
                    </w:rPr>
                    <w:t>5</w:t>
                  </w:r>
                  <w:r>
                    <w:rPr>
                      <w:rFonts w:ascii="Times New Roman" w:hAnsi="Times New Roman"/>
                      <w:color w:val="000000" w:themeColor="text1"/>
                      <w:sz w:val="21"/>
                      <w:u w:val="none"/>
                      <w14:textFill>
                        <w14:solidFill>
                          <w14:schemeClr w14:val="tx1"/>
                        </w14:solidFill>
                      </w14:textFill>
                    </w:rPr>
                    <w:t>.00</w:t>
                  </w:r>
                </w:p>
              </w:tc>
              <w:tc>
                <w:tcPr>
                  <w:tcW w:w="1114" w:type="dxa"/>
                  <w:tcBorders>
                    <w:tl2br w:val="nil"/>
                    <w:tr2bl w:val="nil"/>
                  </w:tcBorders>
                  <w:vAlign w:val="center"/>
                </w:tcPr>
                <w:p w14:paraId="2A769A9D">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达标排放</w:t>
                  </w:r>
                </w:p>
              </w:tc>
            </w:tr>
            <w:tr w14:paraId="41EEE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50" w:type="dxa"/>
                  <w:vMerge w:val="continue"/>
                  <w:tcBorders>
                    <w:tl2br w:val="nil"/>
                    <w:tr2bl w:val="nil"/>
                  </w:tcBorders>
                  <w:vAlign w:val="center"/>
                </w:tcPr>
                <w:p w14:paraId="69368BB7">
                  <w:pPr>
                    <w:pStyle w:val="63"/>
                    <w:spacing w:before="24" w:after="24"/>
                    <w:rPr>
                      <w:rFonts w:ascii="Times New Roman" w:hAnsi="Times New Roman"/>
                      <w:color w:val="000000" w:themeColor="text1"/>
                      <w:sz w:val="21"/>
                      <w:u w:val="none"/>
                      <w14:textFill>
                        <w14:solidFill>
                          <w14:schemeClr w14:val="tx1"/>
                        </w14:solidFill>
                      </w14:textFill>
                    </w:rPr>
                  </w:pPr>
                </w:p>
              </w:tc>
              <w:tc>
                <w:tcPr>
                  <w:tcW w:w="350" w:type="dxa"/>
                  <w:vMerge w:val="restart"/>
                  <w:tcBorders>
                    <w:tl2br w:val="nil"/>
                    <w:tr2bl w:val="nil"/>
                  </w:tcBorders>
                  <w:vAlign w:val="center"/>
                </w:tcPr>
                <w:p w14:paraId="5914A486">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固体废物</w:t>
                  </w:r>
                </w:p>
              </w:tc>
              <w:tc>
                <w:tcPr>
                  <w:tcW w:w="799" w:type="dxa"/>
                  <w:tcBorders>
                    <w:tl2br w:val="nil"/>
                    <w:tr2bl w:val="nil"/>
                  </w:tcBorders>
                  <w:vAlign w:val="center"/>
                </w:tcPr>
                <w:p w14:paraId="5B7FB154">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生活垃圾</w:t>
                  </w:r>
                </w:p>
              </w:tc>
              <w:tc>
                <w:tcPr>
                  <w:tcW w:w="4259" w:type="dxa"/>
                  <w:tcBorders>
                    <w:tl2br w:val="nil"/>
                    <w:tr2bl w:val="nil"/>
                  </w:tcBorders>
                  <w:vAlign w:val="center"/>
                </w:tcPr>
                <w:p w14:paraId="31DB7378">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施工期采用垃圾桶分类收集，送乡镇垃圾收集系统进行处置。</w:t>
                  </w:r>
                </w:p>
              </w:tc>
              <w:tc>
                <w:tcPr>
                  <w:tcW w:w="739" w:type="dxa"/>
                  <w:tcBorders>
                    <w:tl2br w:val="nil"/>
                    <w:tr2bl w:val="nil"/>
                  </w:tcBorders>
                  <w:vAlign w:val="center"/>
                </w:tcPr>
                <w:p w14:paraId="13C6DD0C">
                  <w:pPr>
                    <w:pStyle w:val="63"/>
                    <w:spacing w:before="24" w:after="24"/>
                    <w:rPr>
                      <w:rFonts w:ascii="Times New Roman" w:hAnsi="Times New Roman"/>
                      <w:color w:val="000000" w:themeColor="text1"/>
                      <w:sz w:val="21"/>
                      <w:u w:val="none"/>
                      <w14:textFill>
                        <w14:solidFill>
                          <w14:schemeClr w14:val="tx1"/>
                        </w14:solidFill>
                      </w14:textFill>
                    </w:rPr>
                  </w:pPr>
                  <w:r>
                    <w:rPr>
                      <w:rFonts w:hint="eastAsia" w:ascii="Times New Roman" w:hAnsi="Times New Roman"/>
                      <w:color w:val="000000" w:themeColor="text1"/>
                      <w:sz w:val="21"/>
                      <w:u w:val="none"/>
                      <w14:textFill>
                        <w14:solidFill>
                          <w14:schemeClr w14:val="tx1"/>
                        </w14:solidFill>
                      </w14:textFill>
                    </w:rPr>
                    <w:t>5</w:t>
                  </w:r>
                  <w:r>
                    <w:rPr>
                      <w:rFonts w:ascii="Times New Roman" w:hAnsi="Times New Roman"/>
                      <w:color w:val="000000" w:themeColor="text1"/>
                      <w:sz w:val="21"/>
                      <w:u w:val="none"/>
                      <w14:textFill>
                        <w14:solidFill>
                          <w14:schemeClr w14:val="tx1"/>
                        </w14:solidFill>
                      </w14:textFill>
                    </w:rPr>
                    <w:t>.00</w:t>
                  </w:r>
                </w:p>
              </w:tc>
              <w:tc>
                <w:tcPr>
                  <w:tcW w:w="1114" w:type="dxa"/>
                  <w:tcBorders>
                    <w:tl2br w:val="nil"/>
                    <w:tr2bl w:val="nil"/>
                  </w:tcBorders>
                  <w:vAlign w:val="center"/>
                </w:tcPr>
                <w:p w14:paraId="1FC32F11">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不外排</w:t>
                  </w:r>
                </w:p>
              </w:tc>
            </w:tr>
            <w:tr w14:paraId="49C0D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50" w:type="dxa"/>
                  <w:vMerge w:val="continue"/>
                  <w:tcBorders>
                    <w:tl2br w:val="nil"/>
                    <w:tr2bl w:val="nil"/>
                  </w:tcBorders>
                  <w:vAlign w:val="center"/>
                </w:tcPr>
                <w:p w14:paraId="23C6A728">
                  <w:pPr>
                    <w:pStyle w:val="63"/>
                    <w:spacing w:before="24" w:after="24"/>
                    <w:rPr>
                      <w:rFonts w:ascii="Times New Roman" w:hAnsi="Times New Roman"/>
                      <w:color w:val="000000" w:themeColor="text1"/>
                      <w:sz w:val="21"/>
                      <w:u w:val="none"/>
                      <w14:textFill>
                        <w14:solidFill>
                          <w14:schemeClr w14:val="tx1"/>
                        </w14:solidFill>
                      </w14:textFill>
                    </w:rPr>
                  </w:pPr>
                </w:p>
              </w:tc>
              <w:tc>
                <w:tcPr>
                  <w:tcW w:w="350" w:type="dxa"/>
                  <w:vMerge w:val="continue"/>
                  <w:tcBorders>
                    <w:tl2br w:val="nil"/>
                    <w:tr2bl w:val="nil"/>
                  </w:tcBorders>
                  <w:vAlign w:val="center"/>
                </w:tcPr>
                <w:p w14:paraId="6C4A6FC8">
                  <w:pPr>
                    <w:pStyle w:val="63"/>
                    <w:spacing w:before="24" w:after="24"/>
                    <w:rPr>
                      <w:rFonts w:ascii="Times New Roman" w:hAnsi="Times New Roman"/>
                      <w:color w:val="000000" w:themeColor="text1"/>
                      <w:sz w:val="21"/>
                      <w:u w:val="none"/>
                      <w14:textFill>
                        <w14:solidFill>
                          <w14:schemeClr w14:val="tx1"/>
                        </w14:solidFill>
                      </w14:textFill>
                    </w:rPr>
                  </w:pPr>
                </w:p>
              </w:tc>
              <w:tc>
                <w:tcPr>
                  <w:tcW w:w="799" w:type="dxa"/>
                  <w:tcBorders>
                    <w:tl2br w:val="nil"/>
                    <w:tr2bl w:val="nil"/>
                  </w:tcBorders>
                  <w:vAlign w:val="center"/>
                </w:tcPr>
                <w:p w14:paraId="487D7820">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弃渣</w:t>
                  </w:r>
                </w:p>
              </w:tc>
              <w:tc>
                <w:tcPr>
                  <w:tcW w:w="4259" w:type="dxa"/>
                  <w:tcBorders>
                    <w:tl2br w:val="nil"/>
                    <w:tr2bl w:val="nil"/>
                  </w:tcBorders>
                  <w:vAlign w:val="center"/>
                </w:tcPr>
                <w:p w14:paraId="7DABD83F">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表土收集堆存，规范堆存于弃渣场或表土场，施工结束后对弃渣进行覆土绿化</w:t>
                  </w:r>
                </w:p>
              </w:tc>
              <w:tc>
                <w:tcPr>
                  <w:tcW w:w="739" w:type="dxa"/>
                  <w:tcBorders>
                    <w:tl2br w:val="nil"/>
                    <w:tr2bl w:val="nil"/>
                  </w:tcBorders>
                  <w:vAlign w:val="center"/>
                </w:tcPr>
                <w:p w14:paraId="311B2644">
                  <w:pPr>
                    <w:pStyle w:val="63"/>
                    <w:spacing w:before="24" w:after="24"/>
                    <w:rPr>
                      <w:rFonts w:ascii="Times New Roman" w:hAnsi="Times New Roman"/>
                      <w:color w:val="000000" w:themeColor="text1"/>
                      <w:sz w:val="21"/>
                      <w:u w:val="none"/>
                      <w14:textFill>
                        <w14:solidFill>
                          <w14:schemeClr w14:val="tx1"/>
                        </w14:solidFill>
                      </w14:textFill>
                    </w:rPr>
                  </w:pPr>
                  <w:r>
                    <w:rPr>
                      <w:rFonts w:hint="eastAsia" w:ascii="Times New Roman" w:hAnsi="Times New Roman"/>
                      <w:color w:val="000000" w:themeColor="text1"/>
                      <w:sz w:val="21"/>
                      <w:u w:val="none"/>
                      <w14:textFill>
                        <w14:solidFill>
                          <w14:schemeClr w14:val="tx1"/>
                        </w14:solidFill>
                      </w14:textFill>
                    </w:rPr>
                    <w:t>2</w:t>
                  </w:r>
                  <w:r>
                    <w:rPr>
                      <w:rFonts w:hint="eastAsia" w:ascii="Times New Roman" w:hAnsi="Times New Roman"/>
                      <w:color w:val="000000" w:themeColor="text1"/>
                      <w:sz w:val="21"/>
                      <w:u w:val="none"/>
                      <w:lang w:val="en-US" w:eastAsia="zh-CN"/>
                      <w14:textFill>
                        <w14:solidFill>
                          <w14:schemeClr w14:val="tx1"/>
                        </w14:solidFill>
                      </w14:textFill>
                    </w:rPr>
                    <w:t>15</w:t>
                  </w:r>
                  <w:r>
                    <w:rPr>
                      <w:rFonts w:ascii="Times New Roman" w:hAnsi="Times New Roman"/>
                      <w:color w:val="000000" w:themeColor="text1"/>
                      <w:sz w:val="21"/>
                      <w:u w:val="none"/>
                      <w14:textFill>
                        <w14:solidFill>
                          <w14:schemeClr w14:val="tx1"/>
                        </w14:solidFill>
                      </w14:textFill>
                    </w:rPr>
                    <w:t>.00</w:t>
                  </w:r>
                </w:p>
              </w:tc>
              <w:tc>
                <w:tcPr>
                  <w:tcW w:w="1114" w:type="dxa"/>
                  <w:tcBorders>
                    <w:tl2br w:val="nil"/>
                    <w:tr2bl w:val="nil"/>
                  </w:tcBorders>
                  <w:vAlign w:val="center"/>
                </w:tcPr>
                <w:p w14:paraId="34BC1DA0">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w:t>
                  </w:r>
                </w:p>
              </w:tc>
            </w:tr>
            <w:tr w14:paraId="587AB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50" w:type="dxa"/>
                  <w:vMerge w:val="continue"/>
                  <w:tcBorders>
                    <w:tl2br w:val="nil"/>
                    <w:tr2bl w:val="nil"/>
                  </w:tcBorders>
                  <w:vAlign w:val="center"/>
                </w:tcPr>
                <w:p w14:paraId="45AB477C">
                  <w:pPr>
                    <w:pStyle w:val="63"/>
                    <w:spacing w:before="24" w:after="24"/>
                    <w:rPr>
                      <w:rFonts w:ascii="Times New Roman" w:hAnsi="Times New Roman"/>
                      <w:color w:val="000000" w:themeColor="text1"/>
                      <w:sz w:val="21"/>
                      <w:u w:val="none"/>
                      <w14:textFill>
                        <w14:solidFill>
                          <w14:schemeClr w14:val="tx1"/>
                        </w14:solidFill>
                      </w14:textFill>
                    </w:rPr>
                  </w:pPr>
                </w:p>
              </w:tc>
              <w:tc>
                <w:tcPr>
                  <w:tcW w:w="350" w:type="dxa"/>
                  <w:tcBorders>
                    <w:tl2br w:val="nil"/>
                    <w:tr2bl w:val="nil"/>
                  </w:tcBorders>
                  <w:vAlign w:val="center"/>
                </w:tcPr>
                <w:p w14:paraId="536515E9">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陆生生态</w:t>
                  </w:r>
                </w:p>
              </w:tc>
              <w:tc>
                <w:tcPr>
                  <w:tcW w:w="799" w:type="dxa"/>
                  <w:tcBorders>
                    <w:tl2br w:val="nil"/>
                    <w:tr2bl w:val="nil"/>
                  </w:tcBorders>
                  <w:vAlign w:val="center"/>
                </w:tcPr>
                <w:p w14:paraId="0CF3648F">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植被和</w:t>
                  </w:r>
                </w:p>
                <w:p w14:paraId="523473F4">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野生鸟类</w:t>
                  </w:r>
                </w:p>
              </w:tc>
              <w:tc>
                <w:tcPr>
                  <w:tcW w:w="4259" w:type="dxa"/>
                  <w:tcBorders>
                    <w:tl2br w:val="nil"/>
                    <w:tr2bl w:val="nil"/>
                  </w:tcBorders>
                  <w:vAlign w:val="center"/>
                </w:tcPr>
                <w:p w14:paraId="14B6D8AA">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升压站周围园林绿化；风机叶片艳化；进行生态环境保护宣传</w:t>
                  </w:r>
                </w:p>
              </w:tc>
              <w:tc>
                <w:tcPr>
                  <w:tcW w:w="739" w:type="dxa"/>
                  <w:tcBorders>
                    <w:tl2br w:val="nil"/>
                    <w:tr2bl w:val="nil"/>
                  </w:tcBorders>
                  <w:vAlign w:val="center"/>
                </w:tcPr>
                <w:p w14:paraId="2754E83C">
                  <w:pPr>
                    <w:pStyle w:val="63"/>
                    <w:spacing w:before="24" w:after="24"/>
                    <w:rPr>
                      <w:rFonts w:ascii="Times New Roman" w:hAnsi="Times New Roman"/>
                      <w:color w:val="000000" w:themeColor="text1"/>
                      <w:sz w:val="21"/>
                      <w:u w:val="none"/>
                      <w14:textFill>
                        <w14:solidFill>
                          <w14:schemeClr w14:val="tx1"/>
                        </w14:solidFill>
                      </w14:textFill>
                    </w:rPr>
                  </w:pPr>
                  <w:r>
                    <w:rPr>
                      <w:rFonts w:hint="eastAsia" w:ascii="Times New Roman" w:hAnsi="Times New Roman"/>
                      <w:color w:val="000000" w:themeColor="text1"/>
                      <w:sz w:val="21"/>
                      <w:u w:val="none"/>
                      <w14:textFill>
                        <w14:solidFill>
                          <w14:schemeClr w14:val="tx1"/>
                        </w14:solidFill>
                      </w14:textFill>
                    </w:rPr>
                    <w:t>25</w:t>
                  </w:r>
                  <w:r>
                    <w:rPr>
                      <w:rFonts w:ascii="Times New Roman" w:hAnsi="Times New Roman"/>
                      <w:color w:val="000000" w:themeColor="text1"/>
                      <w:sz w:val="21"/>
                      <w:u w:val="none"/>
                      <w14:textFill>
                        <w14:solidFill>
                          <w14:schemeClr w14:val="tx1"/>
                        </w14:solidFill>
                      </w14:textFill>
                    </w:rPr>
                    <w:t>.00</w:t>
                  </w:r>
                </w:p>
              </w:tc>
              <w:tc>
                <w:tcPr>
                  <w:tcW w:w="1114" w:type="dxa"/>
                  <w:tcBorders>
                    <w:tl2br w:val="nil"/>
                    <w:tr2bl w:val="nil"/>
                  </w:tcBorders>
                  <w:vAlign w:val="center"/>
                </w:tcPr>
                <w:p w14:paraId="63BB8A73">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减少对植被的破坏，减少对野生鸟类的影响</w:t>
                  </w:r>
                </w:p>
              </w:tc>
            </w:tr>
            <w:tr w14:paraId="3E8F9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50" w:type="dxa"/>
                  <w:vMerge w:val="continue"/>
                  <w:tcBorders>
                    <w:tl2br w:val="nil"/>
                    <w:tr2bl w:val="nil"/>
                  </w:tcBorders>
                  <w:vAlign w:val="center"/>
                </w:tcPr>
                <w:p w14:paraId="4BD16435">
                  <w:pPr>
                    <w:pStyle w:val="63"/>
                    <w:spacing w:before="24" w:after="24"/>
                    <w:rPr>
                      <w:rFonts w:ascii="Times New Roman" w:hAnsi="Times New Roman"/>
                      <w:color w:val="000000" w:themeColor="text1"/>
                      <w:sz w:val="21"/>
                      <w:u w:val="none"/>
                      <w14:textFill>
                        <w14:solidFill>
                          <w14:schemeClr w14:val="tx1"/>
                        </w14:solidFill>
                      </w14:textFill>
                    </w:rPr>
                  </w:pPr>
                </w:p>
              </w:tc>
              <w:tc>
                <w:tcPr>
                  <w:tcW w:w="350" w:type="dxa"/>
                  <w:tcBorders>
                    <w:tl2br w:val="nil"/>
                    <w:tr2bl w:val="nil"/>
                  </w:tcBorders>
                  <w:vAlign w:val="center"/>
                </w:tcPr>
                <w:p w14:paraId="232626D7">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水土保持</w:t>
                  </w:r>
                </w:p>
              </w:tc>
              <w:tc>
                <w:tcPr>
                  <w:tcW w:w="799" w:type="dxa"/>
                  <w:tcBorders>
                    <w:tl2br w:val="nil"/>
                    <w:tr2bl w:val="nil"/>
                  </w:tcBorders>
                  <w:vAlign w:val="center"/>
                </w:tcPr>
                <w:p w14:paraId="05CB41E1">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水土流失</w:t>
                  </w:r>
                </w:p>
              </w:tc>
              <w:tc>
                <w:tcPr>
                  <w:tcW w:w="4259" w:type="dxa"/>
                  <w:tcBorders>
                    <w:tl2br w:val="nil"/>
                    <w:tr2bl w:val="nil"/>
                  </w:tcBorders>
                  <w:vAlign w:val="center"/>
                </w:tcPr>
                <w:p w14:paraId="5CE86F58">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工程措施、植物措施和临时措施</w:t>
                  </w:r>
                </w:p>
              </w:tc>
              <w:tc>
                <w:tcPr>
                  <w:tcW w:w="739" w:type="dxa"/>
                  <w:tcBorders>
                    <w:tl2br w:val="nil"/>
                    <w:tr2bl w:val="nil"/>
                  </w:tcBorders>
                  <w:vAlign w:val="center"/>
                </w:tcPr>
                <w:p w14:paraId="1AF745FB">
                  <w:pPr>
                    <w:pStyle w:val="63"/>
                    <w:spacing w:before="24" w:after="24"/>
                    <w:rPr>
                      <w:rFonts w:hint="default" w:ascii="Times New Roman" w:hAnsi="Times New Roman" w:eastAsia="宋体"/>
                      <w:color w:val="000000" w:themeColor="text1"/>
                      <w:sz w:val="21"/>
                      <w:u w:val="none"/>
                      <w:lang w:val="en-US" w:eastAsia="zh-CN"/>
                      <w14:textFill>
                        <w14:solidFill>
                          <w14:schemeClr w14:val="tx1"/>
                        </w14:solidFill>
                      </w14:textFill>
                    </w:rPr>
                  </w:pPr>
                  <w:r>
                    <w:rPr>
                      <w:rFonts w:hint="eastAsia" w:ascii="Times New Roman" w:hAnsi="Times New Roman"/>
                      <w:color w:val="000000" w:themeColor="text1"/>
                      <w:sz w:val="21"/>
                      <w:u w:val="none"/>
                      <w14:textFill>
                        <w14:solidFill>
                          <w14:schemeClr w14:val="tx1"/>
                        </w14:solidFill>
                      </w14:textFill>
                    </w:rPr>
                    <w:t>2908.94</w:t>
                  </w:r>
                </w:p>
              </w:tc>
              <w:tc>
                <w:tcPr>
                  <w:tcW w:w="1114" w:type="dxa"/>
                  <w:tcBorders>
                    <w:tl2br w:val="nil"/>
                    <w:tr2bl w:val="nil"/>
                  </w:tcBorders>
                  <w:vAlign w:val="center"/>
                </w:tcPr>
                <w:p w14:paraId="114B474A">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减少水土流失</w:t>
                  </w:r>
                </w:p>
              </w:tc>
            </w:tr>
            <w:tr w14:paraId="68DD1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50" w:type="dxa"/>
                  <w:vMerge w:val="continue"/>
                  <w:tcBorders>
                    <w:tl2br w:val="nil"/>
                    <w:tr2bl w:val="nil"/>
                  </w:tcBorders>
                  <w:vAlign w:val="center"/>
                </w:tcPr>
                <w:p w14:paraId="50A2C745">
                  <w:pPr>
                    <w:pStyle w:val="63"/>
                    <w:spacing w:before="24" w:after="24"/>
                    <w:rPr>
                      <w:rFonts w:ascii="Times New Roman" w:hAnsi="Times New Roman"/>
                      <w:color w:val="000000" w:themeColor="text1"/>
                      <w:sz w:val="21"/>
                      <w:u w:val="none"/>
                      <w14:textFill>
                        <w14:solidFill>
                          <w14:schemeClr w14:val="tx1"/>
                        </w14:solidFill>
                      </w14:textFill>
                    </w:rPr>
                  </w:pPr>
                </w:p>
              </w:tc>
              <w:tc>
                <w:tcPr>
                  <w:tcW w:w="1149" w:type="dxa"/>
                  <w:gridSpan w:val="2"/>
                  <w:tcBorders>
                    <w:tl2br w:val="nil"/>
                    <w:tr2bl w:val="nil"/>
                  </w:tcBorders>
                  <w:vAlign w:val="center"/>
                </w:tcPr>
                <w:p w14:paraId="7AEC59D2">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环境监理</w:t>
                  </w:r>
                </w:p>
              </w:tc>
              <w:tc>
                <w:tcPr>
                  <w:tcW w:w="4259" w:type="dxa"/>
                  <w:tcBorders>
                    <w:tl2br w:val="nil"/>
                    <w:tr2bl w:val="nil"/>
                  </w:tcBorders>
                  <w:vAlign w:val="center"/>
                </w:tcPr>
                <w:p w14:paraId="4BF0E9B1">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项目建设期进行环境监理，编写环境监理报告</w:t>
                  </w:r>
                </w:p>
              </w:tc>
              <w:tc>
                <w:tcPr>
                  <w:tcW w:w="739" w:type="dxa"/>
                  <w:tcBorders>
                    <w:tl2br w:val="nil"/>
                    <w:tr2bl w:val="nil"/>
                  </w:tcBorders>
                  <w:vAlign w:val="center"/>
                </w:tcPr>
                <w:p w14:paraId="6F385EE5">
                  <w:pPr>
                    <w:pStyle w:val="63"/>
                    <w:spacing w:before="24" w:after="24"/>
                    <w:rPr>
                      <w:rFonts w:ascii="Times New Roman" w:hAnsi="Times New Roman"/>
                      <w:color w:val="000000" w:themeColor="text1"/>
                      <w:sz w:val="21"/>
                      <w:u w:val="none"/>
                      <w14:textFill>
                        <w14:solidFill>
                          <w14:schemeClr w14:val="tx1"/>
                        </w14:solidFill>
                      </w14:textFill>
                    </w:rPr>
                  </w:pPr>
                  <w:r>
                    <w:rPr>
                      <w:rFonts w:hint="eastAsia" w:ascii="Times New Roman" w:hAnsi="Times New Roman"/>
                      <w:color w:val="000000" w:themeColor="text1"/>
                      <w:sz w:val="21"/>
                      <w:u w:val="none"/>
                      <w14:textFill>
                        <w14:solidFill>
                          <w14:schemeClr w14:val="tx1"/>
                        </w14:solidFill>
                      </w14:textFill>
                    </w:rPr>
                    <w:t>4</w:t>
                  </w:r>
                  <w:r>
                    <w:rPr>
                      <w:rFonts w:ascii="Times New Roman" w:hAnsi="Times New Roman"/>
                      <w:color w:val="000000" w:themeColor="text1"/>
                      <w:sz w:val="21"/>
                      <w:u w:val="none"/>
                      <w14:textFill>
                        <w14:solidFill>
                          <w14:schemeClr w14:val="tx1"/>
                        </w14:solidFill>
                      </w14:textFill>
                    </w:rPr>
                    <w:t>0.00</w:t>
                  </w:r>
                </w:p>
              </w:tc>
              <w:tc>
                <w:tcPr>
                  <w:tcW w:w="1114" w:type="dxa"/>
                  <w:tcBorders>
                    <w:tl2br w:val="nil"/>
                    <w:tr2bl w:val="nil"/>
                  </w:tcBorders>
                  <w:vAlign w:val="center"/>
                </w:tcPr>
                <w:p w14:paraId="27D7EBDF">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w:t>
                  </w:r>
                </w:p>
              </w:tc>
            </w:tr>
            <w:tr w14:paraId="0F499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50" w:type="dxa"/>
                  <w:vMerge w:val="continue"/>
                  <w:tcBorders>
                    <w:tl2br w:val="nil"/>
                    <w:tr2bl w:val="nil"/>
                  </w:tcBorders>
                  <w:vAlign w:val="center"/>
                </w:tcPr>
                <w:p w14:paraId="21047EA2">
                  <w:pPr>
                    <w:pStyle w:val="63"/>
                    <w:spacing w:before="24" w:after="24"/>
                    <w:rPr>
                      <w:rFonts w:ascii="Times New Roman" w:hAnsi="Times New Roman"/>
                      <w:color w:val="000000" w:themeColor="text1"/>
                      <w:sz w:val="21"/>
                      <w:u w:val="none"/>
                      <w14:textFill>
                        <w14:solidFill>
                          <w14:schemeClr w14:val="tx1"/>
                        </w14:solidFill>
                      </w14:textFill>
                    </w:rPr>
                  </w:pPr>
                </w:p>
              </w:tc>
              <w:tc>
                <w:tcPr>
                  <w:tcW w:w="1149" w:type="dxa"/>
                  <w:gridSpan w:val="2"/>
                  <w:tcBorders>
                    <w:tl2br w:val="nil"/>
                    <w:tr2bl w:val="nil"/>
                  </w:tcBorders>
                  <w:vAlign w:val="center"/>
                </w:tcPr>
                <w:p w14:paraId="3C46CC35">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环境监测</w:t>
                  </w:r>
                </w:p>
              </w:tc>
              <w:tc>
                <w:tcPr>
                  <w:tcW w:w="4259" w:type="dxa"/>
                  <w:tcBorders>
                    <w:tl2br w:val="nil"/>
                    <w:tr2bl w:val="nil"/>
                  </w:tcBorders>
                  <w:vAlign w:val="center"/>
                </w:tcPr>
                <w:p w14:paraId="3554F112">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施工期对项目及周边大气、地表水、声环境进行监测</w:t>
                  </w:r>
                </w:p>
              </w:tc>
              <w:tc>
                <w:tcPr>
                  <w:tcW w:w="739" w:type="dxa"/>
                  <w:tcBorders>
                    <w:tl2br w:val="nil"/>
                    <w:tr2bl w:val="nil"/>
                  </w:tcBorders>
                  <w:vAlign w:val="center"/>
                </w:tcPr>
                <w:p w14:paraId="0D05E563">
                  <w:pPr>
                    <w:pStyle w:val="63"/>
                    <w:spacing w:before="24" w:after="24"/>
                    <w:rPr>
                      <w:rFonts w:hint="default" w:ascii="Times New Roman" w:hAnsi="Times New Roman" w:eastAsia="宋体"/>
                      <w:color w:val="000000" w:themeColor="text1"/>
                      <w:sz w:val="21"/>
                      <w:u w:val="none"/>
                      <w:lang w:val="en-US" w:eastAsia="zh-CN"/>
                      <w14:textFill>
                        <w14:solidFill>
                          <w14:schemeClr w14:val="tx1"/>
                        </w14:solidFill>
                      </w14:textFill>
                    </w:rPr>
                  </w:pPr>
                  <w:r>
                    <w:rPr>
                      <w:rFonts w:hint="eastAsia" w:ascii="Times New Roman" w:hAnsi="Times New Roman"/>
                      <w:color w:val="000000" w:themeColor="text1"/>
                      <w:sz w:val="21"/>
                      <w:u w:val="none"/>
                      <w:lang w:val="en-US" w:eastAsia="zh-CN"/>
                      <w14:textFill>
                        <w14:solidFill>
                          <w14:schemeClr w14:val="tx1"/>
                        </w14:solidFill>
                      </w14:textFill>
                    </w:rPr>
                    <w:t>3.00</w:t>
                  </w:r>
                </w:p>
              </w:tc>
              <w:tc>
                <w:tcPr>
                  <w:tcW w:w="1114" w:type="dxa"/>
                  <w:tcBorders>
                    <w:tl2br w:val="nil"/>
                    <w:tr2bl w:val="nil"/>
                  </w:tcBorders>
                  <w:vAlign w:val="center"/>
                </w:tcPr>
                <w:p w14:paraId="0A63A654">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减少疾病流行</w:t>
                  </w:r>
                </w:p>
              </w:tc>
            </w:tr>
            <w:tr w14:paraId="4C613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50" w:type="dxa"/>
                  <w:vMerge w:val="restart"/>
                  <w:tcBorders>
                    <w:tl2br w:val="nil"/>
                    <w:tr2bl w:val="nil"/>
                  </w:tcBorders>
                  <w:vAlign w:val="center"/>
                </w:tcPr>
                <w:p w14:paraId="2C4D2BE7">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营</w:t>
                  </w:r>
                </w:p>
                <w:p w14:paraId="2833BAF8">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运</w:t>
                  </w:r>
                </w:p>
                <w:p w14:paraId="0928032E">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期</w:t>
                  </w:r>
                </w:p>
              </w:tc>
              <w:tc>
                <w:tcPr>
                  <w:tcW w:w="350" w:type="dxa"/>
                  <w:tcBorders>
                    <w:tl2br w:val="nil"/>
                    <w:tr2bl w:val="nil"/>
                  </w:tcBorders>
                  <w:vAlign w:val="center"/>
                </w:tcPr>
                <w:p w14:paraId="12BB89A5">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水环境</w:t>
                  </w:r>
                </w:p>
              </w:tc>
              <w:tc>
                <w:tcPr>
                  <w:tcW w:w="799" w:type="dxa"/>
                  <w:tcBorders>
                    <w:tl2br w:val="nil"/>
                    <w:tr2bl w:val="nil"/>
                  </w:tcBorders>
                  <w:vAlign w:val="center"/>
                </w:tcPr>
                <w:p w14:paraId="3B732BF7">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生活污水</w:t>
                  </w:r>
                </w:p>
              </w:tc>
              <w:tc>
                <w:tcPr>
                  <w:tcW w:w="4259" w:type="dxa"/>
                  <w:tcBorders>
                    <w:tl2br w:val="nil"/>
                    <w:tr2bl w:val="nil"/>
                  </w:tcBorders>
                  <w:vAlign w:val="center"/>
                </w:tcPr>
                <w:p w14:paraId="515D8BF4">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生活污水采取成套污水处理设备处理</w:t>
                  </w:r>
                </w:p>
              </w:tc>
              <w:tc>
                <w:tcPr>
                  <w:tcW w:w="739" w:type="dxa"/>
                  <w:tcBorders>
                    <w:tl2br w:val="nil"/>
                    <w:tr2bl w:val="nil"/>
                  </w:tcBorders>
                  <w:vAlign w:val="center"/>
                </w:tcPr>
                <w:p w14:paraId="18389514">
                  <w:pPr>
                    <w:pStyle w:val="63"/>
                    <w:spacing w:before="24" w:after="24"/>
                    <w:rPr>
                      <w:rFonts w:ascii="Times New Roman" w:hAnsi="Times New Roman"/>
                      <w:color w:val="000000" w:themeColor="text1"/>
                      <w:sz w:val="21"/>
                      <w:u w:val="none"/>
                      <w14:textFill>
                        <w14:solidFill>
                          <w14:schemeClr w14:val="tx1"/>
                        </w14:solidFill>
                      </w14:textFill>
                    </w:rPr>
                  </w:pPr>
                  <w:r>
                    <w:rPr>
                      <w:rFonts w:hint="eastAsia" w:ascii="Times New Roman" w:hAnsi="Times New Roman"/>
                      <w:color w:val="000000" w:themeColor="text1"/>
                      <w:sz w:val="21"/>
                      <w:u w:val="none"/>
                      <w14:textFill>
                        <w14:solidFill>
                          <w14:schemeClr w14:val="tx1"/>
                        </w14:solidFill>
                      </w14:textFill>
                    </w:rPr>
                    <w:t>20</w:t>
                  </w:r>
                  <w:r>
                    <w:rPr>
                      <w:rFonts w:ascii="Times New Roman" w:hAnsi="Times New Roman"/>
                      <w:color w:val="000000" w:themeColor="text1"/>
                      <w:sz w:val="21"/>
                      <w:u w:val="none"/>
                      <w14:textFill>
                        <w14:solidFill>
                          <w14:schemeClr w14:val="tx1"/>
                        </w14:solidFill>
                      </w14:textFill>
                    </w:rPr>
                    <w:t>.00</w:t>
                  </w:r>
                </w:p>
              </w:tc>
              <w:tc>
                <w:tcPr>
                  <w:tcW w:w="1114" w:type="dxa"/>
                  <w:tcBorders>
                    <w:tl2br w:val="nil"/>
                    <w:tr2bl w:val="nil"/>
                  </w:tcBorders>
                  <w:vAlign w:val="center"/>
                </w:tcPr>
                <w:p w14:paraId="1CFCE47B">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生活污水处理后用于绿化</w:t>
                  </w:r>
                </w:p>
              </w:tc>
            </w:tr>
            <w:tr w14:paraId="6B6C2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50" w:type="dxa"/>
                  <w:vMerge w:val="continue"/>
                  <w:tcBorders>
                    <w:tl2br w:val="nil"/>
                    <w:tr2bl w:val="nil"/>
                  </w:tcBorders>
                  <w:vAlign w:val="center"/>
                </w:tcPr>
                <w:p w14:paraId="066CC824">
                  <w:pPr>
                    <w:pStyle w:val="63"/>
                    <w:spacing w:before="24" w:after="24"/>
                    <w:rPr>
                      <w:rFonts w:ascii="Times New Roman" w:hAnsi="Times New Roman"/>
                      <w:color w:val="000000" w:themeColor="text1"/>
                      <w:sz w:val="21"/>
                      <w:u w:val="none"/>
                      <w14:textFill>
                        <w14:solidFill>
                          <w14:schemeClr w14:val="tx1"/>
                        </w14:solidFill>
                      </w14:textFill>
                    </w:rPr>
                  </w:pPr>
                </w:p>
              </w:tc>
              <w:tc>
                <w:tcPr>
                  <w:tcW w:w="350" w:type="dxa"/>
                  <w:vMerge w:val="restart"/>
                  <w:tcBorders>
                    <w:tl2br w:val="nil"/>
                    <w:tr2bl w:val="nil"/>
                  </w:tcBorders>
                  <w:vAlign w:val="center"/>
                </w:tcPr>
                <w:p w14:paraId="52CAD36D">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声环境</w:t>
                  </w:r>
                </w:p>
              </w:tc>
              <w:tc>
                <w:tcPr>
                  <w:tcW w:w="799" w:type="dxa"/>
                  <w:tcBorders>
                    <w:tl2br w:val="nil"/>
                    <w:tr2bl w:val="nil"/>
                  </w:tcBorders>
                  <w:vAlign w:val="center"/>
                </w:tcPr>
                <w:p w14:paraId="3E1E32A3">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运输噪声</w:t>
                  </w:r>
                </w:p>
              </w:tc>
              <w:tc>
                <w:tcPr>
                  <w:tcW w:w="4259" w:type="dxa"/>
                  <w:tcBorders>
                    <w:tl2br w:val="nil"/>
                    <w:tr2bl w:val="nil"/>
                  </w:tcBorders>
                  <w:vAlign w:val="center"/>
                </w:tcPr>
                <w:p w14:paraId="614B4B42">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禁止大声鸣笛、限制车速，设置减速标志</w:t>
                  </w:r>
                </w:p>
              </w:tc>
              <w:tc>
                <w:tcPr>
                  <w:tcW w:w="739" w:type="dxa"/>
                  <w:tcBorders>
                    <w:tl2br w:val="nil"/>
                    <w:tr2bl w:val="nil"/>
                  </w:tcBorders>
                  <w:vAlign w:val="center"/>
                </w:tcPr>
                <w:p w14:paraId="17BCD18C">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2.00</w:t>
                  </w:r>
                </w:p>
              </w:tc>
              <w:tc>
                <w:tcPr>
                  <w:tcW w:w="1114" w:type="dxa"/>
                  <w:tcBorders>
                    <w:tl2br w:val="nil"/>
                    <w:tr2bl w:val="nil"/>
                  </w:tcBorders>
                  <w:vAlign w:val="center"/>
                </w:tcPr>
                <w:p w14:paraId="5344B521">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w:t>
                  </w:r>
                </w:p>
              </w:tc>
            </w:tr>
            <w:tr w14:paraId="7E357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50" w:type="dxa"/>
                  <w:vMerge w:val="continue"/>
                  <w:tcBorders>
                    <w:tl2br w:val="nil"/>
                    <w:tr2bl w:val="nil"/>
                  </w:tcBorders>
                  <w:vAlign w:val="center"/>
                </w:tcPr>
                <w:p w14:paraId="2B5919E5">
                  <w:pPr>
                    <w:pStyle w:val="63"/>
                    <w:spacing w:before="24" w:after="24"/>
                    <w:rPr>
                      <w:rFonts w:ascii="Times New Roman" w:hAnsi="Times New Roman"/>
                      <w:color w:val="000000" w:themeColor="text1"/>
                      <w:sz w:val="21"/>
                      <w:u w:val="none"/>
                      <w14:textFill>
                        <w14:solidFill>
                          <w14:schemeClr w14:val="tx1"/>
                        </w14:solidFill>
                      </w14:textFill>
                    </w:rPr>
                  </w:pPr>
                </w:p>
              </w:tc>
              <w:tc>
                <w:tcPr>
                  <w:tcW w:w="350" w:type="dxa"/>
                  <w:vMerge w:val="continue"/>
                  <w:tcBorders>
                    <w:tl2br w:val="nil"/>
                    <w:tr2bl w:val="nil"/>
                  </w:tcBorders>
                  <w:vAlign w:val="center"/>
                </w:tcPr>
                <w:p w14:paraId="18BB9647">
                  <w:pPr>
                    <w:pStyle w:val="63"/>
                    <w:spacing w:before="24" w:after="24"/>
                    <w:rPr>
                      <w:rFonts w:ascii="Times New Roman" w:hAnsi="Times New Roman"/>
                      <w:color w:val="000000" w:themeColor="text1"/>
                      <w:sz w:val="21"/>
                      <w:u w:val="none"/>
                      <w14:textFill>
                        <w14:solidFill>
                          <w14:schemeClr w14:val="tx1"/>
                        </w14:solidFill>
                      </w14:textFill>
                    </w:rPr>
                  </w:pPr>
                </w:p>
              </w:tc>
              <w:tc>
                <w:tcPr>
                  <w:tcW w:w="799" w:type="dxa"/>
                  <w:tcBorders>
                    <w:tl2br w:val="nil"/>
                    <w:tr2bl w:val="nil"/>
                  </w:tcBorders>
                  <w:vAlign w:val="center"/>
                </w:tcPr>
                <w:p w14:paraId="63D6E4AB">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升压站噪声</w:t>
                  </w:r>
                </w:p>
              </w:tc>
              <w:tc>
                <w:tcPr>
                  <w:tcW w:w="4259" w:type="dxa"/>
                  <w:tcBorders>
                    <w:tl2br w:val="nil"/>
                    <w:tr2bl w:val="nil"/>
                  </w:tcBorders>
                  <w:vAlign w:val="center"/>
                </w:tcPr>
                <w:p w14:paraId="7AA8E48F">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选用低噪声主变压器，优化站内布局</w:t>
                  </w:r>
                </w:p>
              </w:tc>
              <w:tc>
                <w:tcPr>
                  <w:tcW w:w="739" w:type="dxa"/>
                  <w:tcBorders>
                    <w:tl2br w:val="nil"/>
                    <w:tr2bl w:val="nil"/>
                  </w:tcBorders>
                  <w:vAlign w:val="center"/>
                </w:tcPr>
                <w:p w14:paraId="7C36698D">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10.00</w:t>
                  </w:r>
                </w:p>
              </w:tc>
              <w:tc>
                <w:tcPr>
                  <w:tcW w:w="1114" w:type="dxa"/>
                  <w:tcBorders>
                    <w:tl2br w:val="nil"/>
                    <w:tr2bl w:val="nil"/>
                  </w:tcBorders>
                  <w:vAlign w:val="center"/>
                </w:tcPr>
                <w:p w14:paraId="551377FA">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达标排放</w:t>
                  </w:r>
                </w:p>
              </w:tc>
            </w:tr>
            <w:tr w14:paraId="58BAC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50" w:type="dxa"/>
                  <w:vMerge w:val="continue"/>
                  <w:tcBorders>
                    <w:tl2br w:val="nil"/>
                    <w:tr2bl w:val="nil"/>
                  </w:tcBorders>
                  <w:vAlign w:val="center"/>
                </w:tcPr>
                <w:p w14:paraId="70FE362A">
                  <w:pPr>
                    <w:pStyle w:val="63"/>
                    <w:spacing w:before="24" w:after="24"/>
                    <w:rPr>
                      <w:rFonts w:ascii="Times New Roman" w:hAnsi="Times New Roman"/>
                      <w:color w:val="000000" w:themeColor="text1"/>
                      <w:sz w:val="21"/>
                      <w:u w:val="none"/>
                      <w14:textFill>
                        <w14:solidFill>
                          <w14:schemeClr w14:val="tx1"/>
                        </w14:solidFill>
                      </w14:textFill>
                    </w:rPr>
                  </w:pPr>
                </w:p>
              </w:tc>
              <w:tc>
                <w:tcPr>
                  <w:tcW w:w="350" w:type="dxa"/>
                  <w:vMerge w:val="continue"/>
                  <w:tcBorders>
                    <w:tl2br w:val="nil"/>
                    <w:tr2bl w:val="nil"/>
                  </w:tcBorders>
                  <w:vAlign w:val="center"/>
                </w:tcPr>
                <w:p w14:paraId="4E123201">
                  <w:pPr>
                    <w:pStyle w:val="63"/>
                    <w:spacing w:before="24" w:after="24"/>
                    <w:rPr>
                      <w:rFonts w:ascii="Times New Roman" w:hAnsi="Times New Roman"/>
                      <w:color w:val="000000" w:themeColor="text1"/>
                      <w:sz w:val="21"/>
                      <w:u w:val="none"/>
                      <w14:textFill>
                        <w14:solidFill>
                          <w14:schemeClr w14:val="tx1"/>
                        </w14:solidFill>
                      </w14:textFill>
                    </w:rPr>
                  </w:pPr>
                </w:p>
              </w:tc>
              <w:tc>
                <w:tcPr>
                  <w:tcW w:w="799" w:type="dxa"/>
                  <w:tcBorders>
                    <w:tl2br w:val="nil"/>
                    <w:tr2bl w:val="nil"/>
                  </w:tcBorders>
                  <w:vAlign w:val="center"/>
                </w:tcPr>
                <w:p w14:paraId="04DA22B4">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敏感点噪声跟踪监测</w:t>
                  </w:r>
                </w:p>
              </w:tc>
              <w:tc>
                <w:tcPr>
                  <w:tcW w:w="4259" w:type="dxa"/>
                  <w:tcBorders>
                    <w:tl2br w:val="nil"/>
                    <w:tr2bl w:val="nil"/>
                  </w:tcBorders>
                  <w:vAlign w:val="center"/>
                </w:tcPr>
                <w:p w14:paraId="7358B41A">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按照营运期监测计划对项目周边敏感点进行监测</w:t>
                  </w:r>
                </w:p>
              </w:tc>
              <w:tc>
                <w:tcPr>
                  <w:tcW w:w="739" w:type="dxa"/>
                  <w:tcBorders>
                    <w:tl2br w:val="nil"/>
                    <w:tr2bl w:val="nil"/>
                  </w:tcBorders>
                  <w:vAlign w:val="center"/>
                </w:tcPr>
                <w:p w14:paraId="4E7DA9E3">
                  <w:pPr>
                    <w:pStyle w:val="63"/>
                    <w:spacing w:before="24" w:after="24"/>
                    <w:rPr>
                      <w:rFonts w:ascii="Times New Roman" w:hAnsi="Times New Roman"/>
                      <w:color w:val="000000" w:themeColor="text1"/>
                      <w:sz w:val="21"/>
                      <w:u w:val="none"/>
                      <w14:textFill>
                        <w14:solidFill>
                          <w14:schemeClr w14:val="tx1"/>
                        </w14:solidFill>
                      </w14:textFill>
                    </w:rPr>
                  </w:pPr>
                  <w:r>
                    <w:rPr>
                      <w:rFonts w:hint="eastAsia" w:ascii="Times New Roman" w:hAnsi="Times New Roman"/>
                      <w:color w:val="000000" w:themeColor="text1"/>
                      <w:sz w:val="21"/>
                      <w:u w:val="none"/>
                      <w:lang w:val="en-US" w:eastAsia="zh-CN"/>
                      <w14:textFill>
                        <w14:solidFill>
                          <w14:schemeClr w14:val="tx1"/>
                        </w14:solidFill>
                      </w14:textFill>
                    </w:rPr>
                    <w:t>5</w:t>
                  </w:r>
                  <w:r>
                    <w:rPr>
                      <w:rFonts w:hint="eastAsia" w:ascii="Times New Roman" w:hAnsi="Times New Roman"/>
                      <w:color w:val="000000" w:themeColor="text1"/>
                      <w:sz w:val="21"/>
                      <w:u w:val="none"/>
                      <w14:textFill>
                        <w14:solidFill>
                          <w14:schemeClr w14:val="tx1"/>
                        </w14:solidFill>
                      </w14:textFill>
                    </w:rPr>
                    <w:t>.00</w:t>
                  </w:r>
                </w:p>
              </w:tc>
              <w:tc>
                <w:tcPr>
                  <w:tcW w:w="1114" w:type="dxa"/>
                  <w:tcBorders>
                    <w:tl2br w:val="nil"/>
                    <w:tr2bl w:val="nil"/>
                  </w:tcBorders>
                  <w:vAlign w:val="center"/>
                </w:tcPr>
                <w:p w14:paraId="3A088244">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达标</w:t>
                  </w:r>
                </w:p>
              </w:tc>
            </w:tr>
            <w:tr w14:paraId="11A42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50" w:type="dxa"/>
                  <w:vMerge w:val="continue"/>
                  <w:tcBorders>
                    <w:tl2br w:val="nil"/>
                    <w:tr2bl w:val="nil"/>
                  </w:tcBorders>
                  <w:vAlign w:val="center"/>
                </w:tcPr>
                <w:p w14:paraId="72B033CA">
                  <w:pPr>
                    <w:pStyle w:val="63"/>
                    <w:spacing w:before="24" w:after="24"/>
                    <w:rPr>
                      <w:rFonts w:ascii="Times New Roman" w:hAnsi="Times New Roman"/>
                      <w:color w:val="000000" w:themeColor="text1"/>
                      <w:sz w:val="21"/>
                      <w:u w:val="none"/>
                      <w14:textFill>
                        <w14:solidFill>
                          <w14:schemeClr w14:val="tx1"/>
                        </w14:solidFill>
                      </w14:textFill>
                    </w:rPr>
                  </w:pPr>
                </w:p>
              </w:tc>
              <w:tc>
                <w:tcPr>
                  <w:tcW w:w="350" w:type="dxa"/>
                  <w:vMerge w:val="restart"/>
                  <w:tcBorders>
                    <w:tl2br w:val="nil"/>
                    <w:tr2bl w:val="nil"/>
                  </w:tcBorders>
                  <w:vAlign w:val="center"/>
                </w:tcPr>
                <w:p w14:paraId="5BC5D28D">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固体废物</w:t>
                  </w:r>
                </w:p>
              </w:tc>
              <w:tc>
                <w:tcPr>
                  <w:tcW w:w="799" w:type="dxa"/>
                  <w:tcBorders>
                    <w:tl2br w:val="nil"/>
                    <w:tr2bl w:val="nil"/>
                  </w:tcBorders>
                  <w:vAlign w:val="center"/>
                </w:tcPr>
                <w:p w14:paraId="089377FB">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生活垃圾</w:t>
                  </w:r>
                </w:p>
              </w:tc>
              <w:tc>
                <w:tcPr>
                  <w:tcW w:w="4259" w:type="dxa"/>
                  <w:tcBorders>
                    <w:tl2br w:val="nil"/>
                    <w:tr2bl w:val="nil"/>
                  </w:tcBorders>
                  <w:vAlign w:val="center"/>
                </w:tcPr>
                <w:p w14:paraId="5193566B">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设置垃圾桶，统一收集后送乡镇垃圾收集系统进行处置。</w:t>
                  </w:r>
                </w:p>
              </w:tc>
              <w:tc>
                <w:tcPr>
                  <w:tcW w:w="739" w:type="dxa"/>
                  <w:tcBorders>
                    <w:tl2br w:val="nil"/>
                    <w:tr2bl w:val="nil"/>
                  </w:tcBorders>
                  <w:vAlign w:val="center"/>
                </w:tcPr>
                <w:p w14:paraId="5340329C">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2.00</w:t>
                  </w:r>
                </w:p>
              </w:tc>
              <w:tc>
                <w:tcPr>
                  <w:tcW w:w="1114" w:type="dxa"/>
                  <w:tcBorders>
                    <w:tl2br w:val="nil"/>
                    <w:tr2bl w:val="nil"/>
                  </w:tcBorders>
                  <w:vAlign w:val="center"/>
                </w:tcPr>
                <w:p w14:paraId="1C919A57">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不外排</w:t>
                  </w:r>
                </w:p>
              </w:tc>
            </w:tr>
            <w:tr w14:paraId="612B9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50" w:type="dxa"/>
                  <w:vMerge w:val="continue"/>
                  <w:tcBorders>
                    <w:tl2br w:val="nil"/>
                    <w:tr2bl w:val="nil"/>
                  </w:tcBorders>
                  <w:vAlign w:val="center"/>
                </w:tcPr>
                <w:p w14:paraId="65AB45DC">
                  <w:pPr>
                    <w:pStyle w:val="63"/>
                    <w:spacing w:before="24" w:after="24"/>
                    <w:rPr>
                      <w:rFonts w:ascii="Times New Roman" w:hAnsi="Times New Roman"/>
                      <w:color w:val="000000" w:themeColor="text1"/>
                      <w:sz w:val="21"/>
                      <w:u w:val="none"/>
                      <w14:textFill>
                        <w14:solidFill>
                          <w14:schemeClr w14:val="tx1"/>
                        </w14:solidFill>
                      </w14:textFill>
                    </w:rPr>
                  </w:pPr>
                </w:p>
              </w:tc>
              <w:tc>
                <w:tcPr>
                  <w:tcW w:w="350" w:type="dxa"/>
                  <w:vMerge w:val="continue"/>
                  <w:tcBorders>
                    <w:tl2br w:val="nil"/>
                    <w:tr2bl w:val="nil"/>
                  </w:tcBorders>
                  <w:vAlign w:val="center"/>
                </w:tcPr>
                <w:p w14:paraId="5B54DD35">
                  <w:pPr>
                    <w:pStyle w:val="63"/>
                    <w:spacing w:before="24" w:after="24"/>
                    <w:rPr>
                      <w:rFonts w:ascii="Times New Roman" w:hAnsi="Times New Roman"/>
                      <w:color w:val="000000" w:themeColor="text1"/>
                      <w:sz w:val="21"/>
                      <w:u w:val="none"/>
                      <w14:textFill>
                        <w14:solidFill>
                          <w14:schemeClr w14:val="tx1"/>
                        </w14:solidFill>
                      </w14:textFill>
                    </w:rPr>
                  </w:pPr>
                </w:p>
              </w:tc>
              <w:tc>
                <w:tcPr>
                  <w:tcW w:w="799" w:type="dxa"/>
                  <w:tcBorders>
                    <w:tl2br w:val="nil"/>
                    <w:tr2bl w:val="nil"/>
                  </w:tcBorders>
                  <w:vAlign w:val="center"/>
                </w:tcPr>
                <w:p w14:paraId="4E416F09">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废旧蓄电池、废机油等</w:t>
                  </w:r>
                </w:p>
              </w:tc>
              <w:tc>
                <w:tcPr>
                  <w:tcW w:w="4259" w:type="dxa"/>
                  <w:tcBorders>
                    <w:tl2br w:val="nil"/>
                    <w:tr2bl w:val="nil"/>
                  </w:tcBorders>
                  <w:vAlign w:val="center"/>
                </w:tcPr>
                <w:p w14:paraId="19EAF0B8">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升压站设置合格的危废暂存间；危险废物由有资质单位处理</w:t>
                  </w:r>
                </w:p>
              </w:tc>
              <w:tc>
                <w:tcPr>
                  <w:tcW w:w="739" w:type="dxa"/>
                  <w:tcBorders>
                    <w:tl2br w:val="nil"/>
                    <w:tr2bl w:val="nil"/>
                  </w:tcBorders>
                  <w:vAlign w:val="center"/>
                </w:tcPr>
                <w:p w14:paraId="33C4AFB0">
                  <w:pPr>
                    <w:pStyle w:val="63"/>
                    <w:spacing w:before="24" w:after="24"/>
                    <w:rPr>
                      <w:rFonts w:ascii="Times New Roman" w:hAnsi="Times New Roman"/>
                      <w:color w:val="000000" w:themeColor="text1"/>
                      <w:sz w:val="21"/>
                      <w:u w:val="none"/>
                      <w14:textFill>
                        <w14:solidFill>
                          <w14:schemeClr w14:val="tx1"/>
                        </w14:solidFill>
                      </w14:textFill>
                    </w:rPr>
                  </w:pPr>
                  <w:r>
                    <w:rPr>
                      <w:rFonts w:hint="eastAsia" w:ascii="Times New Roman" w:hAnsi="Times New Roman"/>
                      <w:color w:val="000000" w:themeColor="text1"/>
                      <w:sz w:val="21"/>
                      <w:u w:val="none"/>
                      <w14:textFill>
                        <w14:solidFill>
                          <w14:schemeClr w14:val="tx1"/>
                        </w14:solidFill>
                      </w14:textFill>
                    </w:rPr>
                    <w:t>2</w:t>
                  </w:r>
                  <w:r>
                    <w:rPr>
                      <w:rFonts w:ascii="Times New Roman" w:hAnsi="Times New Roman"/>
                      <w:color w:val="000000" w:themeColor="text1"/>
                      <w:sz w:val="21"/>
                      <w:u w:val="none"/>
                      <w14:textFill>
                        <w14:solidFill>
                          <w14:schemeClr w14:val="tx1"/>
                        </w14:solidFill>
                      </w14:textFill>
                    </w:rPr>
                    <w:t>0.00</w:t>
                  </w:r>
                </w:p>
              </w:tc>
              <w:tc>
                <w:tcPr>
                  <w:tcW w:w="1114" w:type="dxa"/>
                  <w:tcBorders>
                    <w:tl2br w:val="nil"/>
                    <w:tr2bl w:val="nil"/>
                  </w:tcBorders>
                  <w:vAlign w:val="center"/>
                </w:tcPr>
                <w:p w14:paraId="4A6ED200">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不外排</w:t>
                  </w:r>
                </w:p>
              </w:tc>
            </w:tr>
            <w:tr w14:paraId="39006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50" w:type="dxa"/>
                  <w:vMerge w:val="continue"/>
                  <w:tcBorders>
                    <w:tl2br w:val="nil"/>
                    <w:tr2bl w:val="nil"/>
                  </w:tcBorders>
                  <w:vAlign w:val="center"/>
                </w:tcPr>
                <w:p w14:paraId="65D0E5F9">
                  <w:pPr>
                    <w:pStyle w:val="63"/>
                    <w:spacing w:before="24" w:after="24"/>
                    <w:rPr>
                      <w:rFonts w:ascii="Times New Roman" w:hAnsi="Times New Roman"/>
                      <w:color w:val="000000" w:themeColor="text1"/>
                      <w:sz w:val="21"/>
                      <w:u w:val="none"/>
                      <w14:textFill>
                        <w14:solidFill>
                          <w14:schemeClr w14:val="tx1"/>
                        </w14:solidFill>
                      </w14:textFill>
                    </w:rPr>
                  </w:pPr>
                </w:p>
              </w:tc>
              <w:tc>
                <w:tcPr>
                  <w:tcW w:w="1149" w:type="dxa"/>
                  <w:gridSpan w:val="2"/>
                  <w:tcBorders>
                    <w:tl2br w:val="nil"/>
                    <w:tr2bl w:val="nil"/>
                  </w:tcBorders>
                  <w:vAlign w:val="center"/>
                </w:tcPr>
                <w:p w14:paraId="77E3C6F6">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环境风险</w:t>
                  </w:r>
                </w:p>
              </w:tc>
              <w:tc>
                <w:tcPr>
                  <w:tcW w:w="4259" w:type="dxa"/>
                  <w:tcBorders>
                    <w:tl2br w:val="nil"/>
                    <w:tr2bl w:val="nil"/>
                  </w:tcBorders>
                  <w:vAlign w:val="center"/>
                </w:tcPr>
                <w:p w14:paraId="0DAFF27A">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升压站建设容积不小于</w:t>
                  </w:r>
                  <w:r>
                    <w:rPr>
                      <w:rFonts w:hint="eastAsia" w:ascii="Times New Roman" w:hAnsi="Times New Roman"/>
                      <w:color w:val="000000" w:themeColor="text1"/>
                      <w:sz w:val="21"/>
                      <w:u w:val="none"/>
                      <w:lang w:val="en-US" w:eastAsia="zh-CN"/>
                      <w14:textFill>
                        <w14:solidFill>
                          <w14:schemeClr w14:val="tx1"/>
                        </w14:solidFill>
                      </w14:textFill>
                    </w:rPr>
                    <w:t>48</w:t>
                  </w:r>
                  <w:r>
                    <w:rPr>
                      <w:rFonts w:ascii="Times New Roman" w:hAnsi="Times New Roman"/>
                      <w:color w:val="000000" w:themeColor="text1"/>
                      <w:sz w:val="21"/>
                      <w:u w:val="none"/>
                      <w14:textFill>
                        <w14:solidFill>
                          <w14:schemeClr w14:val="tx1"/>
                        </w14:solidFill>
                      </w14:textFill>
                    </w:rPr>
                    <w:t>m</w:t>
                  </w:r>
                  <w:r>
                    <w:rPr>
                      <w:rFonts w:ascii="Times New Roman" w:hAnsi="Times New Roman"/>
                      <w:color w:val="000000" w:themeColor="text1"/>
                      <w:sz w:val="21"/>
                      <w:u w:val="none"/>
                      <w:vertAlign w:val="superscript"/>
                      <w14:textFill>
                        <w14:solidFill>
                          <w14:schemeClr w14:val="tx1"/>
                        </w14:solidFill>
                      </w14:textFill>
                    </w:rPr>
                    <w:t>3</w:t>
                  </w:r>
                  <w:r>
                    <w:rPr>
                      <w:rFonts w:ascii="Times New Roman" w:hAnsi="Times New Roman"/>
                      <w:color w:val="000000" w:themeColor="text1"/>
                      <w:sz w:val="21"/>
                      <w:u w:val="none"/>
                      <w14:textFill>
                        <w14:solidFill>
                          <w14:schemeClr w14:val="tx1"/>
                        </w14:solidFill>
                      </w14:textFill>
                    </w:rPr>
                    <w:t>的事故油池一座</w:t>
                  </w:r>
                </w:p>
              </w:tc>
              <w:tc>
                <w:tcPr>
                  <w:tcW w:w="739" w:type="dxa"/>
                  <w:tcBorders>
                    <w:tl2br w:val="nil"/>
                    <w:tr2bl w:val="nil"/>
                  </w:tcBorders>
                  <w:vAlign w:val="center"/>
                </w:tcPr>
                <w:p w14:paraId="774ACA64">
                  <w:pPr>
                    <w:pStyle w:val="63"/>
                    <w:spacing w:before="24" w:after="24"/>
                    <w:rPr>
                      <w:rFonts w:hint="default" w:ascii="Times New Roman" w:hAnsi="Times New Roman" w:eastAsia="宋体"/>
                      <w:color w:val="000000" w:themeColor="text1"/>
                      <w:sz w:val="21"/>
                      <w:u w:val="none"/>
                      <w:lang w:val="en-US" w:eastAsia="zh-CN"/>
                      <w14:textFill>
                        <w14:solidFill>
                          <w14:schemeClr w14:val="tx1"/>
                        </w14:solidFill>
                      </w14:textFill>
                    </w:rPr>
                  </w:pPr>
                  <w:r>
                    <w:rPr>
                      <w:rFonts w:hint="eastAsia" w:ascii="Times New Roman" w:hAnsi="Times New Roman"/>
                      <w:color w:val="000000" w:themeColor="text1"/>
                      <w:sz w:val="21"/>
                      <w:u w:val="none"/>
                      <w:lang w:val="en-US" w:eastAsia="zh-CN"/>
                      <w14:textFill>
                        <w14:solidFill>
                          <w14:schemeClr w14:val="tx1"/>
                        </w14:solidFill>
                      </w14:textFill>
                    </w:rPr>
                    <w:t>8.00</w:t>
                  </w:r>
                </w:p>
              </w:tc>
              <w:tc>
                <w:tcPr>
                  <w:tcW w:w="1114" w:type="dxa"/>
                  <w:tcBorders>
                    <w:tl2br w:val="nil"/>
                    <w:tr2bl w:val="nil"/>
                  </w:tcBorders>
                  <w:vAlign w:val="center"/>
                </w:tcPr>
                <w:p w14:paraId="29254756">
                  <w:pPr>
                    <w:pStyle w:val="63"/>
                    <w:spacing w:before="24" w:after="24"/>
                    <w:rPr>
                      <w:rFonts w:ascii="Times New Roman" w:hAnsi="Times New Roman"/>
                      <w:color w:val="000000" w:themeColor="text1"/>
                      <w:sz w:val="21"/>
                      <w:u w:val="none"/>
                      <w14:textFill>
                        <w14:solidFill>
                          <w14:schemeClr w14:val="tx1"/>
                        </w14:solidFill>
                      </w14:textFill>
                    </w:rPr>
                  </w:pPr>
                </w:p>
              </w:tc>
            </w:tr>
            <w:tr w14:paraId="41EFE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50" w:type="dxa"/>
                  <w:vMerge w:val="restart"/>
                  <w:tcBorders>
                    <w:tl2br w:val="nil"/>
                    <w:tr2bl w:val="nil"/>
                  </w:tcBorders>
                  <w:vAlign w:val="center"/>
                </w:tcPr>
                <w:p w14:paraId="48D24AF5">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环境管理</w:t>
                  </w:r>
                </w:p>
              </w:tc>
              <w:tc>
                <w:tcPr>
                  <w:tcW w:w="1149" w:type="dxa"/>
                  <w:gridSpan w:val="2"/>
                  <w:tcBorders>
                    <w:tl2br w:val="nil"/>
                    <w:tr2bl w:val="nil"/>
                  </w:tcBorders>
                  <w:vAlign w:val="center"/>
                </w:tcPr>
                <w:p w14:paraId="658990F6">
                  <w:pPr>
                    <w:pStyle w:val="63"/>
                    <w:spacing w:before="24" w:after="24"/>
                    <w:ind w:left="0" w:leftChars="0" w:firstLine="0" w:firstLineChars="0"/>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环境影响评价</w:t>
                  </w:r>
                </w:p>
              </w:tc>
              <w:tc>
                <w:tcPr>
                  <w:tcW w:w="4259" w:type="dxa"/>
                  <w:tcBorders>
                    <w:tl2br w:val="nil"/>
                    <w:tr2bl w:val="nil"/>
                  </w:tcBorders>
                  <w:vAlign w:val="center"/>
                </w:tcPr>
                <w:p w14:paraId="23711DC2">
                  <w:pPr>
                    <w:pStyle w:val="63"/>
                    <w:spacing w:before="24" w:after="24"/>
                    <w:ind w:left="0" w:leftChars="0" w:firstLine="0" w:firstLineChars="0"/>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环境影响评价</w:t>
                  </w:r>
                </w:p>
              </w:tc>
              <w:tc>
                <w:tcPr>
                  <w:tcW w:w="739" w:type="dxa"/>
                  <w:tcBorders>
                    <w:tl2br w:val="nil"/>
                    <w:tr2bl w:val="nil"/>
                  </w:tcBorders>
                  <w:vAlign w:val="center"/>
                </w:tcPr>
                <w:p w14:paraId="036010D2">
                  <w:pPr>
                    <w:pStyle w:val="63"/>
                    <w:spacing w:before="24" w:after="24"/>
                    <w:ind w:left="0" w:leftChars="0" w:firstLine="0" w:firstLineChars="0"/>
                    <w:rPr>
                      <w:rFonts w:hint="default" w:ascii="Times New Roman" w:hAnsi="Times New Roman" w:eastAsia="宋体"/>
                      <w:color w:val="000000" w:themeColor="text1"/>
                      <w:sz w:val="21"/>
                      <w:u w:val="none"/>
                      <w:lang w:val="en-US" w:eastAsia="zh-CN"/>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30</w:t>
                  </w:r>
                  <w:r>
                    <w:rPr>
                      <w:rFonts w:hint="eastAsia" w:ascii="Times New Roman" w:hAnsi="Times New Roman"/>
                      <w:color w:val="000000" w:themeColor="text1"/>
                      <w:sz w:val="21"/>
                      <w:u w:val="none"/>
                      <w:lang w:val="en-US" w:eastAsia="zh-CN"/>
                      <w14:textFill>
                        <w14:solidFill>
                          <w14:schemeClr w14:val="tx1"/>
                        </w14:solidFill>
                      </w14:textFill>
                    </w:rPr>
                    <w:t>.00</w:t>
                  </w:r>
                </w:p>
              </w:tc>
              <w:tc>
                <w:tcPr>
                  <w:tcW w:w="1114" w:type="dxa"/>
                  <w:tcBorders>
                    <w:tl2br w:val="nil"/>
                    <w:tr2bl w:val="nil"/>
                  </w:tcBorders>
                  <w:vAlign w:val="center"/>
                </w:tcPr>
                <w:p w14:paraId="656AC51C">
                  <w:pPr>
                    <w:pStyle w:val="63"/>
                    <w:spacing w:before="24" w:after="24"/>
                    <w:rPr>
                      <w:rFonts w:ascii="Times New Roman" w:hAnsi="Times New Roman"/>
                      <w:color w:val="000000" w:themeColor="text1"/>
                      <w:sz w:val="21"/>
                      <w:u w:val="none"/>
                      <w14:textFill>
                        <w14:solidFill>
                          <w14:schemeClr w14:val="tx1"/>
                        </w14:solidFill>
                      </w14:textFill>
                    </w:rPr>
                  </w:pPr>
                </w:p>
              </w:tc>
            </w:tr>
            <w:tr w14:paraId="79A64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50" w:type="dxa"/>
                  <w:vMerge w:val="continue"/>
                  <w:tcBorders>
                    <w:tl2br w:val="nil"/>
                    <w:tr2bl w:val="nil"/>
                  </w:tcBorders>
                  <w:vAlign w:val="center"/>
                </w:tcPr>
                <w:p w14:paraId="47B4CA6E">
                  <w:pPr>
                    <w:pStyle w:val="63"/>
                    <w:spacing w:before="24" w:after="24"/>
                    <w:rPr>
                      <w:rFonts w:ascii="Times New Roman" w:hAnsi="Times New Roman"/>
                      <w:color w:val="000000" w:themeColor="text1"/>
                      <w:sz w:val="21"/>
                      <w:u w:val="none"/>
                      <w14:textFill>
                        <w14:solidFill>
                          <w14:schemeClr w14:val="tx1"/>
                        </w14:solidFill>
                      </w14:textFill>
                    </w:rPr>
                  </w:pPr>
                </w:p>
              </w:tc>
              <w:tc>
                <w:tcPr>
                  <w:tcW w:w="1149" w:type="dxa"/>
                  <w:gridSpan w:val="2"/>
                  <w:tcBorders>
                    <w:tl2br w:val="nil"/>
                    <w:tr2bl w:val="nil"/>
                  </w:tcBorders>
                  <w:vAlign w:val="center"/>
                </w:tcPr>
                <w:p w14:paraId="69848A74">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竣工验收费用</w:t>
                  </w:r>
                </w:p>
              </w:tc>
              <w:tc>
                <w:tcPr>
                  <w:tcW w:w="4259" w:type="dxa"/>
                  <w:tcBorders>
                    <w:tl2br w:val="nil"/>
                    <w:tr2bl w:val="nil"/>
                  </w:tcBorders>
                  <w:vAlign w:val="center"/>
                </w:tcPr>
                <w:p w14:paraId="46F187BF">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竣工验收费用</w:t>
                  </w:r>
                </w:p>
              </w:tc>
              <w:tc>
                <w:tcPr>
                  <w:tcW w:w="739" w:type="dxa"/>
                  <w:tcBorders>
                    <w:tl2br w:val="nil"/>
                    <w:tr2bl w:val="nil"/>
                  </w:tcBorders>
                  <w:vAlign w:val="center"/>
                </w:tcPr>
                <w:p w14:paraId="67460B6C">
                  <w:pPr>
                    <w:pStyle w:val="63"/>
                    <w:spacing w:before="24" w:after="24"/>
                    <w:rPr>
                      <w:rFonts w:hint="default" w:ascii="Times New Roman" w:hAnsi="Times New Roman" w:eastAsia="宋体"/>
                      <w:color w:val="000000" w:themeColor="text1"/>
                      <w:sz w:val="21"/>
                      <w:u w:val="none"/>
                      <w:lang w:val="en-US" w:eastAsia="zh-CN"/>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30</w:t>
                  </w:r>
                  <w:r>
                    <w:rPr>
                      <w:rFonts w:hint="eastAsia" w:ascii="Times New Roman" w:hAnsi="Times New Roman"/>
                      <w:color w:val="000000" w:themeColor="text1"/>
                      <w:sz w:val="21"/>
                      <w:u w:val="none"/>
                      <w:lang w:val="en-US" w:eastAsia="zh-CN"/>
                      <w14:textFill>
                        <w14:solidFill>
                          <w14:schemeClr w14:val="tx1"/>
                        </w14:solidFill>
                      </w14:textFill>
                    </w:rPr>
                    <w:t>.00</w:t>
                  </w:r>
                </w:p>
              </w:tc>
              <w:tc>
                <w:tcPr>
                  <w:tcW w:w="1114" w:type="dxa"/>
                  <w:tcBorders>
                    <w:tl2br w:val="nil"/>
                    <w:tr2bl w:val="nil"/>
                  </w:tcBorders>
                  <w:vAlign w:val="center"/>
                </w:tcPr>
                <w:p w14:paraId="59BB4666">
                  <w:pPr>
                    <w:pStyle w:val="63"/>
                    <w:spacing w:before="24" w:after="24"/>
                    <w:rPr>
                      <w:rFonts w:ascii="Times New Roman" w:hAnsi="Times New Roman"/>
                      <w:color w:val="000000" w:themeColor="text1"/>
                      <w:sz w:val="21"/>
                      <w:u w:val="none"/>
                      <w14:textFill>
                        <w14:solidFill>
                          <w14:schemeClr w14:val="tx1"/>
                        </w14:solidFill>
                      </w14:textFill>
                    </w:rPr>
                  </w:pPr>
                </w:p>
              </w:tc>
            </w:tr>
            <w:tr w14:paraId="7A653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50" w:type="dxa"/>
                  <w:vMerge w:val="continue"/>
                  <w:tcBorders>
                    <w:tl2br w:val="nil"/>
                    <w:tr2bl w:val="nil"/>
                  </w:tcBorders>
                  <w:vAlign w:val="center"/>
                </w:tcPr>
                <w:p w14:paraId="58B7B694">
                  <w:pPr>
                    <w:pStyle w:val="63"/>
                    <w:spacing w:before="24" w:after="24"/>
                    <w:rPr>
                      <w:rFonts w:ascii="Times New Roman" w:hAnsi="Times New Roman"/>
                      <w:color w:val="000000" w:themeColor="text1"/>
                      <w:sz w:val="21"/>
                      <w:u w:val="none"/>
                      <w14:textFill>
                        <w14:solidFill>
                          <w14:schemeClr w14:val="tx1"/>
                        </w14:solidFill>
                      </w14:textFill>
                    </w:rPr>
                  </w:pPr>
                </w:p>
              </w:tc>
              <w:tc>
                <w:tcPr>
                  <w:tcW w:w="1149" w:type="dxa"/>
                  <w:gridSpan w:val="2"/>
                  <w:tcBorders>
                    <w:tl2br w:val="nil"/>
                    <w:tr2bl w:val="nil"/>
                  </w:tcBorders>
                  <w:vAlign w:val="center"/>
                </w:tcPr>
                <w:p w14:paraId="0302D68B">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预留环保资金</w:t>
                  </w:r>
                </w:p>
              </w:tc>
              <w:tc>
                <w:tcPr>
                  <w:tcW w:w="4259" w:type="dxa"/>
                  <w:tcBorders>
                    <w:tl2br w:val="nil"/>
                    <w:tr2bl w:val="nil"/>
                  </w:tcBorders>
                  <w:vAlign w:val="center"/>
                </w:tcPr>
                <w:p w14:paraId="15CBDDBD">
                  <w:pPr>
                    <w:pStyle w:val="63"/>
                    <w:spacing w:before="24" w:after="24"/>
                    <w:rPr>
                      <w:rFonts w:ascii="Times New Roman" w:hAnsi="Times New Roman"/>
                      <w:color w:val="000000" w:themeColor="text1"/>
                      <w:sz w:val="21"/>
                      <w:u w:val="none"/>
                      <w14:textFill>
                        <w14:solidFill>
                          <w14:schemeClr w14:val="tx1"/>
                        </w14:solidFill>
                      </w14:textFill>
                    </w:rPr>
                  </w:pPr>
                </w:p>
              </w:tc>
              <w:tc>
                <w:tcPr>
                  <w:tcW w:w="739" w:type="dxa"/>
                  <w:tcBorders>
                    <w:tl2br w:val="nil"/>
                    <w:tr2bl w:val="nil"/>
                  </w:tcBorders>
                  <w:vAlign w:val="center"/>
                </w:tcPr>
                <w:p w14:paraId="32692BBF">
                  <w:pPr>
                    <w:pStyle w:val="63"/>
                    <w:spacing w:before="24" w:after="24"/>
                    <w:rPr>
                      <w:rFonts w:hint="default" w:ascii="Times New Roman" w:hAnsi="Times New Roman" w:eastAsia="宋体"/>
                      <w:color w:val="000000" w:themeColor="text1"/>
                      <w:sz w:val="21"/>
                      <w:u w:val="none"/>
                      <w:lang w:val="en-US" w:eastAsia="zh-CN"/>
                      <w14:textFill>
                        <w14:solidFill>
                          <w14:schemeClr w14:val="tx1"/>
                        </w14:solidFill>
                      </w14:textFill>
                    </w:rPr>
                  </w:pPr>
                  <w:r>
                    <w:rPr>
                      <w:rFonts w:hint="eastAsia" w:ascii="Times New Roman" w:hAnsi="Times New Roman"/>
                      <w:color w:val="000000" w:themeColor="text1"/>
                      <w:sz w:val="21"/>
                      <w:u w:val="none"/>
                      <w:lang w:val="en-US" w:eastAsia="zh-CN"/>
                      <w14:textFill>
                        <w14:solidFill>
                          <w14:schemeClr w14:val="tx1"/>
                        </w14:solidFill>
                      </w14:textFill>
                    </w:rPr>
                    <w:t>2</w:t>
                  </w:r>
                  <w:r>
                    <w:rPr>
                      <w:rFonts w:ascii="Times New Roman" w:hAnsi="Times New Roman"/>
                      <w:color w:val="000000" w:themeColor="text1"/>
                      <w:sz w:val="21"/>
                      <w:u w:val="none"/>
                      <w14:textFill>
                        <w14:solidFill>
                          <w14:schemeClr w14:val="tx1"/>
                        </w14:solidFill>
                      </w14:textFill>
                    </w:rPr>
                    <w:t>0</w:t>
                  </w:r>
                  <w:r>
                    <w:rPr>
                      <w:rFonts w:hint="eastAsia" w:ascii="Times New Roman" w:hAnsi="Times New Roman"/>
                      <w:color w:val="000000" w:themeColor="text1"/>
                      <w:sz w:val="21"/>
                      <w:u w:val="none"/>
                      <w:lang w:val="en-US" w:eastAsia="zh-CN"/>
                      <w14:textFill>
                        <w14:solidFill>
                          <w14:schemeClr w14:val="tx1"/>
                        </w14:solidFill>
                      </w14:textFill>
                    </w:rPr>
                    <w:t>.00</w:t>
                  </w:r>
                </w:p>
              </w:tc>
              <w:tc>
                <w:tcPr>
                  <w:tcW w:w="1114" w:type="dxa"/>
                  <w:tcBorders>
                    <w:tl2br w:val="nil"/>
                    <w:tr2bl w:val="nil"/>
                  </w:tcBorders>
                  <w:vAlign w:val="center"/>
                </w:tcPr>
                <w:p w14:paraId="70B0BCFA">
                  <w:pPr>
                    <w:pStyle w:val="63"/>
                    <w:spacing w:before="24" w:after="24"/>
                    <w:rPr>
                      <w:rFonts w:ascii="Times New Roman" w:hAnsi="Times New Roman"/>
                      <w:color w:val="000000" w:themeColor="text1"/>
                      <w:sz w:val="21"/>
                      <w:u w:val="none"/>
                      <w14:textFill>
                        <w14:solidFill>
                          <w14:schemeClr w14:val="tx1"/>
                        </w14:solidFill>
                      </w14:textFill>
                    </w:rPr>
                  </w:pPr>
                </w:p>
              </w:tc>
            </w:tr>
            <w:tr w14:paraId="6D13F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499" w:type="dxa"/>
                  <w:gridSpan w:val="3"/>
                  <w:tcBorders>
                    <w:tl2br w:val="nil"/>
                    <w:tr2bl w:val="nil"/>
                  </w:tcBorders>
                  <w:vAlign w:val="center"/>
                </w:tcPr>
                <w:p w14:paraId="41A8EB3B">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合计</w:t>
                  </w:r>
                </w:p>
              </w:tc>
              <w:tc>
                <w:tcPr>
                  <w:tcW w:w="4259" w:type="dxa"/>
                  <w:tcBorders>
                    <w:tl2br w:val="nil"/>
                    <w:tr2bl w:val="nil"/>
                  </w:tcBorders>
                  <w:vAlign w:val="center"/>
                </w:tcPr>
                <w:p w14:paraId="44A0B1DC">
                  <w:pPr>
                    <w:pStyle w:val="63"/>
                    <w:spacing w:before="24" w:after="24"/>
                    <w:rPr>
                      <w:rFonts w:ascii="Times New Roman" w:hAnsi="Times New Roman"/>
                      <w:color w:val="000000" w:themeColor="text1"/>
                      <w:sz w:val="21"/>
                      <w:u w:val="none"/>
                      <w14:textFill>
                        <w14:solidFill>
                          <w14:schemeClr w14:val="tx1"/>
                        </w14:solidFill>
                      </w14:textFill>
                    </w:rPr>
                  </w:pPr>
                </w:p>
              </w:tc>
              <w:tc>
                <w:tcPr>
                  <w:tcW w:w="739" w:type="dxa"/>
                  <w:tcBorders>
                    <w:tl2br w:val="nil"/>
                    <w:tr2bl w:val="nil"/>
                  </w:tcBorders>
                  <w:vAlign w:val="center"/>
                </w:tcPr>
                <w:p w14:paraId="77CF687D">
                  <w:pPr>
                    <w:pStyle w:val="63"/>
                    <w:spacing w:before="24" w:after="24"/>
                    <w:rPr>
                      <w:rFonts w:hint="default" w:ascii="Times New Roman" w:hAnsi="Times New Roman" w:eastAsia="宋体"/>
                      <w:color w:val="000000" w:themeColor="text1"/>
                      <w:sz w:val="21"/>
                      <w:u w:val="none"/>
                      <w:lang w:val="en-US" w:eastAsia="zh-CN"/>
                      <w14:textFill>
                        <w14:solidFill>
                          <w14:schemeClr w14:val="tx1"/>
                        </w14:solidFill>
                      </w14:textFill>
                    </w:rPr>
                  </w:pPr>
                  <w:r>
                    <w:rPr>
                      <w:rFonts w:hint="eastAsia" w:ascii="Times New Roman" w:hAnsi="Times New Roman"/>
                      <w:color w:val="000000" w:themeColor="text1"/>
                      <w:sz w:val="21"/>
                      <w:u w:val="none"/>
                      <w:lang w:val="en-US" w:eastAsia="zh-CN"/>
                      <w14:textFill>
                        <w14:solidFill>
                          <w14:schemeClr w14:val="tx1"/>
                        </w14:solidFill>
                      </w14:textFill>
                    </w:rPr>
                    <w:t>2230.5</w:t>
                  </w:r>
                </w:p>
              </w:tc>
              <w:tc>
                <w:tcPr>
                  <w:tcW w:w="1114" w:type="dxa"/>
                  <w:tcBorders>
                    <w:tl2br w:val="nil"/>
                    <w:tr2bl w:val="nil"/>
                  </w:tcBorders>
                  <w:vAlign w:val="center"/>
                </w:tcPr>
                <w:p w14:paraId="05EFFCC6">
                  <w:pPr>
                    <w:pStyle w:val="63"/>
                    <w:spacing w:before="24" w:after="24"/>
                    <w:rPr>
                      <w:rFonts w:ascii="Times New Roman" w:hAnsi="Times New Roman"/>
                      <w:color w:val="000000" w:themeColor="text1"/>
                      <w:sz w:val="21"/>
                      <w:u w:val="none"/>
                      <w14:textFill>
                        <w14:solidFill>
                          <w14:schemeClr w14:val="tx1"/>
                        </w14:solidFill>
                      </w14:textFill>
                    </w:rPr>
                  </w:pPr>
                </w:p>
              </w:tc>
            </w:tr>
            <w:tr w14:paraId="10612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499" w:type="dxa"/>
                  <w:gridSpan w:val="3"/>
                  <w:tcBorders>
                    <w:tl2br w:val="nil"/>
                    <w:tr2bl w:val="nil"/>
                  </w:tcBorders>
                  <w:vAlign w:val="center"/>
                </w:tcPr>
                <w:p w14:paraId="649B41B4">
                  <w:pPr>
                    <w:pStyle w:val="63"/>
                    <w:spacing w:before="24" w:after="24"/>
                    <w:rPr>
                      <w:rFonts w:ascii="Times New Roman" w:hAnsi="Times New Roman"/>
                      <w:color w:val="000000" w:themeColor="text1"/>
                      <w:sz w:val="21"/>
                      <w:u w:val="none"/>
                      <w14:textFill>
                        <w14:solidFill>
                          <w14:schemeClr w14:val="tx1"/>
                        </w14:solidFill>
                      </w14:textFill>
                    </w:rPr>
                  </w:pPr>
                  <w:r>
                    <w:rPr>
                      <w:rFonts w:ascii="Times New Roman" w:hAnsi="Times New Roman"/>
                      <w:color w:val="000000" w:themeColor="text1"/>
                      <w:sz w:val="21"/>
                      <w:u w:val="none"/>
                      <w14:textFill>
                        <w14:solidFill>
                          <w14:schemeClr w14:val="tx1"/>
                        </w14:solidFill>
                      </w14:textFill>
                    </w:rPr>
                    <w:t>扣除水保设计资金</w:t>
                  </w:r>
                </w:p>
              </w:tc>
              <w:tc>
                <w:tcPr>
                  <w:tcW w:w="4259" w:type="dxa"/>
                  <w:tcBorders>
                    <w:tl2br w:val="nil"/>
                    <w:tr2bl w:val="nil"/>
                  </w:tcBorders>
                  <w:vAlign w:val="center"/>
                </w:tcPr>
                <w:p w14:paraId="783E8A6F">
                  <w:pPr>
                    <w:pStyle w:val="63"/>
                    <w:spacing w:before="24" w:after="24"/>
                    <w:rPr>
                      <w:rFonts w:ascii="Times New Roman" w:hAnsi="Times New Roman"/>
                      <w:color w:val="000000" w:themeColor="text1"/>
                      <w:sz w:val="21"/>
                      <w:u w:val="none"/>
                      <w14:textFill>
                        <w14:solidFill>
                          <w14:schemeClr w14:val="tx1"/>
                        </w14:solidFill>
                      </w14:textFill>
                    </w:rPr>
                  </w:pPr>
                </w:p>
              </w:tc>
              <w:tc>
                <w:tcPr>
                  <w:tcW w:w="739" w:type="dxa"/>
                  <w:tcBorders>
                    <w:tl2br w:val="nil"/>
                    <w:tr2bl w:val="nil"/>
                  </w:tcBorders>
                  <w:vAlign w:val="center"/>
                </w:tcPr>
                <w:p w14:paraId="453498DD">
                  <w:pPr>
                    <w:pStyle w:val="63"/>
                    <w:spacing w:before="24" w:after="24"/>
                    <w:rPr>
                      <w:rFonts w:hint="default" w:ascii="Times New Roman" w:hAnsi="Times New Roman" w:eastAsia="宋体"/>
                      <w:color w:val="000000" w:themeColor="text1"/>
                      <w:sz w:val="21"/>
                      <w:u w:val="none"/>
                      <w:lang w:val="en-US" w:eastAsia="zh-CN"/>
                      <w14:textFill>
                        <w14:solidFill>
                          <w14:schemeClr w14:val="tx1"/>
                        </w14:solidFill>
                      </w14:textFill>
                    </w:rPr>
                  </w:pPr>
                  <w:r>
                    <w:rPr>
                      <w:rFonts w:hint="eastAsia" w:ascii="Times New Roman" w:hAnsi="Times New Roman"/>
                      <w:color w:val="000000" w:themeColor="text1"/>
                      <w:sz w:val="21"/>
                      <w:u w:val="none"/>
                      <w:lang w:val="en-US" w:eastAsia="zh-CN"/>
                      <w14:textFill>
                        <w14:solidFill>
                          <w14:schemeClr w14:val="tx1"/>
                        </w14:solidFill>
                      </w14:textFill>
                    </w:rPr>
                    <w:t>530.00</w:t>
                  </w:r>
                </w:p>
              </w:tc>
              <w:tc>
                <w:tcPr>
                  <w:tcW w:w="1114" w:type="dxa"/>
                  <w:tcBorders>
                    <w:tl2br w:val="nil"/>
                    <w:tr2bl w:val="nil"/>
                  </w:tcBorders>
                  <w:vAlign w:val="center"/>
                </w:tcPr>
                <w:p w14:paraId="7950B985">
                  <w:pPr>
                    <w:pStyle w:val="63"/>
                    <w:spacing w:before="24" w:after="24"/>
                    <w:rPr>
                      <w:rFonts w:ascii="Times New Roman" w:hAnsi="Times New Roman"/>
                      <w:color w:val="000000" w:themeColor="text1"/>
                      <w:sz w:val="21"/>
                      <w:u w:val="none"/>
                      <w14:textFill>
                        <w14:solidFill>
                          <w14:schemeClr w14:val="tx1"/>
                        </w14:solidFill>
                      </w14:textFill>
                    </w:rPr>
                  </w:pPr>
                </w:p>
              </w:tc>
            </w:tr>
          </w:tbl>
          <w:p w14:paraId="49F4D704">
            <w:pPr>
              <w:adjustRightInd w:val="0"/>
              <w:snapToGrid w:val="0"/>
              <w:rPr>
                <w:bCs/>
                <w:color w:val="FF0000"/>
                <w:spacing w:val="10"/>
                <w:szCs w:val="21"/>
              </w:rPr>
            </w:pPr>
          </w:p>
        </w:tc>
      </w:tr>
    </w:tbl>
    <w:p w14:paraId="7A254E80">
      <w:pPr>
        <w:rPr>
          <w:color w:val="FF0000"/>
        </w:rPr>
      </w:pPr>
      <w:r>
        <w:rPr>
          <w:color w:val="FF0000"/>
        </w:rPr>
        <w:br w:type="page"/>
      </w:r>
    </w:p>
    <w:p w14:paraId="646E609B">
      <w:pPr>
        <w:pStyle w:val="67"/>
        <w:spacing w:line="260" w:lineRule="exact"/>
        <w:rPr>
          <w:rFonts w:ascii="Times New Roman" w:hAnsi="Times New Roman"/>
          <w:b/>
          <w:bCs/>
          <w:color w:val="FF0000"/>
          <w:szCs w:val="21"/>
        </w:rPr>
        <w:sectPr>
          <w:pgSz w:w="11907" w:h="16840"/>
          <w:pgMar w:top="1440" w:right="1797" w:bottom="1440" w:left="1797" w:header="851" w:footer="1077" w:gutter="0"/>
          <w:pgBorders>
            <w:top w:val="none" w:sz="0" w:space="0"/>
            <w:left w:val="none" w:sz="0" w:space="0"/>
            <w:bottom w:val="none" w:sz="0" w:space="0"/>
            <w:right w:val="none" w:sz="0" w:space="0"/>
          </w:pgBorders>
          <w:cols w:space="720" w:num="1"/>
          <w:docGrid w:linePitch="312" w:charSpace="0"/>
        </w:sectPr>
      </w:pPr>
    </w:p>
    <w:p w14:paraId="2D10C493">
      <w:pPr>
        <w:pStyle w:val="2"/>
        <w:rPr>
          <w:color w:val="000000" w:themeColor="text1"/>
          <w:u w:val="wave"/>
          <w14:textFill>
            <w14:solidFill>
              <w14:schemeClr w14:val="tx1"/>
            </w14:solidFill>
          </w14:textFill>
        </w:rPr>
      </w:pPr>
      <w:bookmarkStart w:id="279" w:name="_Toc17554"/>
      <w:r>
        <w:rPr>
          <w:color w:val="000000" w:themeColor="text1"/>
          <w:u w:val="wave"/>
          <w14:textFill>
            <w14:solidFill>
              <w14:schemeClr w14:val="tx1"/>
            </w14:solidFill>
          </w14:textFill>
        </w:rPr>
        <w:t>六、生态环境保护措施监督检查清单</w:t>
      </w:r>
      <w:bookmarkEnd w:id="279"/>
    </w:p>
    <w:tbl>
      <w:tblPr>
        <w:tblStyle w:val="26"/>
        <w:tblW w:w="852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41"/>
        <w:gridCol w:w="2080"/>
        <w:gridCol w:w="1944"/>
        <w:gridCol w:w="2060"/>
        <w:gridCol w:w="1997"/>
      </w:tblGrid>
      <w:tr w14:paraId="79C100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1" w:type="dxa"/>
            <w:vMerge w:val="restart"/>
            <w:tcBorders>
              <w:tl2br w:val="single" w:color="auto" w:sz="4" w:space="0"/>
            </w:tcBorders>
          </w:tcPr>
          <w:p w14:paraId="25362E9B">
            <w:pPr>
              <w:pStyle w:val="63"/>
              <w:spacing w:before="24" w:after="24"/>
              <w:jc w:val="right"/>
              <w:rPr>
                <w:rFonts w:ascii="Times New Roman" w:hAnsi="Times New Roman" w:eastAsia="黑体"/>
                <w:b/>
                <w:bCs/>
                <w:color w:val="000000" w:themeColor="text1"/>
                <w:sz w:val="21"/>
                <w:u w:val="wave"/>
                <w14:textFill>
                  <w14:solidFill>
                    <w14:schemeClr w14:val="tx1"/>
                  </w14:solidFill>
                </w14:textFill>
              </w:rPr>
            </w:pPr>
            <w:r>
              <w:rPr>
                <w:rFonts w:ascii="Times New Roman" w:hAnsi="Times New Roman" w:eastAsia="黑体"/>
                <w:b/>
                <w:bCs/>
                <w:color w:val="000000" w:themeColor="text1"/>
                <w:sz w:val="21"/>
                <w:u w:val="wave"/>
                <w14:textFill>
                  <w14:solidFill>
                    <w14:schemeClr w14:val="tx1"/>
                  </w14:solidFill>
                </w14:textFill>
              </w:rPr>
              <w:t>内容</w:t>
            </w:r>
          </w:p>
          <w:p w14:paraId="2FCC7604">
            <w:pPr>
              <w:pStyle w:val="63"/>
              <w:spacing w:before="24" w:after="24"/>
              <w:jc w:val="left"/>
              <w:rPr>
                <w:rFonts w:ascii="Times New Roman" w:hAnsi="Times New Roman" w:eastAsia="黑体"/>
                <w:b/>
                <w:bCs/>
                <w:color w:val="000000" w:themeColor="text1"/>
                <w:sz w:val="21"/>
                <w:u w:val="wave"/>
                <w14:textFill>
                  <w14:solidFill>
                    <w14:schemeClr w14:val="tx1"/>
                  </w14:solidFill>
                </w14:textFill>
              </w:rPr>
            </w:pPr>
            <w:r>
              <w:rPr>
                <w:rFonts w:ascii="Times New Roman" w:hAnsi="Times New Roman" w:eastAsia="黑体"/>
                <w:b/>
                <w:bCs/>
                <w:color w:val="000000" w:themeColor="text1"/>
                <w:sz w:val="21"/>
                <w:u w:val="wave"/>
                <w14:textFill>
                  <w14:solidFill>
                    <w14:schemeClr w14:val="tx1"/>
                  </w14:solidFill>
                </w14:textFill>
              </w:rPr>
              <w:t>要素</w:t>
            </w:r>
          </w:p>
        </w:tc>
        <w:tc>
          <w:tcPr>
            <w:tcW w:w="4024" w:type="dxa"/>
            <w:gridSpan w:val="2"/>
            <w:vAlign w:val="center"/>
          </w:tcPr>
          <w:p w14:paraId="29B5BA8D">
            <w:pPr>
              <w:pStyle w:val="63"/>
              <w:spacing w:before="24" w:after="24"/>
              <w:rPr>
                <w:rFonts w:ascii="Times New Roman" w:hAnsi="Times New Roman" w:eastAsia="黑体"/>
                <w:b/>
                <w:bCs/>
                <w:color w:val="000000" w:themeColor="text1"/>
                <w:sz w:val="21"/>
                <w:u w:val="wave"/>
                <w14:textFill>
                  <w14:solidFill>
                    <w14:schemeClr w14:val="tx1"/>
                  </w14:solidFill>
                </w14:textFill>
              </w:rPr>
            </w:pPr>
            <w:r>
              <w:rPr>
                <w:rFonts w:ascii="Times New Roman" w:hAnsi="Times New Roman" w:eastAsia="黑体"/>
                <w:b/>
                <w:bCs/>
                <w:color w:val="000000" w:themeColor="text1"/>
                <w:sz w:val="21"/>
                <w:u w:val="wave"/>
                <w14:textFill>
                  <w14:solidFill>
                    <w14:schemeClr w14:val="tx1"/>
                  </w14:solidFill>
                </w14:textFill>
              </w:rPr>
              <w:t>施工期</w:t>
            </w:r>
          </w:p>
        </w:tc>
        <w:tc>
          <w:tcPr>
            <w:tcW w:w="4057" w:type="dxa"/>
            <w:gridSpan w:val="2"/>
            <w:vAlign w:val="center"/>
          </w:tcPr>
          <w:p w14:paraId="63673E48">
            <w:pPr>
              <w:pStyle w:val="63"/>
              <w:spacing w:before="24" w:after="24"/>
              <w:rPr>
                <w:rFonts w:ascii="Times New Roman" w:hAnsi="Times New Roman" w:eastAsia="黑体"/>
                <w:b/>
                <w:bCs/>
                <w:color w:val="000000" w:themeColor="text1"/>
                <w:sz w:val="21"/>
                <w:u w:val="wave"/>
                <w14:textFill>
                  <w14:solidFill>
                    <w14:schemeClr w14:val="tx1"/>
                  </w14:solidFill>
                </w14:textFill>
              </w:rPr>
            </w:pPr>
            <w:r>
              <w:rPr>
                <w:rFonts w:ascii="Times New Roman" w:hAnsi="Times New Roman" w:eastAsia="黑体"/>
                <w:b/>
                <w:bCs/>
                <w:color w:val="000000" w:themeColor="text1"/>
                <w:sz w:val="21"/>
                <w:u w:val="wave"/>
                <w14:textFill>
                  <w14:solidFill>
                    <w14:schemeClr w14:val="tx1"/>
                  </w14:solidFill>
                </w14:textFill>
              </w:rPr>
              <w:t>运营期</w:t>
            </w:r>
          </w:p>
        </w:tc>
      </w:tr>
      <w:tr w14:paraId="4AEFCC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1" w:type="dxa"/>
            <w:vMerge w:val="continue"/>
          </w:tcPr>
          <w:p w14:paraId="272C5056">
            <w:pPr>
              <w:pStyle w:val="63"/>
              <w:spacing w:before="24" w:after="24"/>
              <w:rPr>
                <w:rFonts w:ascii="Times New Roman" w:hAnsi="Times New Roman" w:eastAsia="黑体"/>
                <w:b/>
                <w:bCs/>
                <w:color w:val="000000" w:themeColor="text1"/>
                <w:sz w:val="21"/>
                <w:u w:val="wave"/>
                <w14:textFill>
                  <w14:solidFill>
                    <w14:schemeClr w14:val="tx1"/>
                  </w14:solidFill>
                </w14:textFill>
              </w:rPr>
            </w:pPr>
          </w:p>
        </w:tc>
        <w:tc>
          <w:tcPr>
            <w:tcW w:w="2080" w:type="dxa"/>
            <w:vAlign w:val="center"/>
          </w:tcPr>
          <w:p w14:paraId="6645E845">
            <w:pPr>
              <w:pStyle w:val="63"/>
              <w:spacing w:before="24" w:after="24"/>
              <w:rPr>
                <w:rFonts w:ascii="Times New Roman" w:hAnsi="Times New Roman" w:eastAsia="黑体"/>
                <w:b/>
                <w:bCs/>
                <w:color w:val="000000" w:themeColor="text1"/>
                <w:sz w:val="21"/>
                <w:u w:val="wave"/>
                <w14:textFill>
                  <w14:solidFill>
                    <w14:schemeClr w14:val="tx1"/>
                  </w14:solidFill>
                </w14:textFill>
              </w:rPr>
            </w:pPr>
            <w:r>
              <w:rPr>
                <w:rFonts w:ascii="Times New Roman" w:hAnsi="Times New Roman" w:eastAsia="黑体"/>
                <w:b/>
                <w:bCs/>
                <w:color w:val="000000" w:themeColor="text1"/>
                <w:sz w:val="21"/>
                <w:u w:val="wave"/>
                <w14:textFill>
                  <w14:solidFill>
                    <w14:schemeClr w14:val="tx1"/>
                  </w14:solidFill>
                </w14:textFill>
              </w:rPr>
              <w:t>环境保护措施</w:t>
            </w:r>
          </w:p>
        </w:tc>
        <w:tc>
          <w:tcPr>
            <w:tcW w:w="1944" w:type="dxa"/>
            <w:vAlign w:val="center"/>
          </w:tcPr>
          <w:p w14:paraId="0D8C62B3">
            <w:pPr>
              <w:pStyle w:val="63"/>
              <w:spacing w:before="24" w:after="24"/>
              <w:rPr>
                <w:rFonts w:ascii="Times New Roman" w:hAnsi="Times New Roman" w:eastAsia="黑体"/>
                <w:b/>
                <w:bCs/>
                <w:color w:val="000000" w:themeColor="text1"/>
                <w:sz w:val="21"/>
                <w:u w:val="wave"/>
                <w14:textFill>
                  <w14:solidFill>
                    <w14:schemeClr w14:val="tx1"/>
                  </w14:solidFill>
                </w14:textFill>
              </w:rPr>
            </w:pPr>
            <w:r>
              <w:rPr>
                <w:rFonts w:ascii="Times New Roman" w:hAnsi="Times New Roman" w:eastAsia="黑体"/>
                <w:b/>
                <w:bCs/>
                <w:color w:val="000000" w:themeColor="text1"/>
                <w:sz w:val="21"/>
                <w:u w:val="wave"/>
                <w14:textFill>
                  <w14:solidFill>
                    <w14:schemeClr w14:val="tx1"/>
                  </w14:solidFill>
                </w14:textFill>
              </w:rPr>
              <w:t>验收要求</w:t>
            </w:r>
          </w:p>
        </w:tc>
        <w:tc>
          <w:tcPr>
            <w:tcW w:w="2060" w:type="dxa"/>
            <w:vAlign w:val="center"/>
          </w:tcPr>
          <w:p w14:paraId="383D928B">
            <w:pPr>
              <w:pStyle w:val="63"/>
              <w:spacing w:before="24" w:after="24"/>
              <w:rPr>
                <w:rFonts w:ascii="Times New Roman" w:hAnsi="Times New Roman" w:eastAsia="黑体"/>
                <w:b/>
                <w:bCs/>
                <w:color w:val="000000" w:themeColor="text1"/>
                <w:sz w:val="21"/>
                <w:u w:val="wave"/>
                <w14:textFill>
                  <w14:solidFill>
                    <w14:schemeClr w14:val="tx1"/>
                  </w14:solidFill>
                </w14:textFill>
              </w:rPr>
            </w:pPr>
            <w:r>
              <w:rPr>
                <w:rFonts w:ascii="Times New Roman" w:hAnsi="Times New Roman" w:eastAsia="黑体"/>
                <w:b/>
                <w:bCs/>
                <w:color w:val="000000" w:themeColor="text1"/>
                <w:sz w:val="21"/>
                <w:u w:val="wave"/>
                <w14:textFill>
                  <w14:solidFill>
                    <w14:schemeClr w14:val="tx1"/>
                  </w14:solidFill>
                </w14:textFill>
              </w:rPr>
              <w:t>环境保护措施</w:t>
            </w:r>
          </w:p>
        </w:tc>
        <w:tc>
          <w:tcPr>
            <w:tcW w:w="1997" w:type="dxa"/>
            <w:vAlign w:val="center"/>
          </w:tcPr>
          <w:p w14:paraId="7F9A1D41">
            <w:pPr>
              <w:pStyle w:val="63"/>
              <w:spacing w:before="24" w:after="24"/>
              <w:rPr>
                <w:rFonts w:ascii="Times New Roman" w:hAnsi="Times New Roman" w:eastAsia="黑体"/>
                <w:b/>
                <w:bCs/>
                <w:color w:val="000000" w:themeColor="text1"/>
                <w:sz w:val="21"/>
                <w:u w:val="wave"/>
                <w14:textFill>
                  <w14:solidFill>
                    <w14:schemeClr w14:val="tx1"/>
                  </w14:solidFill>
                </w14:textFill>
              </w:rPr>
            </w:pPr>
            <w:r>
              <w:rPr>
                <w:rFonts w:ascii="Times New Roman" w:hAnsi="Times New Roman" w:eastAsia="黑体"/>
                <w:b/>
                <w:bCs/>
                <w:color w:val="000000" w:themeColor="text1"/>
                <w:sz w:val="21"/>
                <w:u w:val="wave"/>
                <w14:textFill>
                  <w14:solidFill>
                    <w14:schemeClr w14:val="tx1"/>
                  </w14:solidFill>
                </w14:textFill>
              </w:rPr>
              <w:t>验收要求</w:t>
            </w:r>
          </w:p>
        </w:tc>
      </w:tr>
      <w:tr w14:paraId="66C9C9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1" w:type="dxa"/>
            <w:vAlign w:val="center"/>
          </w:tcPr>
          <w:p w14:paraId="4EFCC3F5">
            <w:pPr>
              <w:pStyle w:val="63"/>
              <w:spacing w:before="24" w:after="24"/>
              <w:rPr>
                <w:rFonts w:ascii="Times New Roman" w:hAnsi="Times New Roman"/>
                <w:color w:val="000000" w:themeColor="text1"/>
                <w:sz w:val="21"/>
                <w:u w:val="wave"/>
                <w14:textFill>
                  <w14:solidFill>
                    <w14:schemeClr w14:val="tx1"/>
                  </w14:solidFill>
                </w14:textFill>
              </w:rPr>
            </w:pPr>
            <w:r>
              <w:rPr>
                <w:rFonts w:ascii="Times New Roman" w:hAnsi="Times New Roman"/>
                <w:color w:val="000000" w:themeColor="text1"/>
                <w:sz w:val="21"/>
                <w:u w:val="wave"/>
                <w14:textFill>
                  <w14:solidFill>
                    <w14:schemeClr w14:val="tx1"/>
                  </w14:solidFill>
                </w14:textFill>
              </w:rPr>
              <w:t>陆生生态</w:t>
            </w:r>
          </w:p>
        </w:tc>
        <w:tc>
          <w:tcPr>
            <w:tcW w:w="2080" w:type="dxa"/>
            <w:vAlign w:val="center"/>
          </w:tcPr>
          <w:p w14:paraId="3F03D9EF">
            <w:pPr>
              <w:pStyle w:val="63"/>
              <w:spacing w:before="24" w:after="24"/>
              <w:rPr>
                <w:rFonts w:ascii="Times New Roman" w:hAnsi="Times New Roman"/>
                <w:color w:val="000000" w:themeColor="text1"/>
                <w:sz w:val="21"/>
                <w:u w:val="wave"/>
                <w14:textFill>
                  <w14:solidFill>
                    <w14:schemeClr w14:val="tx1"/>
                  </w14:solidFill>
                </w14:textFill>
              </w:rPr>
            </w:pPr>
            <w:r>
              <w:rPr>
                <w:rFonts w:ascii="Times New Roman" w:hAnsi="Times New Roman"/>
                <w:color w:val="000000" w:themeColor="text1"/>
                <w:sz w:val="21"/>
                <w:u w:val="wave"/>
                <w14:textFill>
                  <w14:solidFill>
                    <w14:schemeClr w14:val="tx1"/>
                  </w14:solidFill>
                </w14:textFill>
              </w:rPr>
              <w:t>按图施工，划定施工范围，严禁越界施工</w:t>
            </w:r>
            <w:r>
              <w:rPr>
                <w:rFonts w:hint="eastAsia" w:ascii="Times New Roman" w:hAnsi="Times New Roman"/>
                <w:color w:val="000000" w:themeColor="text1"/>
                <w:sz w:val="21"/>
                <w:u w:val="wave"/>
                <w14:textFill>
                  <w14:solidFill>
                    <w14:schemeClr w14:val="tx1"/>
                  </w14:solidFill>
                </w14:textFill>
              </w:rPr>
              <w:t>，</w:t>
            </w:r>
            <w:r>
              <w:rPr>
                <w:rFonts w:ascii="Times New Roman" w:hAnsi="Times New Roman"/>
                <w:color w:val="000000" w:themeColor="text1"/>
                <w:sz w:val="21"/>
                <w:u w:val="wave"/>
                <w14:textFill>
                  <w14:solidFill>
                    <w14:schemeClr w14:val="tx1"/>
                  </w14:solidFill>
                </w14:textFill>
              </w:rPr>
              <w:t>严格控制开挖范围及开挖量，</w:t>
            </w:r>
            <w:r>
              <w:rPr>
                <w:rFonts w:hint="eastAsia" w:ascii="Times New Roman" w:hAnsi="Times New Roman"/>
                <w:color w:val="000000" w:themeColor="text1"/>
                <w:sz w:val="21"/>
                <w:u w:val="wave"/>
                <w14:textFill>
                  <w14:solidFill>
                    <w14:schemeClr w14:val="tx1"/>
                  </w14:solidFill>
                </w14:textFill>
              </w:rPr>
              <w:t>先挡后起，</w:t>
            </w:r>
            <w:r>
              <w:rPr>
                <w:rFonts w:ascii="Times New Roman" w:hAnsi="Times New Roman"/>
                <w:color w:val="000000" w:themeColor="text1"/>
                <w:sz w:val="21"/>
                <w:u w:val="wave"/>
                <w14:textFill>
                  <w14:solidFill>
                    <w14:schemeClr w14:val="tx1"/>
                  </w14:solidFill>
                </w14:textFill>
              </w:rPr>
              <w:t>施工</w:t>
            </w:r>
            <w:r>
              <w:rPr>
                <w:rFonts w:hint="eastAsia" w:ascii="Times New Roman" w:hAnsi="Times New Roman"/>
                <w:color w:val="000000" w:themeColor="text1"/>
                <w:sz w:val="21"/>
                <w:u w:val="wave"/>
                <w14:textFill>
                  <w14:solidFill>
                    <w14:schemeClr w14:val="tx1"/>
                  </w14:solidFill>
                </w14:textFill>
              </w:rPr>
              <w:t>产生的弃渣堆于弃渣场</w:t>
            </w:r>
            <w:r>
              <w:rPr>
                <w:rFonts w:ascii="Times New Roman" w:hAnsi="Times New Roman"/>
                <w:color w:val="000000" w:themeColor="text1"/>
                <w:sz w:val="21"/>
                <w:u w:val="wave"/>
                <w14:textFill>
                  <w14:solidFill>
                    <w14:schemeClr w14:val="tx1"/>
                  </w14:solidFill>
                </w14:textFill>
              </w:rPr>
              <w:t>，不允许随意处置；施工结束后应及时恢复地表状态及土地使用功能。在施工过程中对施工区采取洒水除尘措施，车辆运输采用苫布遮盖，减小和避免扬尘对植物的影响；</w:t>
            </w:r>
          </w:p>
        </w:tc>
        <w:tc>
          <w:tcPr>
            <w:tcW w:w="1944" w:type="dxa"/>
            <w:vAlign w:val="center"/>
          </w:tcPr>
          <w:p w14:paraId="0C53DA10">
            <w:pPr>
              <w:pStyle w:val="63"/>
              <w:spacing w:before="24" w:after="24"/>
              <w:rPr>
                <w:rFonts w:ascii="Times New Roman" w:hAnsi="Times New Roman"/>
                <w:color w:val="000000" w:themeColor="text1"/>
                <w:sz w:val="21"/>
                <w:u w:val="wave"/>
                <w14:textFill>
                  <w14:solidFill>
                    <w14:schemeClr w14:val="tx1"/>
                  </w14:solidFill>
                </w14:textFill>
              </w:rPr>
            </w:pPr>
            <w:r>
              <w:rPr>
                <w:rFonts w:ascii="Times New Roman" w:hAnsi="Times New Roman"/>
                <w:color w:val="000000" w:themeColor="text1"/>
                <w:sz w:val="21"/>
                <w:u w:val="wave"/>
                <w14:textFill>
                  <w14:solidFill>
                    <w14:schemeClr w14:val="tx1"/>
                  </w14:solidFill>
                </w14:textFill>
              </w:rPr>
              <w:t>调查植被和野生鸟类植物保护措施落实情况。</w:t>
            </w:r>
          </w:p>
        </w:tc>
        <w:tc>
          <w:tcPr>
            <w:tcW w:w="2060" w:type="dxa"/>
            <w:vAlign w:val="center"/>
          </w:tcPr>
          <w:p w14:paraId="209BED6C">
            <w:pPr>
              <w:pStyle w:val="63"/>
              <w:spacing w:before="24" w:after="24"/>
              <w:rPr>
                <w:rFonts w:ascii="Times New Roman" w:hAnsi="Times New Roman"/>
                <w:color w:val="000000" w:themeColor="text1"/>
                <w:sz w:val="21"/>
                <w:u w:val="wave"/>
                <w14:textFill>
                  <w14:solidFill>
                    <w14:schemeClr w14:val="tx1"/>
                  </w14:solidFill>
                </w14:textFill>
              </w:rPr>
            </w:pPr>
            <w:r>
              <w:rPr>
                <w:rFonts w:ascii="Times New Roman" w:hAnsi="Times New Roman"/>
                <w:color w:val="000000" w:themeColor="text1"/>
                <w:sz w:val="21"/>
                <w:u w:val="wave"/>
                <w14:textFill>
                  <w14:solidFill>
                    <w14:schemeClr w14:val="tx1"/>
                  </w14:solidFill>
                </w14:textFill>
              </w:rPr>
              <w:t>升压站升压站、弃渣场、道路</w:t>
            </w:r>
            <w:r>
              <w:rPr>
                <w:rFonts w:hint="eastAsia" w:ascii="Times New Roman" w:hAnsi="Times New Roman"/>
                <w:color w:val="000000" w:themeColor="text1"/>
                <w:sz w:val="21"/>
                <w:u w:val="wave"/>
                <w14:textFill>
                  <w14:solidFill>
                    <w14:schemeClr w14:val="tx1"/>
                  </w14:solidFill>
                </w14:textFill>
              </w:rPr>
              <w:t>、风机平台</w:t>
            </w:r>
            <w:r>
              <w:rPr>
                <w:rFonts w:ascii="Times New Roman" w:hAnsi="Times New Roman"/>
                <w:color w:val="000000" w:themeColor="text1"/>
                <w:sz w:val="21"/>
                <w:u w:val="wave"/>
                <w14:textFill>
                  <w14:solidFill>
                    <w14:schemeClr w14:val="tx1"/>
                  </w14:solidFill>
                </w14:textFill>
              </w:rPr>
              <w:t>复绿情况</w:t>
            </w:r>
            <w:r>
              <w:rPr>
                <w:rFonts w:hint="eastAsia" w:ascii="Times New Roman" w:hAnsi="Times New Roman"/>
                <w:color w:val="000000" w:themeColor="text1"/>
                <w:sz w:val="21"/>
                <w:u w:val="wave"/>
                <w:lang w:eastAsia="zh-CN"/>
                <w14:textFill>
                  <w14:solidFill>
                    <w14:schemeClr w14:val="tx1"/>
                  </w14:solidFill>
                </w14:textFill>
              </w:rPr>
              <w:t>，防止外来入侵种的扩散</w:t>
            </w:r>
            <w:r>
              <w:rPr>
                <w:rFonts w:ascii="Times New Roman" w:hAnsi="Times New Roman"/>
                <w:color w:val="000000" w:themeColor="text1"/>
                <w:sz w:val="21"/>
                <w:u w:val="wave"/>
                <w14:textFill>
                  <w14:solidFill>
                    <w14:schemeClr w14:val="tx1"/>
                  </w14:solidFill>
                </w14:textFill>
              </w:rPr>
              <w:t>；风机叶片艳化。</w:t>
            </w:r>
          </w:p>
        </w:tc>
        <w:tc>
          <w:tcPr>
            <w:tcW w:w="1997" w:type="dxa"/>
            <w:vAlign w:val="center"/>
          </w:tcPr>
          <w:p w14:paraId="32B4E370">
            <w:pPr>
              <w:pStyle w:val="63"/>
              <w:spacing w:before="24" w:after="24"/>
              <w:rPr>
                <w:rFonts w:ascii="Times New Roman" w:hAnsi="Times New Roman"/>
                <w:color w:val="000000" w:themeColor="text1"/>
                <w:sz w:val="21"/>
                <w:u w:val="wave"/>
                <w14:textFill>
                  <w14:solidFill>
                    <w14:schemeClr w14:val="tx1"/>
                  </w14:solidFill>
                </w14:textFill>
              </w:rPr>
            </w:pPr>
            <w:r>
              <w:rPr>
                <w:rFonts w:ascii="Times New Roman" w:hAnsi="Times New Roman"/>
                <w:color w:val="000000" w:themeColor="text1"/>
                <w:sz w:val="21"/>
                <w:u w:val="wave"/>
                <w14:textFill>
                  <w14:solidFill>
                    <w14:schemeClr w14:val="tx1"/>
                  </w14:solidFill>
                </w14:textFill>
              </w:rPr>
              <w:t>调查升压站、弃渣场、道路</w:t>
            </w:r>
            <w:r>
              <w:rPr>
                <w:rFonts w:hint="eastAsia" w:ascii="Times New Roman" w:hAnsi="Times New Roman"/>
                <w:color w:val="000000" w:themeColor="text1"/>
                <w:sz w:val="21"/>
                <w:u w:val="wave"/>
                <w14:textFill>
                  <w14:solidFill>
                    <w14:schemeClr w14:val="tx1"/>
                  </w14:solidFill>
                </w14:textFill>
              </w:rPr>
              <w:t>、风机平台</w:t>
            </w:r>
            <w:r>
              <w:rPr>
                <w:rFonts w:ascii="Times New Roman" w:hAnsi="Times New Roman"/>
                <w:color w:val="000000" w:themeColor="text1"/>
                <w:sz w:val="21"/>
                <w:u w:val="wave"/>
                <w14:textFill>
                  <w14:solidFill>
                    <w14:schemeClr w14:val="tx1"/>
                  </w14:solidFill>
                </w14:textFill>
              </w:rPr>
              <w:t>等周围绿化情况；风机叶片是否艳化</w:t>
            </w:r>
          </w:p>
        </w:tc>
      </w:tr>
      <w:tr w14:paraId="3484B2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1" w:type="dxa"/>
            <w:vAlign w:val="center"/>
          </w:tcPr>
          <w:p w14:paraId="65395B2D">
            <w:pPr>
              <w:pStyle w:val="63"/>
              <w:spacing w:before="24" w:after="24"/>
              <w:rPr>
                <w:rFonts w:ascii="Times New Roman" w:hAnsi="Times New Roman"/>
                <w:color w:val="000000" w:themeColor="text1"/>
                <w:sz w:val="21"/>
                <w:u w:val="wave"/>
                <w14:textFill>
                  <w14:solidFill>
                    <w14:schemeClr w14:val="tx1"/>
                  </w14:solidFill>
                </w14:textFill>
              </w:rPr>
            </w:pPr>
            <w:r>
              <w:rPr>
                <w:rFonts w:ascii="Times New Roman" w:hAnsi="Times New Roman"/>
                <w:color w:val="000000" w:themeColor="text1"/>
                <w:sz w:val="21"/>
                <w:u w:val="wave"/>
                <w14:textFill>
                  <w14:solidFill>
                    <w14:schemeClr w14:val="tx1"/>
                  </w14:solidFill>
                </w14:textFill>
              </w:rPr>
              <w:t>水生生态</w:t>
            </w:r>
          </w:p>
        </w:tc>
        <w:tc>
          <w:tcPr>
            <w:tcW w:w="2080" w:type="dxa"/>
            <w:vAlign w:val="center"/>
          </w:tcPr>
          <w:p w14:paraId="12489DEA">
            <w:pPr>
              <w:pStyle w:val="63"/>
              <w:spacing w:before="24" w:after="24"/>
              <w:rPr>
                <w:rFonts w:ascii="Times New Roman" w:hAnsi="Times New Roman"/>
                <w:color w:val="000000" w:themeColor="text1"/>
                <w:sz w:val="21"/>
                <w:u w:val="wave"/>
                <w14:textFill>
                  <w14:solidFill>
                    <w14:schemeClr w14:val="tx1"/>
                  </w14:solidFill>
                </w14:textFill>
              </w:rPr>
            </w:pPr>
            <w:r>
              <w:rPr>
                <w:rFonts w:ascii="Times New Roman" w:hAnsi="Times New Roman"/>
                <w:color w:val="000000" w:themeColor="text1"/>
                <w:sz w:val="21"/>
                <w:u w:val="wave"/>
                <w14:textFill>
                  <w14:solidFill>
                    <w14:schemeClr w14:val="tx1"/>
                  </w14:solidFill>
                </w14:textFill>
              </w:rPr>
              <w:t>/</w:t>
            </w:r>
          </w:p>
        </w:tc>
        <w:tc>
          <w:tcPr>
            <w:tcW w:w="1944" w:type="dxa"/>
            <w:vAlign w:val="center"/>
          </w:tcPr>
          <w:p w14:paraId="78D69EEB">
            <w:pPr>
              <w:pStyle w:val="63"/>
              <w:spacing w:before="24" w:after="24"/>
              <w:rPr>
                <w:rFonts w:ascii="Times New Roman" w:hAnsi="Times New Roman"/>
                <w:color w:val="000000" w:themeColor="text1"/>
                <w:sz w:val="21"/>
                <w:u w:val="wave"/>
                <w14:textFill>
                  <w14:solidFill>
                    <w14:schemeClr w14:val="tx1"/>
                  </w14:solidFill>
                </w14:textFill>
              </w:rPr>
            </w:pPr>
            <w:r>
              <w:rPr>
                <w:rFonts w:ascii="Times New Roman" w:hAnsi="Times New Roman"/>
                <w:color w:val="000000" w:themeColor="text1"/>
                <w:sz w:val="21"/>
                <w:u w:val="wave"/>
                <w14:textFill>
                  <w14:solidFill>
                    <w14:schemeClr w14:val="tx1"/>
                  </w14:solidFill>
                </w14:textFill>
              </w:rPr>
              <w:t>/</w:t>
            </w:r>
          </w:p>
        </w:tc>
        <w:tc>
          <w:tcPr>
            <w:tcW w:w="2060" w:type="dxa"/>
            <w:vAlign w:val="center"/>
          </w:tcPr>
          <w:p w14:paraId="791BFFBD">
            <w:pPr>
              <w:pStyle w:val="63"/>
              <w:spacing w:before="24" w:after="24"/>
              <w:rPr>
                <w:rFonts w:ascii="Times New Roman" w:hAnsi="Times New Roman"/>
                <w:color w:val="000000" w:themeColor="text1"/>
                <w:sz w:val="21"/>
                <w:u w:val="wave"/>
                <w14:textFill>
                  <w14:solidFill>
                    <w14:schemeClr w14:val="tx1"/>
                  </w14:solidFill>
                </w14:textFill>
              </w:rPr>
            </w:pPr>
            <w:r>
              <w:rPr>
                <w:rFonts w:ascii="Times New Roman" w:hAnsi="Times New Roman"/>
                <w:color w:val="000000" w:themeColor="text1"/>
                <w:sz w:val="21"/>
                <w:u w:val="wave"/>
                <w14:textFill>
                  <w14:solidFill>
                    <w14:schemeClr w14:val="tx1"/>
                  </w14:solidFill>
                </w14:textFill>
              </w:rPr>
              <w:t>/</w:t>
            </w:r>
          </w:p>
        </w:tc>
        <w:tc>
          <w:tcPr>
            <w:tcW w:w="1997" w:type="dxa"/>
            <w:vAlign w:val="center"/>
          </w:tcPr>
          <w:p w14:paraId="318D62E5">
            <w:pPr>
              <w:pStyle w:val="63"/>
              <w:spacing w:before="24" w:after="24"/>
              <w:rPr>
                <w:rFonts w:ascii="Times New Roman" w:hAnsi="Times New Roman"/>
                <w:color w:val="000000" w:themeColor="text1"/>
                <w:sz w:val="21"/>
                <w:u w:val="wave"/>
                <w14:textFill>
                  <w14:solidFill>
                    <w14:schemeClr w14:val="tx1"/>
                  </w14:solidFill>
                </w14:textFill>
              </w:rPr>
            </w:pPr>
            <w:r>
              <w:rPr>
                <w:rFonts w:ascii="Times New Roman" w:hAnsi="Times New Roman"/>
                <w:color w:val="000000" w:themeColor="text1"/>
                <w:sz w:val="21"/>
                <w:u w:val="wave"/>
                <w14:textFill>
                  <w14:solidFill>
                    <w14:schemeClr w14:val="tx1"/>
                  </w14:solidFill>
                </w14:textFill>
              </w:rPr>
              <w:t>/</w:t>
            </w:r>
          </w:p>
        </w:tc>
      </w:tr>
      <w:tr w14:paraId="3F8E0F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1" w:type="dxa"/>
            <w:vAlign w:val="center"/>
          </w:tcPr>
          <w:p w14:paraId="3B753871">
            <w:pPr>
              <w:pStyle w:val="63"/>
              <w:spacing w:before="24" w:after="24"/>
              <w:rPr>
                <w:rFonts w:ascii="Times New Roman" w:hAnsi="Times New Roman"/>
                <w:color w:val="000000" w:themeColor="text1"/>
                <w:sz w:val="21"/>
                <w:u w:val="wave"/>
                <w14:textFill>
                  <w14:solidFill>
                    <w14:schemeClr w14:val="tx1"/>
                  </w14:solidFill>
                </w14:textFill>
              </w:rPr>
            </w:pPr>
            <w:r>
              <w:rPr>
                <w:rFonts w:ascii="Times New Roman" w:hAnsi="Times New Roman"/>
                <w:color w:val="000000" w:themeColor="text1"/>
                <w:sz w:val="21"/>
                <w:u w:val="wave"/>
                <w14:textFill>
                  <w14:solidFill>
                    <w14:schemeClr w14:val="tx1"/>
                  </w14:solidFill>
                </w14:textFill>
              </w:rPr>
              <w:t>地表水环境</w:t>
            </w:r>
          </w:p>
        </w:tc>
        <w:tc>
          <w:tcPr>
            <w:tcW w:w="2080" w:type="dxa"/>
            <w:vAlign w:val="center"/>
          </w:tcPr>
          <w:p w14:paraId="72EA76A1">
            <w:pPr>
              <w:pStyle w:val="63"/>
              <w:spacing w:before="24" w:after="24"/>
              <w:rPr>
                <w:rFonts w:hint="eastAsia" w:ascii="Times New Roman" w:hAnsi="Times New Roman" w:eastAsia="宋体"/>
                <w:color w:val="000000" w:themeColor="text1"/>
                <w:sz w:val="21"/>
                <w:u w:val="wave"/>
                <w:lang w:eastAsia="zh-CN"/>
                <w14:textFill>
                  <w14:solidFill>
                    <w14:schemeClr w14:val="tx1"/>
                  </w14:solidFill>
                </w14:textFill>
              </w:rPr>
            </w:pPr>
            <w:r>
              <w:rPr>
                <w:rFonts w:ascii="Times New Roman" w:hAnsi="Times New Roman"/>
                <w:color w:val="000000" w:themeColor="text1"/>
                <w:sz w:val="21"/>
                <w:u w:val="wave"/>
                <w14:textFill>
                  <w14:solidFill>
                    <w14:schemeClr w14:val="tx1"/>
                  </w14:solidFill>
                </w14:textFill>
              </w:rPr>
              <w:t>生产废水采取沉淀加隔油池处理</w:t>
            </w:r>
            <w:r>
              <w:rPr>
                <w:rFonts w:hint="eastAsia" w:ascii="Times New Roman" w:hAnsi="Times New Roman"/>
                <w:color w:val="000000" w:themeColor="text1"/>
                <w:sz w:val="21"/>
                <w:u w:val="wave"/>
                <w:lang w:eastAsia="zh-CN"/>
                <w14:textFill>
                  <w14:solidFill>
                    <w14:schemeClr w14:val="tx1"/>
                  </w14:solidFill>
                </w14:textFill>
              </w:rPr>
              <w:t>，项目施工期不设生活区，租用当地农户住房。</w:t>
            </w:r>
          </w:p>
        </w:tc>
        <w:tc>
          <w:tcPr>
            <w:tcW w:w="1944" w:type="dxa"/>
            <w:vAlign w:val="center"/>
          </w:tcPr>
          <w:p w14:paraId="3F8A8A4C">
            <w:pPr>
              <w:pStyle w:val="63"/>
              <w:spacing w:before="24" w:after="24"/>
              <w:rPr>
                <w:rFonts w:ascii="Times New Roman" w:hAnsi="Times New Roman"/>
                <w:color w:val="000000" w:themeColor="text1"/>
                <w:sz w:val="21"/>
                <w:u w:val="wave"/>
                <w14:textFill>
                  <w14:solidFill>
                    <w14:schemeClr w14:val="tx1"/>
                  </w14:solidFill>
                </w14:textFill>
              </w:rPr>
            </w:pPr>
            <w:r>
              <w:rPr>
                <w:rFonts w:ascii="Times New Roman" w:hAnsi="Times New Roman"/>
                <w:color w:val="000000" w:themeColor="text1"/>
                <w:sz w:val="21"/>
                <w:u w:val="wave"/>
                <w14:textFill>
                  <w14:solidFill>
                    <w14:schemeClr w14:val="tx1"/>
                  </w14:solidFill>
                </w14:textFill>
              </w:rPr>
              <w:t>检查施工监理报告，确认施工期生产废水隔油池、沉砂池建设和使用情况</w:t>
            </w:r>
          </w:p>
        </w:tc>
        <w:tc>
          <w:tcPr>
            <w:tcW w:w="2060" w:type="dxa"/>
            <w:vAlign w:val="center"/>
          </w:tcPr>
          <w:p w14:paraId="1981DA0A">
            <w:pPr>
              <w:pStyle w:val="63"/>
              <w:spacing w:before="24" w:after="24"/>
              <w:rPr>
                <w:rFonts w:hint="eastAsia" w:ascii="Times New Roman" w:hAnsi="Times New Roman" w:eastAsia="宋体"/>
                <w:color w:val="000000" w:themeColor="text1"/>
                <w:sz w:val="21"/>
                <w:u w:val="wave"/>
                <w:lang w:eastAsia="zh-CN"/>
                <w14:textFill>
                  <w14:solidFill>
                    <w14:schemeClr w14:val="tx1"/>
                  </w14:solidFill>
                </w14:textFill>
              </w:rPr>
            </w:pPr>
            <w:r>
              <w:rPr>
                <w:rFonts w:hint="eastAsia" w:ascii="Times New Roman" w:hAnsi="Times New Roman"/>
                <w:color w:val="000000" w:themeColor="text1"/>
                <w:sz w:val="21"/>
                <w:u w:val="wave"/>
                <w:lang w:val="en-US" w:eastAsia="zh-CN"/>
                <w14:textFill>
                  <w14:solidFill>
                    <w14:schemeClr w14:val="tx1"/>
                  </w14:solidFill>
                </w14:textFill>
              </w:rPr>
              <w:t>/</w:t>
            </w:r>
          </w:p>
        </w:tc>
        <w:tc>
          <w:tcPr>
            <w:tcW w:w="1997" w:type="dxa"/>
            <w:vAlign w:val="center"/>
          </w:tcPr>
          <w:p w14:paraId="4CDD3E16">
            <w:pPr>
              <w:pStyle w:val="63"/>
              <w:spacing w:before="24" w:after="24"/>
              <w:rPr>
                <w:rFonts w:ascii="Times New Roman" w:hAnsi="Times New Roman"/>
                <w:color w:val="000000" w:themeColor="text1"/>
                <w:sz w:val="21"/>
                <w:u w:val="wave"/>
                <w14:textFill>
                  <w14:solidFill>
                    <w14:schemeClr w14:val="tx1"/>
                  </w14:solidFill>
                </w14:textFill>
              </w:rPr>
            </w:pPr>
            <w:r>
              <w:rPr>
                <w:rFonts w:ascii="Times New Roman" w:hAnsi="Times New Roman"/>
                <w:color w:val="000000" w:themeColor="text1"/>
                <w:sz w:val="21"/>
                <w:u w:val="wave"/>
                <w14:textFill>
                  <w14:solidFill>
                    <w14:schemeClr w14:val="tx1"/>
                  </w14:solidFill>
                </w14:textFill>
              </w:rPr>
              <w:t>生产区处理设备建设和运行情况，出水水质达到《污水综合排放标准》(GB8978-1996)一级标准</w:t>
            </w:r>
            <w:r>
              <w:rPr>
                <w:rFonts w:hint="eastAsia" w:ascii="Times New Roman" w:hAnsi="Times New Roman"/>
                <w:color w:val="000000" w:themeColor="text1"/>
                <w:sz w:val="21"/>
                <w:u w:val="wave"/>
                <w:lang w:val="en-US" w:eastAsia="zh-CN"/>
                <w14:textFill>
                  <w14:solidFill>
                    <w14:schemeClr w14:val="tx1"/>
                  </w14:solidFill>
                </w14:textFill>
              </w:rPr>
              <w:t>后回用</w:t>
            </w:r>
            <w:r>
              <w:rPr>
                <w:rFonts w:ascii="Times New Roman" w:hAnsi="Times New Roman"/>
                <w:color w:val="000000" w:themeColor="text1"/>
                <w:sz w:val="21"/>
                <w:u w:val="wave"/>
                <w14:textFill>
                  <w14:solidFill>
                    <w14:schemeClr w14:val="tx1"/>
                  </w14:solidFill>
                </w14:textFill>
              </w:rPr>
              <w:t>。</w:t>
            </w:r>
          </w:p>
        </w:tc>
      </w:tr>
      <w:tr w14:paraId="4D443B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1" w:type="dxa"/>
            <w:vAlign w:val="center"/>
          </w:tcPr>
          <w:p w14:paraId="67A976DE">
            <w:pPr>
              <w:pStyle w:val="63"/>
              <w:spacing w:before="24" w:after="24"/>
              <w:rPr>
                <w:rFonts w:ascii="Times New Roman" w:hAnsi="Times New Roman"/>
                <w:color w:val="000000" w:themeColor="text1"/>
                <w:sz w:val="21"/>
                <w:u w:val="wave"/>
                <w14:textFill>
                  <w14:solidFill>
                    <w14:schemeClr w14:val="tx1"/>
                  </w14:solidFill>
                </w14:textFill>
              </w:rPr>
            </w:pPr>
            <w:r>
              <w:rPr>
                <w:rFonts w:ascii="Times New Roman" w:hAnsi="Times New Roman"/>
                <w:color w:val="000000" w:themeColor="text1"/>
                <w:sz w:val="21"/>
                <w:u w:val="wave"/>
                <w14:textFill>
                  <w14:solidFill>
                    <w14:schemeClr w14:val="tx1"/>
                  </w14:solidFill>
                </w14:textFill>
              </w:rPr>
              <w:t>地下水及土壤环境</w:t>
            </w:r>
          </w:p>
        </w:tc>
        <w:tc>
          <w:tcPr>
            <w:tcW w:w="2080" w:type="dxa"/>
            <w:vAlign w:val="center"/>
          </w:tcPr>
          <w:p w14:paraId="2AC41898">
            <w:pPr>
              <w:pStyle w:val="63"/>
              <w:spacing w:before="24" w:after="24"/>
              <w:rPr>
                <w:rFonts w:ascii="Times New Roman" w:hAnsi="Times New Roman"/>
                <w:color w:val="000000" w:themeColor="text1"/>
                <w:sz w:val="21"/>
                <w:u w:val="wave"/>
                <w14:textFill>
                  <w14:solidFill>
                    <w14:schemeClr w14:val="tx1"/>
                  </w14:solidFill>
                </w14:textFill>
              </w:rPr>
            </w:pPr>
            <w:r>
              <w:rPr>
                <w:rFonts w:ascii="Times New Roman" w:hAnsi="Times New Roman"/>
                <w:color w:val="000000" w:themeColor="text1"/>
                <w:sz w:val="21"/>
                <w:u w:val="wave"/>
                <w14:textFill>
                  <w14:solidFill>
                    <w14:schemeClr w14:val="tx1"/>
                  </w14:solidFill>
                </w14:textFill>
              </w:rPr>
              <w:t>/</w:t>
            </w:r>
          </w:p>
        </w:tc>
        <w:tc>
          <w:tcPr>
            <w:tcW w:w="1944" w:type="dxa"/>
            <w:vAlign w:val="center"/>
          </w:tcPr>
          <w:p w14:paraId="739FC49F">
            <w:pPr>
              <w:pStyle w:val="63"/>
              <w:spacing w:before="24" w:after="24"/>
              <w:rPr>
                <w:rFonts w:ascii="Times New Roman" w:hAnsi="Times New Roman"/>
                <w:color w:val="000000" w:themeColor="text1"/>
                <w:sz w:val="21"/>
                <w:u w:val="wave"/>
                <w14:textFill>
                  <w14:solidFill>
                    <w14:schemeClr w14:val="tx1"/>
                  </w14:solidFill>
                </w14:textFill>
              </w:rPr>
            </w:pPr>
            <w:r>
              <w:rPr>
                <w:rFonts w:ascii="Times New Roman" w:hAnsi="Times New Roman"/>
                <w:color w:val="000000" w:themeColor="text1"/>
                <w:sz w:val="21"/>
                <w:u w:val="wave"/>
                <w14:textFill>
                  <w14:solidFill>
                    <w14:schemeClr w14:val="tx1"/>
                  </w14:solidFill>
                </w14:textFill>
              </w:rPr>
              <w:t>/</w:t>
            </w:r>
          </w:p>
        </w:tc>
        <w:tc>
          <w:tcPr>
            <w:tcW w:w="2060" w:type="dxa"/>
            <w:vAlign w:val="center"/>
          </w:tcPr>
          <w:p w14:paraId="06E8761F">
            <w:pPr>
              <w:pStyle w:val="63"/>
              <w:spacing w:before="24" w:after="24"/>
              <w:rPr>
                <w:rFonts w:ascii="Times New Roman" w:hAnsi="Times New Roman"/>
                <w:color w:val="000000" w:themeColor="text1"/>
                <w:sz w:val="21"/>
                <w:u w:val="wave"/>
                <w14:textFill>
                  <w14:solidFill>
                    <w14:schemeClr w14:val="tx1"/>
                  </w14:solidFill>
                </w14:textFill>
              </w:rPr>
            </w:pPr>
            <w:r>
              <w:rPr>
                <w:rFonts w:ascii="Times New Roman" w:hAnsi="Times New Roman"/>
                <w:color w:val="000000" w:themeColor="text1"/>
                <w:sz w:val="21"/>
                <w:u w:val="wave"/>
                <w14:textFill>
                  <w14:solidFill>
                    <w14:schemeClr w14:val="tx1"/>
                  </w14:solidFill>
                </w14:textFill>
              </w:rPr>
              <w:t>/</w:t>
            </w:r>
          </w:p>
        </w:tc>
        <w:tc>
          <w:tcPr>
            <w:tcW w:w="1997" w:type="dxa"/>
            <w:vAlign w:val="center"/>
          </w:tcPr>
          <w:p w14:paraId="6E59E280">
            <w:pPr>
              <w:pStyle w:val="63"/>
              <w:spacing w:before="24" w:after="24"/>
              <w:rPr>
                <w:rFonts w:ascii="Times New Roman" w:hAnsi="Times New Roman"/>
                <w:color w:val="000000" w:themeColor="text1"/>
                <w:sz w:val="21"/>
                <w:u w:val="wave"/>
                <w14:textFill>
                  <w14:solidFill>
                    <w14:schemeClr w14:val="tx1"/>
                  </w14:solidFill>
                </w14:textFill>
              </w:rPr>
            </w:pPr>
            <w:r>
              <w:rPr>
                <w:rFonts w:ascii="Times New Roman" w:hAnsi="Times New Roman"/>
                <w:color w:val="000000" w:themeColor="text1"/>
                <w:sz w:val="21"/>
                <w:u w:val="wave"/>
                <w14:textFill>
                  <w14:solidFill>
                    <w14:schemeClr w14:val="tx1"/>
                  </w14:solidFill>
                </w14:textFill>
              </w:rPr>
              <w:t>/</w:t>
            </w:r>
          </w:p>
        </w:tc>
      </w:tr>
      <w:tr w14:paraId="461031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1" w:type="dxa"/>
            <w:vAlign w:val="center"/>
          </w:tcPr>
          <w:p w14:paraId="4AB9F573">
            <w:pPr>
              <w:pStyle w:val="63"/>
              <w:spacing w:before="24" w:after="24"/>
              <w:rPr>
                <w:rFonts w:ascii="Times New Roman" w:hAnsi="Times New Roman"/>
                <w:color w:val="000000" w:themeColor="text1"/>
                <w:sz w:val="21"/>
                <w:u w:val="wave"/>
                <w14:textFill>
                  <w14:solidFill>
                    <w14:schemeClr w14:val="tx1"/>
                  </w14:solidFill>
                </w14:textFill>
              </w:rPr>
            </w:pPr>
            <w:r>
              <w:rPr>
                <w:rFonts w:ascii="Times New Roman" w:hAnsi="Times New Roman"/>
                <w:color w:val="000000" w:themeColor="text1"/>
                <w:sz w:val="21"/>
                <w:u w:val="wave"/>
                <w14:textFill>
                  <w14:solidFill>
                    <w14:schemeClr w14:val="tx1"/>
                  </w14:solidFill>
                </w14:textFill>
              </w:rPr>
              <w:t>声环境</w:t>
            </w:r>
          </w:p>
        </w:tc>
        <w:tc>
          <w:tcPr>
            <w:tcW w:w="2080" w:type="dxa"/>
            <w:vAlign w:val="center"/>
          </w:tcPr>
          <w:p w14:paraId="1E3277BB">
            <w:pPr>
              <w:pStyle w:val="63"/>
              <w:spacing w:before="24" w:after="24"/>
              <w:rPr>
                <w:rFonts w:ascii="Times New Roman" w:hAnsi="Times New Roman"/>
                <w:color w:val="000000" w:themeColor="text1"/>
                <w:sz w:val="21"/>
                <w:u w:val="wave"/>
                <w14:textFill>
                  <w14:solidFill>
                    <w14:schemeClr w14:val="tx1"/>
                  </w14:solidFill>
                </w14:textFill>
              </w:rPr>
            </w:pPr>
            <w:r>
              <w:rPr>
                <w:rFonts w:ascii="Times New Roman" w:hAnsi="Times New Roman"/>
                <w:color w:val="000000" w:themeColor="text1"/>
                <w:sz w:val="21"/>
                <w:u w:val="wave"/>
                <w14:textFill>
                  <w14:solidFill>
                    <w14:schemeClr w14:val="tx1"/>
                  </w14:solidFill>
                </w14:textFill>
              </w:rPr>
              <w:t>施工营地禁止夜间施工，如因进度原因必须在夜间施工的，需在距离较近的居民点进行公示，并在环保部门进行备案；禁止夜间爆破施工；采取低噪声工艺和设备；禁止夜间运行高噪声设备；在靠近居民路段设置减速警示牌和禁鸣标志，进场道路施工、材料设备运输必须安排在昼间进行；对进场道路、场内道路沿线居民声环境进行跟踪监测；居民点附近</w:t>
            </w:r>
            <w:r>
              <w:rPr>
                <w:rFonts w:hint="eastAsia" w:ascii="Times New Roman" w:hAnsi="Times New Roman"/>
                <w:color w:val="000000" w:themeColor="text1"/>
                <w:sz w:val="21"/>
                <w:u w:val="wave"/>
                <w14:textFill>
                  <w14:solidFill>
                    <w14:schemeClr w14:val="tx1"/>
                  </w14:solidFill>
                </w14:textFill>
              </w:rPr>
              <w:t>新建</w:t>
            </w:r>
            <w:r>
              <w:rPr>
                <w:rFonts w:ascii="Times New Roman" w:hAnsi="Times New Roman"/>
                <w:color w:val="000000" w:themeColor="text1"/>
                <w:sz w:val="21"/>
                <w:u w:val="wave"/>
                <w14:textFill>
                  <w14:solidFill>
                    <w14:schemeClr w14:val="tx1"/>
                  </w14:solidFill>
                </w14:textFill>
              </w:rPr>
              <w:t>道路安排在昼间，并提前告知附近居民；预留环保资金</w:t>
            </w:r>
          </w:p>
        </w:tc>
        <w:tc>
          <w:tcPr>
            <w:tcW w:w="1944" w:type="dxa"/>
            <w:vAlign w:val="center"/>
          </w:tcPr>
          <w:p w14:paraId="03250EAC">
            <w:pPr>
              <w:pStyle w:val="63"/>
              <w:spacing w:before="24" w:after="24"/>
              <w:rPr>
                <w:rFonts w:ascii="Times New Roman" w:hAnsi="Times New Roman"/>
                <w:color w:val="000000" w:themeColor="text1"/>
                <w:sz w:val="21"/>
                <w:u w:val="wave"/>
                <w14:textFill>
                  <w14:solidFill>
                    <w14:schemeClr w14:val="tx1"/>
                  </w14:solidFill>
                </w14:textFill>
              </w:rPr>
            </w:pPr>
            <w:r>
              <w:rPr>
                <w:rFonts w:ascii="Times New Roman" w:hAnsi="Times New Roman"/>
                <w:color w:val="000000" w:themeColor="text1"/>
                <w:sz w:val="21"/>
                <w:u w:val="wave"/>
                <w14:textFill>
                  <w14:solidFill>
                    <w14:schemeClr w14:val="tx1"/>
                  </w14:solidFill>
                </w14:textFill>
              </w:rPr>
              <w:t>是否在靠近居民路段设置了减速警示牌和禁鸣标志，调查施工期是否发生了噪声扰民或投诉，核查预留环保资金的使用情况。进场道路施工、材料设备运输必须安排在昼间进行。检查施工环境监理，调查施工期运输是否安排在白天，调查施工期噪声跟踪监测结果及相应采取的环保措施。施工期噪声排放执行GB12523-2011《建筑施工场界环境噪声排放标准》表1标准</w:t>
            </w:r>
          </w:p>
        </w:tc>
        <w:tc>
          <w:tcPr>
            <w:tcW w:w="2060" w:type="dxa"/>
            <w:vAlign w:val="center"/>
          </w:tcPr>
          <w:p w14:paraId="2300B26F">
            <w:pPr>
              <w:pStyle w:val="63"/>
              <w:spacing w:before="24" w:after="24"/>
              <w:rPr>
                <w:rFonts w:ascii="Times New Roman" w:hAnsi="Times New Roman"/>
                <w:color w:val="000000" w:themeColor="text1"/>
                <w:sz w:val="21"/>
                <w:u w:val="wave"/>
                <w14:textFill>
                  <w14:solidFill>
                    <w14:schemeClr w14:val="tx1"/>
                  </w14:solidFill>
                </w14:textFill>
              </w:rPr>
            </w:pPr>
            <w:r>
              <w:rPr>
                <w:rFonts w:ascii="Times New Roman" w:hAnsi="Times New Roman"/>
                <w:color w:val="000000" w:themeColor="text1"/>
                <w:sz w:val="21"/>
                <w:u w:val="wave"/>
                <w14:textFill>
                  <w14:solidFill>
                    <w14:schemeClr w14:val="tx1"/>
                  </w14:solidFill>
                </w14:textFill>
              </w:rPr>
              <w:t>合理布置、选择低噪声设备，加强冷却系统维修保养、加强偏航系统的维护保养并应尽量避免夜间运行偏航系统</w:t>
            </w:r>
            <w:r>
              <w:rPr>
                <w:rFonts w:hint="eastAsia" w:ascii="Times New Roman" w:hAnsi="Times New Roman"/>
                <w:color w:val="000000" w:themeColor="text1"/>
                <w:sz w:val="21"/>
                <w:u w:val="wave"/>
                <w14:textFill>
                  <w14:solidFill>
                    <w14:schemeClr w14:val="tx1"/>
                  </w14:solidFill>
                </w14:textFill>
              </w:rPr>
              <w:t>；</w:t>
            </w:r>
            <w:r>
              <w:rPr>
                <w:rFonts w:ascii="Times New Roman" w:hAnsi="Times New Roman"/>
                <w:color w:val="000000" w:themeColor="text1"/>
                <w:sz w:val="21"/>
                <w:u w:val="wave"/>
                <w14:textFill>
                  <w14:solidFill>
                    <w14:schemeClr w14:val="tx1"/>
                  </w14:solidFill>
                </w14:textFill>
              </w:rPr>
              <w:t>选用低噪声主变压器</w:t>
            </w:r>
            <w:r>
              <w:rPr>
                <w:rFonts w:hint="eastAsia" w:ascii="Times New Roman" w:hAnsi="Times New Roman"/>
                <w:color w:val="000000" w:themeColor="text1"/>
                <w:sz w:val="21"/>
                <w:u w:val="wave"/>
                <w14:textFill>
                  <w14:solidFill>
                    <w14:schemeClr w14:val="tx1"/>
                  </w14:solidFill>
                </w14:textFill>
              </w:rPr>
              <w:t>，定期进行噪声监测，一旦发现周边居民点环境质量超标现象立即采取有效降噪措施（如对风机采取降噪、对附近居民点加装隔声窗或改变建筑物使用功能等）减少运行期风机运行对附近居民点的影响，防止风机运行噪声超标影响附近居民正常的生活。</w:t>
            </w:r>
          </w:p>
        </w:tc>
        <w:tc>
          <w:tcPr>
            <w:tcW w:w="1997" w:type="dxa"/>
            <w:vAlign w:val="center"/>
          </w:tcPr>
          <w:p w14:paraId="6AE1B494">
            <w:pPr>
              <w:pStyle w:val="63"/>
              <w:spacing w:before="24" w:after="24"/>
              <w:rPr>
                <w:rFonts w:ascii="Times New Roman" w:hAnsi="Times New Roman"/>
                <w:color w:val="000000" w:themeColor="text1"/>
                <w:sz w:val="21"/>
                <w:u w:val="wave"/>
                <w14:textFill>
                  <w14:solidFill>
                    <w14:schemeClr w14:val="tx1"/>
                  </w14:solidFill>
                </w14:textFill>
              </w:rPr>
            </w:pPr>
            <w:r>
              <w:rPr>
                <w:rFonts w:ascii="Times New Roman" w:hAnsi="Times New Roman"/>
                <w:color w:val="000000" w:themeColor="text1"/>
                <w:sz w:val="21"/>
                <w:u w:val="wave"/>
                <w14:textFill>
                  <w14:solidFill>
                    <w14:schemeClr w14:val="tx1"/>
                  </w14:solidFill>
                </w14:textFill>
              </w:rPr>
              <w:t>声环境保护目标处满足《声环境质量标准》(GB3096-2008)2类声环境功能区限值。升压站厂界噪声排放达到《工业企业厂界环境噪声排放标准》（GB12348-2008）中2类标准</w:t>
            </w:r>
          </w:p>
        </w:tc>
      </w:tr>
      <w:tr w14:paraId="3C366D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1" w:type="dxa"/>
            <w:vAlign w:val="center"/>
          </w:tcPr>
          <w:p w14:paraId="749CB25E">
            <w:pPr>
              <w:pStyle w:val="63"/>
              <w:spacing w:before="24" w:after="24"/>
              <w:rPr>
                <w:rFonts w:ascii="Times New Roman" w:hAnsi="Times New Roman"/>
                <w:color w:val="000000" w:themeColor="text1"/>
                <w:sz w:val="21"/>
                <w:u w:val="wave"/>
                <w14:textFill>
                  <w14:solidFill>
                    <w14:schemeClr w14:val="tx1"/>
                  </w14:solidFill>
                </w14:textFill>
              </w:rPr>
            </w:pPr>
            <w:r>
              <w:rPr>
                <w:rFonts w:ascii="Times New Roman" w:hAnsi="Times New Roman"/>
                <w:color w:val="000000" w:themeColor="text1"/>
                <w:sz w:val="21"/>
                <w:u w:val="wave"/>
                <w14:textFill>
                  <w14:solidFill>
                    <w14:schemeClr w14:val="tx1"/>
                  </w14:solidFill>
                </w14:textFill>
              </w:rPr>
              <w:t>振动</w:t>
            </w:r>
          </w:p>
        </w:tc>
        <w:tc>
          <w:tcPr>
            <w:tcW w:w="2080" w:type="dxa"/>
            <w:vAlign w:val="center"/>
          </w:tcPr>
          <w:p w14:paraId="0230C95D">
            <w:pPr>
              <w:pStyle w:val="63"/>
              <w:spacing w:before="24" w:after="24"/>
              <w:rPr>
                <w:rFonts w:ascii="Times New Roman" w:hAnsi="Times New Roman"/>
                <w:color w:val="000000" w:themeColor="text1"/>
                <w:sz w:val="21"/>
                <w:u w:val="wave"/>
                <w14:textFill>
                  <w14:solidFill>
                    <w14:schemeClr w14:val="tx1"/>
                  </w14:solidFill>
                </w14:textFill>
              </w:rPr>
            </w:pPr>
            <w:r>
              <w:rPr>
                <w:rFonts w:ascii="Times New Roman" w:hAnsi="Times New Roman"/>
                <w:color w:val="000000" w:themeColor="text1"/>
                <w:sz w:val="21"/>
                <w:u w:val="wave"/>
                <w14:textFill>
                  <w14:solidFill>
                    <w14:schemeClr w14:val="tx1"/>
                  </w14:solidFill>
                </w14:textFill>
              </w:rPr>
              <w:t>/</w:t>
            </w:r>
          </w:p>
        </w:tc>
        <w:tc>
          <w:tcPr>
            <w:tcW w:w="1944" w:type="dxa"/>
            <w:vAlign w:val="center"/>
          </w:tcPr>
          <w:p w14:paraId="25B004D7">
            <w:pPr>
              <w:pStyle w:val="63"/>
              <w:spacing w:before="24" w:after="24"/>
              <w:rPr>
                <w:rFonts w:ascii="Times New Roman" w:hAnsi="Times New Roman"/>
                <w:color w:val="000000" w:themeColor="text1"/>
                <w:sz w:val="21"/>
                <w:u w:val="wave"/>
                <w14:textFill>
                  <w14:solidFill>
                    <w14:schemeClr w14:val="tx1"/>
                  </w14:solidFill>
                </w14:textFill>
              </w:rPr>
            </w:pPr>
            <w:r>
              <w:rPr>
                <w:rFonts w:ascii="Times New Roman" w:hAnsi="Times New Roman"/>
                <w:color w:val="000000" w:themeColor="text1"/>
                <w:sz w:val="21"/>
                <w:u w:val="wave"/>
                <w14:textFill>
                  <w14:solidFill>
                    <w14:schemeClr w14:val="tx1"/>
                  </w14:solidFill>
                </w14:textFill>
              </w:rPr>
              <w:t>/</w:t>
            </w:r>
          </w:p>
        </w:tc>
        <w:tc>
          <w:tcPr>
            <w:tcW w:w="2060" w:type="dxa"/>
            <w:vAlign w:val="center"/>
          </w:tcPr>
          <w:p w14:paraId="07304C78">
            <w:pPr>
              <w:pStyle w:val="63"/>
              <w:spacing w:before="24" w:after="24"/>
              <w:rPr>
                <w:rFonts w:ascii="Times New Roman" w:hAnsi="Times New Roman"/>
                <w:color w:val="000000" w:themeColor="text1"/>
                <w:sz w:val="21"/>
                <w:u w:val="wave"/>
                <w14:textFill>
                  <w14:solidFill>
                    <w14:schemeClr w14:val="tx1"/>
                  </w14:solidFill>
                </w14:textFill>
              </w:rPr>
            </w:pPr>
            <w:r>
              <w:rPr>
                <w:rFonts w:ascii="Times New Roman" w:hAnsi="Times New Roman"/>
                <w:color w:val="000000" w:themeColor="text1"/>
                <w:sz w:val="21"/>
                <w:u w:val="wave"/>
                <w14:textFill>
                  <w14:solidFill>
                    <w14:schemeClr w14:val="tx1"/>
                  </w14:solidFill>
                </w14:textFill>
              </w:rPr>
              <w:t>/</w:t>
            </w:r>
          </w:p>
        </w:tc>
        <w:tc>
          <w:tcPr>
            <w:tcW w:w="1997" w:type="dxa"/>
            <w:vAlign w:val="center"/>
          </w:tcPr>
          <w:p w14:paraId="2D23EA11">
            <w:pPr>
              <w:pStyle w:val="63"/>
              <w:spacing w:before="24" w:after="24"/>
              <w:rPr>
                <w:rFonts w:ascii="Times New Roman" w:hAnsi="Times New Roman"/>
                <w:color w:val="000000" w:themeColor="text1"/>
                <w:sz w:val="21"/>
                <w:u w:val="wave"/>
                <w14:textFill>
                  <w14:solidFill>
                    <w14:schemeClr w14:val="tx1"/>
                  </w14:solidFill>
                </w14:textFill>
              </w:rPr>
            </w:pPr>
            <w:r>
              <w:rPr>
                <w:rFonts w:ascii="Times New Roman" w:hAnsi="Times New Roman"/>
                <w:color w:val="000000" w:themeColor="text1"/>
                <w:sz w:val="21"/>
                <w:u w:val="wave"/>
                <w14:textFill>
                  <w14:solidFill>
                    <w14:schemeClr w14:val="tx1"/>
                  </w14:solidFill>
                </w14:textFill>
              </w:rPr>
              <w:t>/</w:t>
            </w:r>
          </w:p>
        </w:tc>
      </w:tr>
      <w:tr w14:paraId="5D23FB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1" w:type="dxa"/>
            <w:vAlign w:val="center"/>
          </w:tcPr>
          <w:p w14:paraId="6C74D9C8">
            <w:pPr>
              <w:pStyle w:val="63"/>
              <w:spacing w:before="24" w:after="24"/>
              <w:rPr>
                <w:rFonts w:ascii="Times New Roman" w:hAnsi="Times New Roman"/>
                <w:color w:val="000000" w:themeColor="text1"/>
                <w:sz w:val="21"/>
                <w:u w:val="wave"/>
                <w14:textFill>
                  <w14:solidFill>
                    <w14:schemeClr w14:val="tx1"/>
                  </w14:solidFill>
                </w14:textFill>
              </w:rPr>
            </w:pPr>
            <w:r>
              <w:rPr>
                <w:rFonts w:ascii="Times New Roman" w:hAnsi="Times New Roman"/>
                <w:color w:val="000000" w:themeColor="text1"/>
                <w:sz w:val="21"/>
                <w:u w:val="wave"/>
                <w14:textFill>
                  <w14:solidFill>
                    <w14:schemeClr w14:val="tx1"/>
                  </w14:solidFill>
                </w14:textFill>
              </w:rPr>
              <w:t>大气环境</w:t>
            </w:r>
          </w:p>
        </w:tc>
        <w:tc>
          <w:tcPr>
            <w:tcW w:w="2080" w:type="dxa"/>
            <w:vAlign w:val="center"/>
          </w:tcPr>
          <w:p w14:paraId="6404F521">
            <w:pPr>
              <w:pStyle w:val="63"/>
              <w:spacing w:before="24" w:after="24"/>
              <w:rPr>
                <w:rFonts w:ascii="Times New Roman" w:hAnsi="Times New Roman"/>
                <w:color w:val="000000" w:themeColor="text1"/>
                <w:sz w:val="21"/>
                <w:u w:val="wave"/>
                <w14:textFill>
                  <w14:solidFill>
                    <w14:schemeClr w14:val="tx1"/>
                  </w14:solidFill>
                </w14:textFill>
              </w:rPr>
            </w:pPr>
            <w:r>
              <w:rPr>
                <w:rFonts w:ascii="Times New Roman" w:hAnsi="Times New Roman"/>
                <w:color w:val="000000" w:themeColor="text1"/>
                <w:sz w:val="21"/>
                <w:u w:val="wave"/>
                <w14:textFill>
                  <w14:solidFill>
                    <w14:schemeClr w14:val="tx1"/>
                  </w14:solidFill>
                </w14:textFill>
              </w:rPr>
              <w:t>洒水降尘，干旱季节每天</w:t>
            </w:r>
            <w:r>
              <w:rPr>
                <w:rFonts w:hint="eastAsia" w:ascii="Times New Roman" w:hAnsi="Times New Roman"/>
                <w:color w:val="000000" w:themeColor="text1"/>
                <w:sz w:val="21"/>
                <w:u w:val="wave"/>
                <w14:textFill>
                  <w14:solidFill>
                    <w14:schemeClr w14:val="tx1"/>
                  </w14:solidFill>
                </w14:textFill>
              </w:rPr>
              <w:t>4</w:t>
            </w:r>
            <w:r>
              <w:rPr>
                <w:rFonts w:ascii="Times New Roman" w:hAnsi="Times New Roman"/>
                <w:color w:val="000000" w:themeColor="text1"/>
                <w:sz w:val="21"/>
                <w:u w:val="wave"/>
                <w14:textFill>
                  <w14:solidFill>
                    <w14:schemeClr w14:val="tx1"/>
                  </w14:solidFill>
                </w14:textFill>
              </w:rPr>
              <w:t>~</w:t>
            </w:r>
            <w:r>
              <w:rPr>
                <w:rFonts w:hint="eastAsia" w:ascii="Times New Roman" w:hAnsi="Times New Roman"/>
                <w:color w:val="000000" w:themeColor="text1"/>
                <w:sz w:val="21"/>
                <w:u w:val="wave"/>
                <w14:textFill>
                  <w14:solidFill>
                    <w14:schemeClr w14:val="tx1"/>
                  </w14:solidFill>
                </w14:textFill>
              </w:rPr>
              <w:t>5</w:t>
            </w:r>
            <w:r>
              <w:rPr>
                <w:rFonts w:ascii="Times New Roman" w:hAnsi="Times New Roman"/>
                <w:color w:val="000000" w:themeColor="text1"/>
                <w:sz w:val="21"/>
                <w:u w:val="wave"/>
                <w14:textFill>
                  <w14:solidFill>
                    <w14:schemeClr w14:val="tx1"/>
                  </w14:solidFill>
                </w14:textFill>
              </w:rPr>
              <w:t>次。选择符合环保标准的施工机械和运输车辆，并定期维修保养</w:t>
            </w:r>
          </w:p>
        </w:tc>
        <w:tc>
          <w:tcPr>
            <w:tcW w:w="1944" w:type="dxa"/>
            <w:vAlign w:val="center"/>
          </w:tcPr>
          <w:p w14:paraId="3CFD3CD9">
            <w:pPr>
              <w:pStyle w:val="63"/>
              <w:spacing w:before="24" w:after="24"/>
              <w:rPr>
                <w:rFonts w:ascii="Times New Roman" w:hAnsi="Times New Roman"/>
                <w:color w:val="000000" w:themeColor="text1"/>
                <w:sz w:val="21"/>
                <w:u w:val="wave"/>
                <w14:textFill>
                  <w14:solidFill>
                    <w14:schemeClr w14:val="tx1"/>
                  </w14:solidFill>
                </w14:textFill>
              </w:rPr>
            </w:pPr>
            <w:r>
              <w:rPr>
                <w:rFonts w:ascii="Times New Roman" w:hAnsi="Times New Roman"/>
                <w:color w:val="000000" w:themeColor="text1"/>
                <w:sz w:val="21"/>
                <w:u w:val="wave"/>
                <w14:textFill>
                  <w14:solidFill>
                    <w14:schemeClr w14:val="tx1"/>
                  </w14:solidFill>
                </w14:textFill>
              </w:rPr>
              <w:t>配置一台洒水车洒水，检查洒水制度，环境敏感点粉尘防治效果调查。达《大气污染物综合排放标准》（GB16297-96）中的二级标准及无组织排放监控浓度限值</w:t>
            </w:r>
          </w:p>
        </w:tc>
        <w:tc>
          <w:tcPr>
            <w:tcW w:w="2060" w:type="dxa"/>
            <w:vAlign w:val="center"/>
          </w:tcPr>
          <w:p w14:paraId="6CB2DA2F">
            <w:pPr>
              <w:pStyle w:val="63"/>
              <w:spacing w:before="24" w:after="24"/>
              <w:rPr>
                <w:rFonts w:hint="eastAsia" w:ascii="Times New Roman" w:hAnsi="Times New Roman" w:eastAsia="宋体"/>
                <w:color w:val="000000" w:themeColor="text1"/>
                <w:sz w:val="21"/>
                <w:u w:val="wave"/>
                <w:lang w:val="en-US" w:eastAsia="zh-CN"/>
                <w14:textFill>
                  <w14:solidFill>
                    <w14:schemeClr w14:val="tx1"/>
                  </w14:solidFill>
                </w14:textFill>
              </w:rPr>
            </w:pPr>
            <w:r>
              <w:rPr>
                <w:rFonts w:hint="eastAsia" w:ascii="Times New Roman" w:hAnsi="Times New Roman"/>
                <w:color w:val="000000" w:themeColor="text1"/>
                <w:sz w:val="21"/>
                <w:u w:val="wave"/>
                <w:lang w:val="en-US" w:eastAsia="zh-CN"/>
                <w14:textFill>
                  <w14:solidFill>
                    <w14:schemeClr w14:val="tx1"/>
                  </w14:solidFill>
                </w14:textFill>
              </w:rPr>
              <w:t>/</w:t>
            </w:r>
          </w:p>
        </w:tc>
        <w:tc>
          <w:tcPr>
            <w:tcW w:w="1997" w:type="dxa"/>
            <w:vAlign w:val="center"/>
          </w:tcPr>
          <w:p w14:paraId="14073006">
            <w:pPr>
              <w:pStyle w:val="63"/>
              <w:spacing w:before="24" w:after="24"/>
              <w:rPr>
                <w:rFonts w:hint="eastAsia" w:ascii="Times New Roman" w:hAnsi="Times New Roman" w:eastAsia="宋体"/>
                <w:color w:val="000000" w:themeColor="text1"/>
                <w:sz w:val="21"/>
                <w:u w:val="wave"/>
                <w:lang w:val="en-US" w:eastAsia="zh-CN"/>
                <w14:textFill>
                  <w14:solidFill>
                    <w14:schemeClr w14:val="tx1"/>
                  </w14:solidFill>
                </w14:textFill>
              </w:rPr>
            </w:pPr>
            <w:r>
              <w:rPr>
                <w:rFonts w:hint="eastAsia" w:ascii="Times New Roman" w:hAnsi="Times New Roman"/>
                <w:color w:val="000000" w:themeColor="text1"/>
                <w:sz w:val="21"/>
                <w:u w:val="wave"/>
                <w:lang w:val="en-US" w:eastAsia="zh-CN"/>
                <w14:textFill>
                  <w14:solidFill>
                    <w14:schemeClr w14:val="tx1"/>
                  </w14:solidFill>
                </w14:textFill>
              </w:rPr>
              <w:t>/</w:t>
            </w:r>
          </w:p>
        </w:tc>
      </w:tr>
      <w:tr w14:paraId="2B3E75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1" w:type="dxa"/>
            <w:vAlign w:val="center"/>
          </w:tcPr>
          <w:p w14:paraId="7238EB19">
            <w:pPr>
              <w:pStyle w:val="63"/>
              <w:spacing w:before="24" w:after="24"/>
              <w:rPr>
                <w:rFonts w:ascii="Times New Roman" w:hAnsi="Times New Roman"/>
                <w:color w:val="000000" w:themeColor="text1"/>
                <w:sz w:val="21"/>
                <w:u w:val="wave"/>
                <w14:textFill>
                  <w14:solidFill>
                    <w14:schemeClr w14:val="tx1"/>
                  </w14:solidFill>
                </w14:textFill>
              </w:rPr>
            </w:pPr>
            <w:r>
              <w:rPr>
                <w:rFonts w:ascii="Times New Roman" w:hAnsi="Times New Roman"/>
                <w:color w:val="000000" w:themeColor="text1"/>
                <w:sz w:val="21"/>
                <w:u w:val="wave"/>
                <w14:textFill>
                  <w14:solidFill>
                    <w14:schemeClr w14:val="tx1"/>
                  </w14:solidFill>
                </w14:textFill>
              </w:rPr>
              <w:t>固体废物</w:t>
            </w:r>
          </w:p>
        </w:tc>
        <w:tc>
          <w:tcPr>
            <w:tcW w:w="2080" w:type="dxa"/>
            <w:vAlign w:val="center"/>
          </w:tcPr>
          <w:p w14:paraId="4B605A9F">
            <w:pPr>
              <w:pStyle w:val="63"/>
              <w:spacing w:before="24" w:after="24"/>
              <w:rPr>
                <w:rFonts w:ascii="Times New Roman" w:hAnsi="Times New Roman"/>
                <w:color w:val="000000" w:themeColor="text1"/>
                <w:sz w:val="21"/>
                <w:u w:val="wave"/>
                <w14:textFill>
                  <w14:solidFill>
                    <w14:schemeClr w14:val="tx1"/>
                  </w14:solidFill>
                </w14:textFill>
              </w:rPr>
            </w:pPr>
            <w:r>
              <w:rPr>
                <w:rFonts w:ascii="Times New Roman" w:hAnsi="Times New Roman"/>
                <w:color w:val="000000" w:themeColor="text1"/>
                <w:sz w:val="21"/>
                <w:u w:val="wave"/>
                <w14:textFill>
                  <w14:solidFill>
                    <w14:schemeClr w14:val="tx1"/>
                  </w14:solidFill>
                </w14:textFill>
              </w:rPr>
              <w:t>施工期采用垃圾桶分类收集，送乡镇垃圾收集系统进行处置；</w:t>
            </w:r>
            <w:r>
              <w:rPr>
                <w:rFonts w:hint="eastAsia" w:ascii="Times New Roman" w:hAnsi="Times New Roman"/>
                <w:color w:val="000000" w:themeColor="text1"/>
                <w:sz w:val="21"/>
                <w:u w:val="wave"/>
                <w14:textFill>
                  <w14:solidFill>
                    <w14:schemeClr w14:val="tx1"/>
                  </w14:solidFill>
                </w14:textFill>
              </w:rPr>
              <w:t>弃渣场</w:t>
            </w:r>
            <w:r>
              <w:rPr>
                <w:rFonts w:ascii="Times New Roman" w:hAnsi="Times New Roman"/>
                <w:color w:val="000000" w:themeColor="text1"/>
                <w:sz w:val="21"/>
                <w:u w:val="wave"/>
                <w14:textFill>
                  <w14:solidFill>
                    <w14:schemeClr w14:val="tx1"/>
                  </w14:solidFill>
                </w14:textFill>
              </w:rPr>
              <w:t>进行表土收集堆存，规范堆存于弃渣场或表土场，施工结束后对弃渣进行覆土绿化</w:t>
            </w:r>
          </w:p>
        </w:tc>
        <w:tc>
          <w:tcPr>
            <w:tcW w:w="1944" w:type="dxa"/>
            <w:vAlign w:val="center"/>
          </w:tcPr>
          <w:p w14:paraId="539B42B8">
            <w:pPr>
              <w:pStyle w:val="63"/>
              <w:spacing w:before="24" w:after="24"/>
              <w:rPr>
                <w:rFonts w:ascii="Times New Roman" w:hAnsi="Times New Roman"/>
                <w:color w:val="000000" w:themeColor="text1"/>
                <w:sz w:val="21"/>
                <w:u w:val="wave"/>
                <w14:textFill>
                  <w14:solidFill>
                    <w14:schemeClr w14:val="tx1"/>
                  </w14:solidFill>
                </w14:textFill>
              </w:rPr>
            </w:pPr>
            <w:r>
              <w:rPr>
                <w:rFonts w:ascii="Times New Roman" w:hAnsi="Times New Roman"/>
                <w:color w:val="000000" w:themeColor="text1"/>
                <w:sz w:val="21"/>
                <w:u w:val="wave"/>
                <w14:textFill>
                  <w14:solidFill>
                    <w14:schemeClr w14:val="tx1"/>
                  </w14:solidFill>
                </w14:textFill>
              </w:rPr>
              <w:t>设置了生活垃圾桶，实施分类收集，集中送乡镇垃圾收集系统进行处置，不随意丢弃；按照水土保持要求设置</w:t>
            </w:r>
            <w:r>
              <w:rPr>
                <w:rFonts w:hint="eastAsia" w:ascii="Times New Roman" w:hAnsi="Times New Roman"/>
                <w:color w:val="000000" w:themeColor="text1"/>
                <w:sz w:val="21"/>
                <w:u w:val="wave"/>
                <w:lang w:val="en-US" w:eastAsia="zh-CN"/>
                <w14:textFill>
                  <w14:solidFill>
                    <w14:schemeClr w14:val="tx1"/>
                  </w14:solidFill>
                </w14:textFill>
              </w:rPr>
              <w:t>8</w:t>
            </w:r>
            <w:r>
              <w:rPr>
                <w:rFonts w:hint="eastAsia" w:ascii="Times New Roman" w:hAnsi="Times New Roman"/>
                <w:color w:val="000000" w:themeColor="text1"/>
                <w:sz w:val="21"/>
                <w:u w:val="wave"/>
                <w:lang w:eastAsia="zh-CN"/>
                <w14:textFill>
                  <w14:solidFill>
                    <w14:schemeClr w14:val="tx1"/>
                  </w14:solidFill>
                </w14:textFill>
              </w:rPr>
              <w:t>处</w:t>
            </w:r>
            <w:r>
              <w:rPr>
                <w:rFonts w:ascii="Times New Roman" w:hAnsi="Times New Roman"/>
                <w:color w:val="000000" w:themeColor="text1"/>
                <w:sz w:val="21"/>
                <w:u w:val="wave"/>
                <w14:textFill>
                  <w14:solidFill>
                    <w14:schemeClr w14:val="tx1"/>
                  </w14:solidFill>
                </w14:textFill>
              </w:rPr>
              <w:t>弃渣场，合理设置表土堆场，表土与和弃渣分区堆放，对弃渣场进行覆土绿化。弃渣执行《一般工业固体废物贮存和填埋污染控制标准》（GB18599-2020）</w:t>
            </w:r>
          </w:p>
        </w:tc>
        <w:tc>
          <w:tcPr>
            <w:tcW w:w="2060" w:type="dxa"/>
            <w:vAlign w:val="center"/>
          </w:tcPr>
          <w:p w14:paraId="428B419A">
            <w:pPr>
              <w:pStyle w:val="63"/>
              <w:spacing w:before="24" w:after="24"/>
              <w:rPr>
                <w:rFonts w:ascii="Times New Roman" w:hAnsi="Times New Roman"/>
                <w:color w:val="000000" w:themeColor="text1"/>
                <w:sz w:val="21"/>
                <w:u w:val="wave"/>
                <w14:textFill>
                  <w14:solidFill>
                    <w14:schemeClr w14:val="tx1"/>
                  </w14:solidFill>
                </w14:textFill>
              </w:rPr>
            </w:pPr>
            <w:r>
              <w:rPr>
                <w:rFonts w:hint="eastAsia" w:ascii="Times New Roman" w:hAnsi="Times New Roman"/>
                <w:color w:val="000000" w:themeColor="text1"/>
                <w:sz w:val="21"/>
                <w:u w:val="wave"/>
                <w14:textFill>
                  <w14:solidFill>
                    <w14:schemeClr w14:val="tx1"/>
                  </w14:solidFill>
                </w14:textFill>
              </w:rPr>
              <w:t>设</w:t>
            </w:r>
            <w:r>
              <w:rPr>
                <w:rFonts w:ascii="Times New Roman" w:hAnsi="Times New Roman"/>
                <w:color w:val="000000" w:themeColor="text1"/>
                <w:sz w:val="21"/>
                <w:u w:val="wave"/>
                <w14:textFill>
                  <w14:solidFill>
                    <w14:schemeClr w14:val="tx1"/>
                  </w14:solidFill>
                </w14:textFill>
              </w:rPr>
              <w:t>置垃圾桶，统一收集后送乡镇垃圾收集系统进行处置。危险废物按《危险废物收集贮存运输技术规范》（HJ 2025-2012）、《危险废物贮存污染控制标准》（GB18597-20</w:t>
            </w:r>
            <w:r>
              <w:rPr>
                <w:rFonts w:hint="eastAsia" w:ascii="Times New Roman" w:hAnsi="Times New Roman"/>
                <w:color w:val="000000" w:themeColor="text1"/>
                <w:sz w:val="21"/>
                <w:u w:val="wave"/>
                <w:lang w:val="en-US" w:eastAsia="zh-CN"/>
                <w14:textFill>
                  <w14:solidFill>
                    <w14:schemeClr w14:val="tx1"/>
                  </w14:solidFill>
                </w14:textFill>
              </w:rPr>
              <w:t>23</w:t>
            </w:r>
            <w:r>
              <w:rPr>
                <w:rFonts w:ascii="Times New Roman" w:hAnsi="Times New Roman"/>
                <w:color w:val="000000" w:themeColor="text1"/>
                <w:sz w:val="21"/>
                <w:u w:val="wave"/>
                <w14:textFill>
                  <w14:solidFill>
                    <w14:schemeClr w14:val="tx1"/>
                  </w14:solidFill>
                </w14:textFill>
              </w:rPr>
              <w:t>）的相关规定进行管理，最终交由有资质的单位进行处置。</w:t>
            </w:r>
          </w:p>
          <w:p w14:paraId="57456D0F">
            <w:pPr>
              <w:pStyle w:val="63"/>
              <w:spacing w:before="24" w:after="24"/>
              <w:rPr>
                <w:rFonts w:ascii="Times New Roman" w:hAnsi="Times New Roman"/>
                <w:color w:val="000000" w:themeColor="text1"/>
                <w:sz w:val="21"/>
                <w:u w:val="wave"/>
                <w14:textFill>
                  <w14:solidFill>
                    <w14:schemeClr w14:val="tx1"/>
                  </w14:solidFill>
                </w14:textFill>
              </w:rPr>
            </w:pPr>
            <w:r>
              <w:rPr>
                <w:rFonts w:ascii="Times New Roman" w:hAnsi="Times New Roman"/>
                <w:color w:val="000000" w:themeColor="text1"/>
                <w:sz w:val="21"/>
                <w:u w:val="wave"/>
                <w14:textFill>
                  <w14:solidFill>
                    <w14:schemeClr w14:val="tx1"/>
                  </w14:solidFill>
                </w14:textFill>
              </w:rPr>
              <w:t>升压站设置合格的危废暂存间</w:t>
            </w:r>
          </w:p>
        </w:tc>
        <w:tc>
          <w:tcPr>
            <w:tcW w:w="1997" w:type="dxa"/>
            <w:vAlign w:val="center"/>
          </w:tcPr>
          <w:p w14:paraId="56FB9B9B">
            <w:pPr>
              <w:pStyle w:val="63"/>
              <w:spacing w:before="24" w:after="24"/>
              <w:rPr>
                <w:rFonts w:ascii="Times New Roman" w:hAnsi="Times New Roman"/>
                <w:color w:val="000000" w:themeColor="text1"/>
                <w:sz w:val="21"/>
                <w:u w:val="wave"/>
                <w14:textFill>
                  <w14:solidFill>
                    <w14:schemeClr w14:val="tx1"/>
                  </w14:solidFill>
                </w14:textFill>
              </w:rPr>
            </w:pPr>
            <w:r>
              <w:rPr>
                <w:rFonts w:ascii="Times New Roman" w:hAnsi="Times New Roman"/>
                <w:color w:val="000000" w:themeColor="text1"/>
                <w:sz w:val="21"/>
                <w:u w:val="wave"/>
                <w14:textFill>
                  <w14:solidFill>
                    <w14:schemeClr w14:val="tx1"/>
                  </w14:solidFill>
                </w14:textFill>
              </w:rPr>
              <w:t>生活垃圾收集处理情况</w:t>
            </w:r>
            <w:r>
              <w:rPr>
                <w:rFonts w:hint="eastAsia" w:ascii="Times New Roman" w:hAnsi="Times New Roman"/>
                <w:color w:val="000000" w:themeColor="text1"/>
                <w:sz w:val="21"/>
                <w:u w:val="wave"/>
                <w14:textFill>
                  <w14:solidFill>
                    <w14:schemeClr w14:val="tx1"/>
                  </w14:solidFill>
                </w14:textFill>
              </w:rPr>
              <w:t>；</w:t>
            </w:r>
            <w:r>
              <w:rPr>
                <w:rFonts w:ascii="Times New Roman" w:hAnsi="Times New Roman"/>
                <w:color w:val="000000" w:themeColor="text1"/>
                <w:sz w:val="21"/>
                <w:u w:val="wave"/>
                <w14:textFill>
                  <w14:solidFill>
                    <w14:schemeClr w14:val="tx1"/>
                  </w14:solidFill>
                </w14:textFill>
              </w:rPr>
              <w:t>危废暂存间按照《危险废物贮存污染控制标准》（GB18597-20</w:t>
            </w:r>
            <w:r>
              <w:rPr>
                <w:rFonts w:hint="eastAsia" w:ascii="Times New Roman" w:hAnsi="Times New Roman"/>
                <w:color w:val="000000" w:themeColor="text1"/>
                <w:sz w:val="21"/>
                <w:u w:val="wave"/>
                <w:lang w:val="en-US" w:eastAsia="zh-CN"/>
                <w14:textFill>
                  <w14:solidFill>
                    <w14:schemeClr w14:val="tx1"/>
                  </w14:solidFill>
                </w14:textFill>
              </w:rPr>
              <w:t>23</w:t>
            </w:r>
            <w:r>
              <w:rPr>
                <w:rFonts w:ascii="Times New Roman" w:hAnsi="Times New Roman"/>
                <w:color w:val="000000" w:themeColor="text1"/>
                <w:sz w:val="21"/>
                <w:u w:val="wave"/>
                <w14:textFill>
                  <w14:solidFill>
                    <w14:schemeClr w14:val="tx1"/>
                  </w14:solidFill>
                </w14:textFill>
              </w:rPr>
              <w:t>）要求设置，设置围堰，进行防渗；各类危废应按照《危险废物收集贮存运输技术规范》（HJ 2025-2012）进行收集贮存和运输；危险废物暂存间门口需张贴危险废物标识和危废信息板，屋内张贴企业《危险废物管理制度》；各类危废分开堆放，有明显的过道划分，墙上张贴危废名称，液态危废需将成装容器放至防泄漏托盘内并在容器粘贴危险废物标签，并按要求填写；建立危废存储、转移台账；暂存间内禁止堆放其他工具或物品。</w:t>
            </w:r>
          </w:p>
        </w:tc>
      </w:tr>
      <w:tr w14:paraId="09D37B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1" w:type="dxa"/>
            <w:vAlign w:val="center"/>
          </w:tcPr>
          <w:p w14:paraId="026522E0">
            <w:pPr>
              <w:pStyle w:val="63"/>
              <w:spacing w:before="24" w:after="24"/>
              <w:rPr>
                <w:rFonts w:ascii="Times New Roman" w:hAnsi="Times New Roman"/>
                <w:color w:val="000000" w:themeColor="text1"/>
                <w:sz w:val="21"/>
                <w:u w:val="wave"/>
                <w14:textFill>
                  <w14:solidFill>
                    <w14:schemeClr w14:val="tx1"/>
                  </w14:solidFill>
                </w14:textFill>
              </w:rPr>
            </w:pPr>
            <w:r>
              <w:rPr>
                <w:rFonts w:ascii="Times New Roman" w:hAnsi="Times New Roman"/>
                <w:color w:val="000000" w:themeColor="text1"/>
                <w:sz w:val="21"/>
                <w:u w:val="wave"/>
                <w14:textFill>
                  <w14:solidFill>
                    <w14:schemeClr w14:val="tx1"/>
                  </w14:solidFill>
                </w14:textFill>
              </w:rPr>
              <w:t>电磁环境</w:t>
            </w:r>
          </w:p>
        </w:tc>
        <w:tc>
          <w:tcPr>
            <w:tcW w:w="2080" w:type="dxa"/>
            <w:vAlign w:val="center"/>
          </w:tcPr>
          <w:p w14:paraId="676B31BD">
            <w:pPr>
              <w:pStyle w:val="63"/>
              <w:spacing w:before="24" w:after="24"/>
              <w:rPr>
                <w:rFonts w:ascii="Times New Roman" w:hAnsi="Times New Roman"/>
                <w:color w:val="000000" w:themeColor="text1"/>
                <w:sz w:val="21"/>
                <w:u w:val="wave"/>
                <w14:textFill>
                  <w14:solidFill>
                    <w14:schemeClr w14:val="tx1"/>
                  </w14:solidFill>
                </w14:textFill>
              </w:rPr>
            </w:pPr>
            <w:r>
              <w:rPr>
                <w:rFonts w:ascii="Times New Roman" w:hAnsi="Times New Roman"/>
                <w:color w:val="000000" w:themeColor="text1"/>
                <w:sz w:val="21"/>
                <w:u w:val="wave"/>
                <w14:textFill>
                  <w14:solidFill>
                    <w14:schemeClr w14:val="tx1"/>
                  </w14:solidFill>
                </w14:textFill>
              </w:rPr>
              <w:t>/</w:t>
            </w:r>
          </w:p>
        </w:tc>
        <w:tc>
          <w:tcPr>
            <w:tcW w:w="1944" w:type="dxa"/>
            <w:vAlign w:val="center"/>
          </w:tcPr>
          <w:p w14:paraId="7F0C7C1A">
            <w:pPr>
              <w:pStyle w:val="63"/>
              <w:spacing w:before="24" w:after="24"/>
              <w:rPr>
                <w:rFonts w:ascii="Times New Roman" w:hAnsi="Times New Roman"/>
                <w:color w:val="000000" w:themeColor="text1"/>
                <w:sz w:val="21"/>
                <w:u w:val="wave"/>
                <w14:textFill>
                  <w14:solidFill>
                    <w14:schemeClr w14:val="tx1"/>
                  </w14:solidFill>
                </w14:textFill>
              </w:rPr>
            </w:pPr>
            <w:r>
              <w:rPr>
                <w:rFonts w:ascii="Times New Roman" w:hAnsi="Times New Roman"/>
                <w:color w:val="000000" w:themeColor="text1"/>
                <w:sz w:val="21"/>
                <w:u w:val="wave"/>
                <w14:textFill>
                  <w14:solidFill>
                    <w14:schemeClr w14:val="tx1"/>
                  </w14:solidFill>
                </w14:textFill>
              </w:rPr>
              <w:t>/</w:t>
            </w:r>
          </w:p>
        </w:tc>
        <w:tc>
          <w:tcPr>
            <w:tcW w:w="2060" w:type="dxa"/>
            <w:vAlign w:val="center"/>
          </w:tcPr>
          <w:p w14:paraId="6141916A">
            <w:pPr>
              <w:pStyle w:val="63"/>
              <w:spacing w:before="24" w:after="24"/>
              <w:rPr>
                <w:rFonts w:ascii="Times New Roman" w:hAnsi="Times New Roman"/>
                <w:color w:val="000000" w:themeColor="text1"/>
                <w:sz w:val="21"/>
                <w:u w:val="wave"/>
                <w14:textFill>
                  <w14:solidFill>
                    <w14:schemeClr w14:val="tx1"/>
                  </w14:solidFill>
                </w14:textFill>
              </w:rPr>
            </w:pPr>
            <w:r>
              <w:rPr>
                <w:rFonts w:ascii="Times New Roman" w:hAnsi="Times New Roman"/>
                <w:color w:val="000000" w:themeColor="text1"/>
                <w:sz w:val="21"/>
                <w:u w:val="wave"/>
                <w14:textFill>
                  <w14:solidFill>
                    <w14:schemeClr w14:val="tx1"/>
                  </w14:solidFill>
                </w14:textFill>
              </w:rPr>
              <w:t>/</w:t>
            </w:r>
          </w:p>
        </w:tc>
        <w:tc>
          <w:tcPr>
            <w:tcW w:w="1997" w:type="dxa"/>
            <w:vAlign w:val="center"/>
          </w:tcPr>
          <w:p w14:paraId="08CD0457">
            <w:pPr>
              <w:pStyle w:val="63"/>
              <w:spacing w:before="24" w:after="24"/>
              <w:rPr>
                <w:rFonts w:ascii="Times New Roman" w:hAnsi="Times New Roman"/>
                <w:color w:val="000000" w:themeColor="text1"/>
                <w:sz w:val="21"/>
                <w:u w:val="wave"/>
                <w14:textFill>
                  <w14:solidFill>
                    <w14:schemeClr w14:val="tx1"/>
                  </w14:solidFill>
                </w14:textFill>
              </w:rPr>
            </w:pPr>
            <w:r>
              <w:rPr>
                <w:rFonts w:ascii="Times New Roman" w:hAnsi="Times New Roman"/>
                <w:color w:val="000000" w:themeColor="text1"/>
                <w:sz w:val="21"/>
                <w:u w:val="wave"/>
                <w14:textFill>
                  <w14:solidFill>
                    <w14:schemeClr w14:val="tx1"/>
                  </w14:solidFill>
                </w14:textFill>
              </w:rPr>
              <w:t>满足《电磁环境控制限值》（GB 8702-2014）有关公众</w:t>
            </w:r>
            <w:r>
              <w:rPr>
                <w:rFonts w:hint="eastAsia" w:ascii="Times New Roman" w:hAnsi="Times New Roman"/>
                <w:color w:val="000000" w:themeColor="text1"/>
                <w:sz w:val="21"/>
                <w:u w:val="wave"/>
                <w14:textFill>
                  <w14:solidFill>
                    <w14:schemeClr w14:val="tx1"/>
                  </w14:solidFill>
                </w14:textFill>
              </w:rPr>
              <w:t>曝露</w:t>
            </w:r>
            <w:r>
              <w:rPr>
                <w:rFonts w:ascii="Times New Roman" w:hAnsi="Times New Roman"/>
                <w:color w:val="000000" w:themeColor="text1"/>
                <w:sz w:val="21"/>
                <w:u w:val="wave"/>
                <w14:textFill>
                  <w14:solidFill>
                    <w14:schemeClr w14:val="tx1"/>
                  </w14:solidFill>
                </w14:textFill>
              </w:rPr>
              <w:t>控制限值的要求</w:t>
            </w:r>
          </w:p>
        </w:tc>
      </w:tr>
      <w:tr w14:paraId="64C165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1" w:type="dxa"/>
            <w:vAlign w:val="center"/>
          </w:tcPr>
          <w:p w14:paraId="4A20C9D1">
            <w:pPr>
              <w:pStyle w:val="63"/>
              <w:spacing w:before="24" w:after="24"/>
              <w:rPr>
                <w:rFonts w:ascii="Times New Roman" w:hAnsi="Times New Roman"/>
                <w:color w:val="000000" w:themeColor="text1"/>
                <w:sz w:val="21"/>
                <w:u w:val="wave"/>
                <w14:textFill>
                  <w14:solidFill>
                    <w14:schemeClr w14:val="tx1"/>
                  </w14:solidFill>
                </w14:textFill>
              </w:rPr>
            </w:pPr>
            <w:r>
              <w:rPr>
                <w:rFonts w:ascii="Times New Roman" w:hAnsi="Times New Roman"/>
                <w:color w:val="000000" w:themeColor="text1"/>
                <w:sz w:val="21"/>
                <w:u w:val="wave"/>
                <w14:textFill>
                  <w14:solidFill>
                    <w14:schemeClr w14:val="tx1"/>
                  </w14:solidFill>
                </w14:textFill>
              </w:rPr>
              <w:t>环境风险</w:t>
            </w:r>
          </w:p>
        </w:tc>
        <w:tc>
          <w:tcPr>
            <w:tcW w:w="2080" w:type="dxa"/>
            <w:vAlign w:val="center"/>
          </w:tcPr>
          <w:p w14:paraId="6D84FBE3">
            <w:pPr>
              <w:pStyle w:val="63"/>
              <w:spacing w:before="24" w:after="24"/>
              <w:rPr>
                <w:rFonts w:ascii="Times New Roman" w:hAnsi="Times New Roman"/>
                <w:color w:val="000000" w:themeColor="text1"/>
                <w:sz w:val="21"/>
                <w:u w:val="wave"/>
                <w14:textFill>
                  <w14:solidFill>
                    <w14:schemeClr w14:val="tx1"/>
                  </w14:solidFill>
                </w14:textFill>
              </w:rPr>
            </w:pPr>
            <w:r>
              <w:rPr>
                <w:rFonts w:ascii="Times New Roman" w:hAnsi="Times New Roman"/>
                <w:color w:val="000000" w:themeColor="text1"/>
                <w:sz w:val="21"/>
                <w:u w:val="wave"/>
                <w14:textFill>
                  <w14:solidFill>
                    <w14:schemeClr w14:val="tx1"/>
                  </w14:solidFill>
                </w14:textFill>
              </w:rPr>
              <w:t>/</w:t>
            </w:r>
          </w:p>
        </w:tc>
        <w:tc>
          <w:tcPr>
            <w:tcW w:w="1944" w:type="dxa"/>
            <w:vAlign w:val="center"/>
          </w:tcPr>
          <w:p w14:paraId="16776DEA">
            <w:pPr>
              <w:pStyle w:val="63"/>
              <w:spacing w:before="24" w:after="24"/>
              <w:rPr>
                <w:rFonts w:ascii="Times New Roman" w:hAnsi="Times New Roman"/>
                <w:color w:val="000000" w:themeColor="text1"/>
                <w:sz w:val="21"/>
                <w:u w:val="wave"/>
                <w14:textFill>
                  <w14:solidFill>
                    <w14:schemeClr w14:val="tx1"/>
                  </w14:solidFill>
                </w14:textFill>
              </w:rPr>
            </w:pPr>
            <w:r>
              <w:rPr>
                <w:rFonts w:ascii="Times New Roman" w:hAnsi="Times New Roman"/>
                <w:color w:val="000000" w:themeColor="text1"/>
                <w:sz w:val="21"/>
                <w:u w:val="wave"/>
                <w14:textFill>
                  <w14:solidFill>
                    <w14:schemeClr w14:val="tx1"/>
                  </w14:solidFill>
                </w14:textFill>
              </w:rPr>
              <w:t>/</w:t>
            </w:r>
          </w:p>
        </w:tc>
        <w:tc>
          <w:tcPr>
            <w:tcW w:w="2060" w:type="dxa"/>
            <w:vAlign w:val="center"/>
          </w:tcPr>
          <w:p w14:paraId="0D30E993">
            <w:pPr>
              <w:pStyle w:val="63"/>
              <w:spacing w:before="24" w:after="24"/>
              <w:rPr>
                <w:rFonts w:ascii="Times New Roman" w:hAnsi="Times New Roman"/>
                <w:color w:val="000000" w:themeColor="text1"/>
                <w:sz w:val="21"/>
                <w:u w:val="wave"/>
                <w14:textFill>
                  <w14:solidFill>
                    <w14:schemeClr w14:val="tx1"/>
                  </w14:solidFill>
                </w14:textFill>
              </w:rPr>
            </w:pPr>
            <w:bookmarkStart w:id="280" w:name="_Hlk29988114"/>
            <w:r>
              <w:rPr>
                <w:rFonts w:ascii="Times New Roman" w:hAnsi="Times New Roman"/>
                <w:color w:val="000000" w:themeColor="text1"/>
                <w:sz w:val="21"/>
                <w:u w:val="wave"/>
                <w14:textFill>
                  <w14:solidFill>
                    <w14:schemeClr w14:val="tx1"/>
                  </w14:solidFill>
                </w14:textFill>
              </w:rPr>
              <w:t>升压站配套建设容积不小于</w:t>
            </w:r>
            <w:r>
              <w:rPr>
                <w:rFonts w:hint="eastAsia" w:ascii="Times New Roman" w:hAnsi="Times New Roman"/>
                <w:color w:val="000000" w:themeColor="text1"/>
                <w:sz w:val="21"/>
                <w:u w:val="wave"/>
                <w:lang w:val="en-US" w:eastAsia="zh-CN"/>
                <w14:textFill>
                  <w14:solidFill>
                    <w14:schemeClr w14:val="tx1"/>
                  </w14:solidFill>
                </w14:textFill>
              </w:rPr>
              <w:t>48</w:t>
            </w:r>
            <w:r>
              <w:rPr>
                <w:rFonts w:ascii="Times New Roman" w:hAnsi="Times New Roman"/>
                <w:color w:val="000000" w:themeColor="text1"/>
                <w:sz w:val="21"/>
                <w:u w:val="wave"/>
                <w14:textFill>
                  <w14:solidFill>
                    <w14:schemeClr w14:val="tx1"/>
                  </w14:solidFill>
                </w14:textFill>
              </w:rPr>
              <w:t>m</w:t>
            </w:r>
            <w:r>
              <w:rPr>
                <w:rFonts w:ascii="Times New Roman" w:hAnsi="Times New Roman"/>
                <w:color w:val="000000" w:themeColor="text1"/>
                <w:sz w:val="21"/>
                <w:u w:val="wave"/>
                <w:vertAlign w:val="superscript"/>
                <w14:textFill>
                  <w14:solidFill>
                    <w14:schemeClr w14:val="tx1"/>
                  </w14:solidFill>
                </w14:textFill>
              </w:rPr>
              <w:t>3</w:t>
            </w:r>
            <w:r>
              <w:rPr>
                <w:rFonts w:ascii="Times New Roman" w:hAnsi="Times New Roman"/>
                <w:color w:val="000000" w:themeColor="text1"/>
                <w:sz w:val="21"/>
                <w:u w:val="wave"/>
                <w14:textFill>
                  <w14:solidFill>
                    <w14:schemeClr w14:val="tx1"/>
                  </w14:solidFill>
                </w14:textFill>
              </w:rPr>
              <w:t>的事故油池一座，加盖防雨</w:t>
            </w:r>
            <w:r>
              <w:rPr>
                <w:rFonts w:hint="eastAsia" w:ascii="Times New Roman" w:hAnsi="Times New Roman"/>
                <w:color w:val="000000" w:themeColor="text1"/>
                <w:sz w:val="21"/>
                <w:u w:val="wave"/>
                <w14:textFill>
                  <w14:solidFill>
                    <w14:schemeClr w14:val="tx1"/>
                  </w14:solidFill>
                </w14:textFill>
              </w:rPr>
              <w:t>；箱变设置事故油池</w:t>
            </w:r>
            <w:bookmarkEnd w:id="280"/>
          </w:p>
        </w:tc>
        <w:tc>
          <w:tcPr>
            <w:tcW w:w="1997" w:type="dxa"/>
            <w:vAlign w:val="center"/>
          </w:tcPr>
          <w:p w14:paraId="67C591CB">
            <w:pPr>
              <w:pStyle w:val="63"/>
              <w:spacing w:before="24" w:after="24"/>
              <w:rPr>
                <w:rFonts w:ascii="Times New Roman" w:hAnsi="Times New Roman"/>
                <w:color w:val="000000" w:themeColor="text1"/>
                <w:sz w:val="21"/>
                <w:u w:val="wave"/>
                <w14:textFill>
                  <w14:solidFill>
                    <w14:schemeClr w14:val="tx1"/>
                  </w14:solidFill>
                </w14:textFill>
              </w:rPr>
            </w:pPr>
            <w:r>
              <w:rPr>
                <w:rFonts w:ascii="Times New Roman" w:hAnsi="Times New Roman"/>
                <w:color w:val="000000" w:themeColor="text1"/>
                <w:sz w:val="21"/>
                <w:u w:val="wave"/>
                <w14:textFill>
                  <w14:solidFill>
                    <w14:schemeClr w14:val="tx1"/>
                  </w14:solidFill>
                </w14:textFill>
              </w:rPr>
              <w:t>检查事故油池建设和运行情况</w:t>
            </w:r>
          </w:p>
        </w:tc>
      </w:tr>
      <w:tr w14:paraId="0BDC53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1" w:type="dxa"/>
            <w:vAlign w:val="center"/>
          </w:tcPr>
          <w:p w14:paraId="10EABFA7">
            <w:pPr>
              <w:pStyle w:val="63"/>
              <w:spacing w:before="24" w:after="24"/>
              <w:rPr>
                <w:rFonts w:ascii="Times New Roman" w:hAnsi="Times New Roman"/>
                <w:color w:val="000000" w:themeColor="text1"/>
                <w:sz w:val="21"/>
                <w:u w:val="wave"/>
                <w14:textFill>
                  <w14:solidFill>
                    <w14:schemeClr w14:val="tx1"/>
                  </w14:solidFill>
                </w14:textFill>
              </w:rPr>
            </w:pPr>
            <w:r>
              <w:rPr>
                <w:rFonts w:ascii="Times New Roman" w:hAnsi="Times New Roman"/>
                <w:color w:val="000000" w:themeColor="text1"/>
                <w:sz w:val="21"/>
                <w:u w:val="wave"/>
                <w14:textFill>
                  <w14:solidFill>
                    <w14:schemeClr w14:val="tx1"/>
                  </w14:solidFill>
                </w14:textFill>
              </w:rPr>
              <w:t>环境监测</w:t>
            </w:r>
          </w:p>
        </w:tc>
        <w:tc>
          <w:tcPr>
            <w:tcW w:w="2080" w:type="dxa"/>
            <w:vAlign w:val="center"/>
          </w:tcPr>
          <w:p w14:paraId="07E234F0">
            <w:pPr>
              <w:pStyle w:val="63"/>
              <w:spacing w:before="24" w:after="24"/>
              <w:rPr>
                <w:rFonts w:ascii="Times New Roman" w:hAnsi="Times New Roman"/>
                <w:color w:val="000000" w:themeColor="text1"/>
                <w:sz w:val="21"/>
                <w:u w:val="wave"/>
                <w14:textFill>
                  <w14:solidFill>
                    <w14:schemeClr w14:val="tx1"/>
                  </w14:solidFill>
                </w14:textFill>
              </w:rPr>
            </w:pPr>
            <w:r>
              <w:rPr>
                <w:rFonts w:ascii="Times New Roman" w:hAnsi="Times New Roman"/>
                <w:color w:val="000000" w:themeColor="text1"/>
                <w:sz w:val="21"/>
                <w:u w:val="wave"/>
                <w14:textFill>
                  <w14:solidFill>
                    <w14:schemeClr w14:val="tx1"/>
                  </w14:solidFill>
                </w14:textFill>
              </w:rPr>
              <w:t>环境监测及监测报告</w:t>
            </w:r>
            <w:r>
              <w:rPr>
                <w:rFonts w:hint="eastAsia" w:ascii="Times New Roman" w:hAnsi="Times New Roman"/>
                <w:color w:val="000000" w:themeColor="text1"/>
                <w:sz w:val="21"/>
                <w:u w:val="wave"/>
                <w14:textFill>
                  <w14:solidFill>
                    <w14:schemeClr w14:val="tx1"/>
                  </w14:solidFill>
                </w14:textFill>
              </w:rPr>
              <w:t>；</w:t>
            </w:r>
            <w:r>
              <w:rPr>
                <w:rFonts w:ascii="Times New Roman" w:hAnsi="Times New Roman"/>
                <w:color w:val="000000" w:themeColor="text1"/>
                <w:sz w:val="21"/>
                <w:u w:val="wave"/>
                <w14:textFill>
                  <w14:solidFill>
                    <w14:schemeClr w14:val="tx1"/>
                  </w14:solidFill>
                </w14:textFill>
              </w:rPr>
              <w:t>环境监理报告</w:t>
            </w:r>
          </w:p>
        </w:tc>
        <w:tc>
          <w:tcPr>
            <w:tcW w:w="1944" w:type="dxa"/>
            <w:vAlign w:val="center"/>
          </w:tcPr>
          <w:p w14:paraId="0D5032E8">
            <w:pPr>
              <w:pStyle w:val="63"/>
              <w:spacing w:before="24" w:after="24"/>
              <w:rPr>
                <w:rFonts w:ascii="Times New Roman" w:hAnsi="Times New Roman"/>
                <w:color w:val="000000" w:themeColor="text1"/>
                <w:sz w:val="21"/>
                <w:u w:val="wave"/>
                <w14:textFill>
                  <w14:solidFill>
                    <w14:schemeClr w14:val="tx1"/>
                  </w14:solidFill>
                </w14:textFill>
              </w:rPr>
            </w:pPr>
            <w:r>
              <w:rPr>
                <w:rFonts w:ascii="Times New Roman" w:hAnsi="Times New Roman"/>
                <w:color w:val="000000" w:themeColor="text1"/>
                <w:sz w:val="21"/>
                <w:u w:val="wave"/>
                <w14:textFill>
                  <w14:solidFill>
                    <w14:schemeClr w14:val="tx1"/>
                  </w14:solidFill>
                </w14:textFill>
              </w:rPr>
              <w:t>按要求开展了各项环境管理内容</w:t>
            </w:r>
          </w:p>
        </w:tc>
        <w:tc>
          <w:tcPr>
            <w:tcW w:w="2060" w:type="dxa"/>
            <w:vAlign w:val="center"/>
          </w:tcPr>
          <w:p w14:paraId="5E82274C">
            <w:pPr>
              <w:pStyle w:val="63"/>
              <w:spacing w:before="24" w:after="24"/>
              <w:rPr>
                <w:rFonts w:ascii="Times New Roman" w:hAnsi="Times New Roman"/>
                <w:color w:val="000000" w:themeColor="text1"/>
                <w:sz w:val="21"/>
                <w:u w:val="wave"/>
                <w14:textFill>
                  <w14:solidFill>
                    <w14:schemeClr w14:val="tx1"/>
                  </w14:solidFill>
                </w14:textFill>
              </w:rPr>
            </w:pPr>
            <w:r>
              <w:rPr>
                <w:rFonts w:ascii="Times New Roman" w:hAnsi="Times New Roman"/>
                <w:color w:val="000000" w:themeColor="text1"/>
                <w:sz w:val="21"/>
                <w:u w:val="wave"/>
                <w14:textFill>
                  <w14:solidFill>
                    <w14:schemeClr w14:val="tx1"/>
                  </w14:solidFill>
                </w14:textFill>
              </w:rPr>
              <w:t>环境监测及监测报告</w:t>
            </w:r>
            <w:r>
              <w:rPr>
                <w:rFonts w:hint="eastAsia" w:ascii="Times New Roman" w:hAnsi="Times New Roman"/>
                <w:color w:val="000000" w:themeColor="text1"/>
                <w:sz w:val="21"/>
                <w:u w:val="wave"/>
                <w14:textFill>
                  <w14:solidFill>
                    <w14:schemeClr w14:val="tx1"/>
                  </w14:solidFill>
                </w14:textFill>
              </w:rPr>
              <w:t>；</w:t>
            </w:r>
            <w:r>
              <w:rPr>
                <w:rFonts w:ascii="Times New Roman" w:hAnsi="Times New Roman"/>
                <w:color w:val="000000" w:themeColor="text1"/>
                <w:sz w:val="21"/>
                <w:u w:val="wave"/>
                <w14:textFill>
                  <w14:solidFill>
                    <w14:schemeClr w14:val="tx1"/>
                  </w14:solidFill>
                </w14:textFill>
              </w:rPr>
              <w:t>环境监理报告</w:t>
            </w:r>
          </w:p>
        </w:tc>
        <w:tc>
          <w:tcPr>
            <w:tcW w:w="1997" w:type="dxa"/>
            <w:vAlign w:val="center"/>
          </w:tcPr>
          <w:p w14:paraId="000E254B">
            <w:pPr>
              <w:pStyle w:val="63"/>
              <w:spacing w:before="24" w:after="24"/>
              <w:rPr>
                <w:rFonts w:ascii="Times New Roman" w:hAnsi="Times New Roman"/>
                <w:color w:val="000000" w:themeColor="text1"/>
                <w:sz w:val="21"/>
                <w:u w:val="wave"/>
                <w14:textFill>
                  <w14:solidFill>
                    <w14:schemeClr w14:val="tx1"/>
                  </w14:solidFill>
                </w14:textFill>
              </w:rPr>
            </w:pPr>
            <w:r>
              <w:rPr>
                <w:rFonts w:ascii="Times New Roman" w:hAnsi="Times New Roman"/>
                <w:color w:val="000000" w:themeColor="text1"/>
                <w:sz w:val="21"/>
                <w:u w:val="wave"/>
                <w14:textFill>
                  <w14:solidFill>
                    <w14:schemeClr w14:val="tx1"/>
                  </w14:solidFill>
                </w14:textFill>
              </w:rPr>
              <w:t>按要求开展了各项环境管理内容</w:t>
            </w:r>
          </w:p>
        </w:tc>
      </w:tr>
      <w:tr w14:paraId="049917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1" w:type="dxa"/>
            <w:vAlign w:val="center"/>
          </w:tcPr>
          <w:p w14:paraId="458F41DC">
            <w:pPr>
              <w:pStyle w:val="63"/>
              <w:spacing w:before="24" w:after="24"/>
              <w:rPr>
                <w:rFonts w:ascii="Times New Roman" w:hAnsi="Times New Roman"/>
                <w:color w:val="000000" w:themeColor="text1"/>
                <w:sz w:val="21"/>
                <w:u w:val="wave"/>
                <w14:textFill>
                  <w14:solidFill>
                    <w14:schemeClr w14:val="tx1"/>
                  </w14:solidFill>
                </w14:textFill>
              </w:rPr>
            </w:pPr>
            <w:r>
              <w:rPr>
                <w:rFonts w:ascii="Times New Roman" w:hAnsi="Times New Roman"/>
                <w:color w:val="000000" w:themeColor="text1"/>
                <w:sz w:val="21"/>
                <w:u w:val="wave"/>
                <w14:textFill>
                  <w14:solidFill>
                    <w14:schemeClr w14:val="tx1"/>
                  </w14:solidFill>
                </w14:textFill>
              </w:rPr>
              <w:t>其他</w:t>
            </w:r>
          </w:p>
        </w:tc>
        <w:tc>
          <w:tcPr>
            <w:tcW w:w="2080" w:type="dxa"/>
            <w:vAlign w:val="center"/>
          </w:tcPr>
          <w:p w14:paraId="43ECAD08">
            <w:pPr>
              <w:pStyle w:val="63"/>
              <w:spacing w:before="24" w:after="24"/>
              <w:rPr>
                <w:rFonts w:ascii="Times New Roman" w:hAnsi="Times New Roman"/>
                <w:color w:val="000000" w:themeColor="text1"/>
                <w:sz w:val="21"/>
                <w:u w:val="wave"/>
                <w14:textFill>
                  <w14:solidFill>
                    <w14:schemeClr w14:val="tx1"/>
                  </w14:solidFill>
                </w14:textFill>
              </w:rPr>
            </w:pPr>
            <w:r>
              <w:rPr>
                <w:rFonts w:ascii="Times New Roman" w:hAnsi="Times New Roman"/>
                <w:color w:val="000000" w:themeColor="text1"/>
                <w:sz w:val="21"/>
                <w:u w:val="wave"/>
                <w14:textFill>
                  <w14:solidFill>
                    <w14:schemeClr w14:val="tx1"/>
                  </w14:solidFill>
                </w14:textFill>
              </w:rPr>
              <w:t>/</w:t>
            </w:r>
          </w:p>
        </w:tc>
        <w:tc>
          <w:tcPr>
            <w:tcW w:w="1944" w:type="dxa"/>
            <w:vAlign w:val="center"/>
          </w:tcPr>
          <w:p w14:paraId="617D26EC">
            <w:pPr>
              <w:pStyle w:val="63"/>
              <w:spacing w:before="24" w:after="24"/>
              <w:rPr>
                <w:rFonts w:ascii="Times New Roman" w:hAnsi="Times New Roman"/>
                <w:color w:val="000000" w:themeColor="text1"/>
                <w:sz w:val="21"/>
                <w:u w:val="wave"/>
                <w14:textFill>
                  <w14:solidFill>
                    <w14:schemeClr w14:val="tx1"/>
                  </w14:solidFill>
                </w14:textFill>
              </w:rPr>
            </w:pPr>
            <w:r>
              <w:rPr>
                <w:rFonts w:ascii="Times New Roman" w:hAnsi="Times New Roman"/>
                <w:color w:val="000000" w:themeColor="text1"/>
                <w:sz w:val="21"/>
                <w:u w:val="wave"/>
                <w14:textFill>
                  <w14:solidFill>
                    <w14:schemeClr w14:val="tx1"/>
                  </w14:solidFill>
                </w14:textFill>
              </w:rPr>
              <w:t>/</w:t>
            </w:r>
          </w:p>
        </w:tc>
        <w:tc>
          <w:tcPr>
            <w:tcW w:w="2060" w:type="dxa"/>
            <w:vAlign w:val="center"/>
          </w:tcPr>
          <w:p w14:paraId="54A84704">
            <w:pPr>
              <w:pStyle w:val="63"/>
              <w:spacing w:before="24" w:after="24"/>
              <w:rPr>
                <w:rFonts w:ascii="Times New Roman" w:hAnsi="Times New Roman"/>
                <w:color w:val="000000" w:themeColor="text1"/>
                <w:sz w:val="21"/>
                <w:u w:val="wave"/>
                <w14:textFill>
                  <w14:solidFill>
                    <w14:schemeClr w14:val="tx1"/>
                  </w14:solidFill>
                </w14:textFill>
              </w:rPr>
            </w:pPr>
            <w:r>
              <w:rPr>
                <w:rFonts w:ascii="Times New Roman" w:hAnsi="Times New Roman"/>
                <w:color w:val="000000" w:themeColor="text1"/>
                <w:sz w:val="21"/>
                <w:u w:val="wave"/>
                <w14:textFill>
                  <w14:solidFill>
                    <w14:schemeClr w14:val="tx1"/>
                  </w14:solidFill>
                </w14:textFill>
              </w:rPr>
              <w:t>/</w:t>
            </w:r>
          </w:p>
        </w:tc>
        <w:tc>
          <w:tcPr>
            <w:tcW w:w="1997" w:type="dxa"/>
            <w:vAlign w:val="center"/>
          </w:tcPr>
          <w:p w14:paraId="2A32B611">
            <w:pPr>
              <w:pStyle w:val="63"/>
              <w:spacing w:before="24" w:after="24"/>
              <w:rPr>
                <w:rFonts w:ascii="Times New Roman" w:hAnsi="Times New Roman"/>
                <w:color w:val="000000" w:themeColor="text1"/>
                <w:sz w:val="21"/>
                <w:u w:val="wave"/>
                <w14:textFill>
                  <w14:solidFill>
                    <w14:schemeClr w14:val="tx1"/>
                  </w14:solidFill>
                </w14:textFill>
              </w:rPr>
            </w:pPr>
            <w:r>
              <w:rPr>
                <w:rFonts w:ascii="Times New Roman" w:hAnsi="Times New Roman"/>
                <w:color w:val="000000" w:themeColor="text1"/>
                <w:sz w:val="21"/>
                <w:u w:val="wave"/>
                <w14:textFill>
                  <w14:solidFill>
                    <w14:schemeClr w14:val="tx1"/>
                  </w14:solidFill>
                </w14:textFill>
              </w:rPr>
              <w:t>/</w:t>
            </w:r>
          </w:p>
        </w:tc>
      </w:tr>
    </w:tbl>
    <w:p w14:paraId="773E3BD8">
      <w:pPr>
        <w:rPr>
          <w:color w:val="000000" w:themeColor="text1"/>
          <w:u w:val="wave"/>
          <w14:textFill>
            <w14:solidFill>
              <w14:schemeClr w14:val="tx1"/>
            </w14:solidFill>
          </w14:textFill>
        </w:rPr>
      </w:pPr>
    </w:p>
    <w:p w14:paraId="18240D99">
      <w:pPr>
        <w:pStyle w:val="2"/>
        <w:rPr>
          <w:snapToGrid w:val="0"/>
          <w:color w:val="000000" w:themeColor="text1"/>
          <w14:textFill>
            <w14:solidFill>
              <w14:schemeClr w14:val="tx1"/>
            </w14:solidFill>
          </w14:textFill>
        </w:rPr>
      </w:pPr>
      <w:r>
        <w:rPr>
          <w:snapToGrid w:val="0"/>
          <w:color w:val="000000" w:themeColor="text1"/>
          <w:u w:val="wave"/>
          <w14:textFill>
            <w14:solidFill>
              <w14:schemeClr w14:val="tx1"/>
            </w14:solidFill>
          </w14:textFill>
        </w:rPr>
        <w:br w:type="page"/>
      </w:r>
      <w:bookmarkStart w:id="281" w:name="_Toc27911"/>
      <w:r>
        <w:rPr>
          <w:snapToGrid w:val="0"/>
          <w:color w:val="000000" w:themeColor="text1"/>
          <w14:textFill>
            <w14:solidFill>
              <w14:schemeClr w14:val="tx1"/>
            </w14:solidFill>
          </w14:textFill>
        </w:rPr>
        <w:t>七、结论</w:t>
      </w:r>
      <w:bookmarkEnd w:id="281"/>
    </w:p>
    <w:tbl>
      <w:tblPr>
        <w:tblStyle w:val="26"/>
        <w:tblW w:w="852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55C06C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49" w:hRule="atLeast"/>
          <w:jc w:val="center"/>
        </w:trPr>
        <w:tc>
          <w:tcPr>
            <w:tcW w:w="8522" w:type="dxa"/>
          </w:tcPr>
          <w:p w14:paraId="1D317FE5">
            <w:pPr>
              <w:pStyle w:val="3"/>
              <w:spacing w:before="120" w:beforeLines="50"/>
              <w:rPr>
                <w:rFonts w:cs="Times New Roman"/>
                <w:color w:val="000000" w:themeColor="text1"/>
                <w14:textFill>
                  <w14:solidFill>
                    <w14:schemeClr w14:val="tx1"/>
                  </w14:solidFill>
                </w14:textFill>
              </w:rPr>
            </w:pPr>
            <w:r>
              <w:rPr>
                <w:rFonts w:cs="Times New Roman"/>
                <w:color w:val="000000" w:themeColor="text1"/>
                <w:lang w:val="en-US"/>
                <w14:textFill>
                  <w14:solidFill>
                    <w14:schemeClr w14:val="tx1"/>
                  </w14:solidFill>
                </w14:textFill>
              </w:rPr>
              <w:t>7.1</w:t>
            </w:r>
            <w:r>
              <w:rPr>
                <w:rFonts w:cs="Times New Roman"/>
                <w:color w:val="000000" w:themeColor="text1"/>
                <w14:textFill>
                  <w14:solidFill>
                    <w14:schemeClr w14:val="tx1"/>
                  </w14:solidFill>
                </w14:textFill>
              </w:rPr>
              <w:t>结论</w:t>
            </w:r>
          </w:p>
          <w:p w14:paraId="010A017A">
            <w:pPr>
              <w:pStyle w:val="7"/>
              <w:adjustRightInd w:val="0"/>
              <w:snapToGrid w:val="0"/>
              <w:ind w:firstLine="480" w:firstLineChars="200"/>
              <w:rPr>
                <w:color w:val="FF0000"/>
              </w:rPr>
            </w:pPr>
            <w:bookmarkStart w:id="282" w:name="_Hlk29988164"/>
            <w:bookmarkStart w:id="283" w:name="_Toc429411625"/>
            <w:bookmarkStart w:id="284" w:name="_Toc469994088"/>
            <w:r>
              <w:rPr>
                <w:rFonts w:hint="eastAsia"/>
                <w:color w:val="000000" w:themeColor="text1"/>
                <w14:textFill>
                  <w14:solidFill>
                    <w14:schemeClr w14:val="tx1"/>
                  </w14:solidFill>
                </w14:textFill>
              </w:rPr>
              <w:t>项目符合产业政策，符合国家和地方的相关规划。风电场占地不涉及国家公园、自然保护区、森林公园、风景名胜区、世界文化与自然遗产地、饮用水水源保护区等环境敏感区域，不涉及鸟类迁徙通道和迁徙地，未处于生态保护红线、Ⅰ级保护林地、一级国家公益林地范围，不涉及天然林和单位面积蓄积量高的林地以及基岩风化严重或生态脆弱、毁损后难以恢复的区域，没有制约性或重大环境影响因素。</w:t>
            </w:r>
            <w:bookmarkEnd w:id="282"/>
            <w:bookmarkEnd w:id="283"/>
            <w:bookmarkEnd w:id="284"/>
          </w:p>
          <w:p w14:paraId="47AD6A85">
            <w:pPr>
              <w:ind w:firstLine="420"/>
              <w:rPr>
                <w:color w:val="FF0000"/>
              </w:rPr>
            </w:pPr>
          </w:p>
          <w:p w14:paraId="13C97A60">
            <w:pPr>
              <w:ind w:firstLine="480" w:firstLineChars="200"/>
              <w:rPr>
                <w:color w:val="FF0000"/>
              </w:rPr>
            </w:pPr>
          </w:p>
          <w:p w14:paraId="0E2EF9AF">
            <w:pPr>
              <w:ind w:firstLine="480" w:firstLineChars="200"/>
              <w:rPr>
                <w:color w:val="FF0000"/>
              </w:rPr>
            </w:pPr>
          </w:p>
        </w:tc>
      </w:tr>
    </w:tbl>
    <w:p w14:paraId="4BAFAB6B">
      <w:pPr>
        <w:rPr>
          <w:color w:val="FF0000"/>
        </w:rPr>
        <w:sectPr>
          <w:pgSz w:w="11906" w:h="16838"/>
          <w:pgMar w:top="1440" w:right="1800" w:bottom="1440" w:left="1800" w:header="851" w:footer="1077" w:gutter="0"/>
          <w:pgBorders>
            <w:top w:val="none" w:sz="0" w:space="0"/>
            <w:left w:val="none" w:sz="0" w:space="0"/>
            <w:bottom w:val="none" w:sz="0" w:space="0"/>
            <w:right w:val="none" w:sz="0" w:space="0"/>
          </w:pgBorders>
          <w:cols w:space="720" w:num="1"/>
          <w:docGrid w:linePitch="312" w:charSpace="0"/>
        </w:sectPr>
      </w:pPr>
    </w:p>
    <w:p w14:paraId="0CF1845A">
      <w:pPr>
        <w:widowControl/>
        <w:jc w:val="left"/>
        <w:rPr>
          <w:color w:val="FF0000"/>
        </w:rPr>
        <w:sectPr>
          <w:footerReference r:id="rId10" w:type="default"/>
          <w:type w:val="continuous"/>
          <w:pgSz w:w="11906" w:h="16838"/>
          <w:pgMar w:top="1440" w:right="1800" w:bottom="1440" w:left="1800" w:header="851" w:footer="1077" w:gutter="0"/>
          <w:pgBorders>
            <w:top w:val="none" w:sz="0" w:space="0"/>
            <w:left w:val="none" w:sz="0" w:space="0"/>
            <w:bottom w:val="none" w:sz="0" w:space="0"/>
            <w:right w:val="none" w:sz="0" w:space="0"/>
          </w:pgBorders>
          <w:cols w:space="720" w:num="1"/>
          <w:docGrid w:linePitch="312" w:charSpace="0"/>
        </w:sectPr>
      </w:pPr>
    </w:p>
    <w:p w14:paraId="1C21B47E">
      <w:pPr>
        <w:pStyle w:val="112"/>
        <w:spacing w:line="360" w:lineRule="auto"/>
        <w:ind w:firstLine="0"/>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附件1 委托书</w:t>
      </w:r>
    </w:p>
    <w:p w14:paraId="4DAF0113">
      <w:pPr>
        <w:pStyle w:val="112"/>
        <w:spacing w:line="360" w:lineRule="auto"/>
        <w:ind w:firstLine="0"/>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附件2通道侗族自治县人民政府支持本项目的复函</w:t>
      </w:r>
    </w:p>
    <w:p w14:paraId="325DDAB2">
      <w:pPr>
        <w:pStyle w:val="112"/>
        <w:spacing w:line="360" w:lineRule="auto"/>
        <w:ind w:firstLine="0"/>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附件3湖南省发展和改革委员会关于同意本项目开发建设的复函</w:t>
      </w:r>
    </w:p>
    <w:p w14:paraId="05A0ED67">
      <w:pPr>
        <w:pStyle w:val="112"/>
        <w:spacing w:line="360" w:lineRule="auto"/>
        <w:ind w:firstLine="0"/>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附件4：怀化市生态环境局</w:t>
      </w:r>
      <w:r>
        <w:rPr>
          <w:rFonts w:hint="eastAsia" w:cs="Times New Roman"/>
          <w:color w:val="000000" w:themeColor="text1"/>
          <w:lang w:eastAsia="zh-CN"/>
          <w14:textFill>
            <w14:solidFill>
              <w14:schemeClr w14:val="tx1"/>
            </w14:solidFill>
          </w14:textFill>
        </w:rPr>
        <w:t>通道</w:t>
      </w:r>
      <w:r>
        <w:rPr>
          <w:rFonts w:hint="eastAsia" w:ascii="Times New Roman" w:hAnsi="Times New Roman" w:cs="Times New Roman"/>
          <w:color w:val="000000" w:themeColor="text1"/>
          <w14:textFill>
            <w14:solidFill>
              <w14:schemeClr w14:val="tx1"/>
            </w14:solidFill>
          </w14:textFill>
        </w:rPr>
        <w:t>分局关于本项目的选址意见</w:t>
      </w:r>
    </w:p>
    <w:p w14:paraId="0055AF37">
      <w:pPr>
        <w:pStyle w:val="112"/>
        <w:spacing w:line="360" w:lineRule="auto"/>
        <w:ind w:firstLine="0"/>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附件5：通道县自然资源局关于本项目的选址意见</w:t>
      </w:r>
    </w:p>
    <w:p w14:paraId="6B735A8A">
      <w:pPr>
        <w:pStyle w:val="112"/>
        <w:spacing w:line="360" w:lineRule="auto"/>
        <w:ind w:firstLine="0"/>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附件6：通道县水利局关于本项目的选址意见</w:t>
      </w:r>
    </w:p>
    <w:p w14:paraId="2DD36D13">
      <w:pPr>
        <w:pStyle w:val="112"/>
        <w:spacing w:line="360" w:lineRule="auto"/>
        <w:ind w:firstLine="0"/>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附件7：通道县林业局关于本项目选址的意见</w:t>
      </w:r>
    </w:p>
    <w:p w14:paraId="1A9CA85B">
      <w:pPr>
        <w:pStyle w:val="112"/>
        <w:spacing w:line="360" w:lineRule="auto"/>
        <w:ind w:firstLine="0"/>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附件8：通道县文旅局关于本项目选址的意见</w:t>
      </w:r>
    </w:p>
    <w:p w14:paraId="2AE7CC47">
      <w:pPr>
        <w:pStyle w:val="112"/>
        <w:spacing w:line="360" w:lineRule="auto"/>
        <w:ind w:firstLine="0"/>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附件9：关于本项目军事意见情况说明</w:t>
      </w:r>
    </w:p>
    <w:p w14:paraId="4C675467">
      <w:pPr>
        <w:pStyle w:val="112"/>
        <w:spacing w:line="360" w:lineRule="auto"/>
        <w:ind w:firstLine="0"/>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附件10：监测报告</w:t>
      </w:r>
    </w:p>
    <w:p w14:paraId="2BAD84F0">
      <w:pPr>
        <w:pStyle w:val="112"/>
        <w:spacing w:line="360" w:lineRule="auto"/>
        <w:ind w:firstLine="0"/>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附件11：营业执照</w:t>
      </w:r>
    </w:p>
    <w:p w14:paraId="74C1738C">
      <w:pPr>
        <w:pStyle w:val="112"/>
        <w:spacing w:line="360" w:lineRule="auto"/>
        <w:ind w:firstLine="0"/>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附件12：《通道县太平山风电场项目建设场地地质灾害危险性评估报告》审查认定书</w:t>
      </w:r>
    </w:p>
    <w:p w14:paraId="346DC3C1">
      <w:pPr>
        <w:pStyle w:val="112"/>
        <w:spacing w:line="360" w:lineRule="auto"/>
        <w:ind w:firstLine="0"/>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附件13：三区三线套合成果</w:t>
      </w:r>
    </w:p>
    <w:p w14:paraId="5F745222">
      <w:pPr>
        <w:pStyle w:val="112"/>
        <w:spacing w:line="360" w:lineRule="auto"/>
        <w:ind w:firstLine="0"/>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附件14：建设用地项目压覆重要矿产资源查询结果表</w:t>
      </w:r>
    </w:p>
    <w:p w14:paraId="38EE8C37">
      <w:pPr>
        <w:pStyle w:val="112"/>
        <w:spacing w:line="360" w:lineRule="auto"/>
        <w:ind w:firstLine="0"/>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附件15：项目用地预审意见</w:t>
      </w:r>
    </w:p>
    <w:p w14:paraId="0FE02996">
      <w:pPr>
        <w:pStyle w:val="112"/>
        <w:spacing w:line="360" w:lineRule="auto"/>
        <w:ind w:firstLine="0"/>
        <w:rPr>
          <w:rFonts w:hint="eastAsia" w:ascii="Times New Roman" w:hAnsi="Times New Roman" w:cs="Times New Roman"/>
          <w:color w:val="000000" w:themeColor="text1"/>
          <w14:textFill>
            <w14:solidFill>
              <w14:schemeClr w14:val="tx1"/>
            </w14:solidFill>
          </w14:textFill>
        </w:rPr>
      </w:pPr>
    </w:p>
    <w:p w14:paraId="6472A743">
      <w:pPr>
        <w:pStyle w:val="112"/>
        <w:spacing w:line="360" w:lineRule="auto"/>
        <w:ind w:firstLine="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附图1 项目地理位置图</w:t>
      </w:r>
    </w:p>
    <w:p w14:paraId="4CE5EF79">
      <w:pPr>
        <w:pStyle w:val="112"/>
        <w:spacing w:line="360" w:lineRule="auto"/>
        <w:ind w:firstLine="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附图2 项目附近水系图</w:t>
      </w:r>
    </w:p>
    <w:p w14:paraId="647CE3C2">
      <w:pPr>
        <w:pStyle w:val="112"/>
        <w:spacing w:line="360" w:lineRule="auto"/>
        <w:ind w:firstLine="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附图3 卫星影像图</w:t>
      </w:r>
    </w:p>
    <w:p w14:paraId="53462B0C">
      <w:pPr>
        <w:pStyle w:val="112"/>
        <w:spacing w:line="360" w:lineRule="auto"/>
        <w:ind w:firstLine="0"/>
        <w:rPr>
          <w:rFonts w:hint="eastAsia"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 xml:space="preserve">附图4 </w:t>
      </w:r>
      <w:r>
        <w:rPr>
          <w:rFonts w:hint="eastAsia" w:ascii="Times New Roman" w:hAnsi="Times New Roman"/>
          <w:color w:val="000000" w:themeColor="text1"/>
          <w:sz w:val="24"/>
          <w14:textFill>
            <w14:solidFill>
              <w14:schemeClr w14:val="tx1"/>
            </w14:solidFill>
          </w14:textFill>
        </w:rPr>
        <w:t>项目区水土流失现状图</w:t>
      </w:r>
    </w:p>
    <w:p w14:paraId="1ACC56A4">
      <w:pPr>
        <w:pStyle w:val="112"/>
        <w:spacing w:line="360" w:lineRule="auto"/>
        <w:ind w:firstLine="0"/>
        <w:rPr>
          <w:rFonts w:hint="eastAsia"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附图5</w:t>
      </w:r>
      <w:r>
        <w:rPr>
          <w:rFonts w:hint="eastAsia" w:ascii="Times New Roman" w:hAnsi="Times New Roman"/>
          <w:color w:val="000000" w:themeColor="text1"/>
          <w:sz w:val="24"/>
          <w14:textFill>
            <w14:solidFill>
              <w14:schemeClr w14:val="tx1"/>
            </w14:solidFill>
          </w14:textFill>
        </w:rPr>
        <w:t>升压站总平面布置图</w:t>
      </w:r>
    </w:p>
    <w:p w14:paraId="7194F363">
      <w:pPr>
        <w:pStyle w:val="112"/>
        <w:spacing w:line="360" w:lineRule="auto"/>
        <w:ind w:firstLine="0"/>
        <w:rPr>
          <w:rFonts w:hint="eastAsia"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 xml:space="preserve">附图6 </w:t>
      </w:r>
      <w:r>
        <w:rPr>
          <w:rFonts w:hint="eastAsia" w:ascii="Times New Roman" w:hAnsi="Times New Roman"/>
          <w:color w:val="000000" w:themeColor="text1"/>
          <w:sz w:val="24"/>
          <w14:textFill>
            <w14:solidFill>
              <w14:schemeClr w14:val="tx1"/>
            </w14:solidFill>
          </w14:textFill>
        </w:rPr>
        <w:t>总平面布置图</w:t>
      </w:r>
    </w:p>
    <w:p w14:paraId="1DFD8064">
      <w:pPr>
        <w:pStyle w:val="112"/>
        <w:spacing w:line="360" w:lineRule="auto"/>
        <w:ind w:firstLine="0"/>
        <w:rPr>
          <w:rFonts w:hint="eastAsia"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 xml:space="preserve">附图7 </w:t>
      </w:r>
      <w:r>
        <w:rPr>
          <w:rFonts w:hint="eastAsia" w:ascii="Times New Roman" w:hAnsi="Times New Roman"/>
          <w:color w:val="000000" w:themeColor="text1"/>
          <w:sz w:val="24"/>
          <w14:textFill>
            <w14:solidFill>
              <w14:schemeClr w14:val="tx1"/>
            </w14:solidFill>
          </w14:textFill>
        </w:rPr>
        <w:t>生态影响评价范围图</w:t>
      </w:r>
    </w:p>
    <w:p w14:paraId="47931888">
      <w:pPr>
        <w:pStyle w:val="112"/>
        <w:spacing w:line="360" w:lineRule="auto"/>
        <w:ind w:firstLine="0"/>
        <w:rPr>
          <w:rFonts w:hint="eastAsia"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 xml:space="preserve">附图8 </w:t>
      </w:r>
      <w:r>
        <w:rPr>
          <w:rFonts w:hint="eastAsia" w:ascii="Times New Roman" w:hAnsi="Times New Roman"/>
          <w:color w:val="000000" w:themeColor="text1"/>
          <w:sz w:val="24"/>
          <w14:textFill>
            <w14:solidFill>
              <w14:schemeClr w14:val="tx1"/>
            </w14:solidFill>
          </w14:textFill>
        </w:rPr>
        <w:t>生态影响现状调查点位、植物样方和动物样线分布示意图</w:t>
      </w:r>
    </w:p>
    <w:p w14:paraId="32C1ECA7">
      <w:pPr>
        <w:pStyle w:val="112"/>
        <w:spacing w:line="360" w:lineRule="auto"/>
        <w:ind w:firstLine="0"/>
        <w:rPr>
          <w:rFonts w:hint="eastAsia"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 xml:space="preserve">附图9 </w:t>
      </w:r>
      <w:r>
        <w:rPr>
          <w:rFonts w:hint="eastAsia"/>
          <w:color w:val="000000" w:themeColor="text1"/>
          <w:sz w:val="24"/>
          <w:lang w:eastAsia="zh-CN"/>
          <w14:textFill>
            <w14:solidFill>
              <w14:schemeClr w14:val="tx1"/>
            </w14:solidFill>
          </w14:textFill>
        </w:rPr>
        <w:t>生</w:t>
      </w:r>
      <w:r>
        <w:rPr>
          <w:rFonts w:hint="eastAsia" w:ascii="Times New Roman" w:hAnsi="Times New Roman"/>
          <w:color w:val="000000" w:themeColor="text1"/>
          <w:sz w:val="24"/>
          <w14:textFill>
            <w14:solidFill>
              <w14:schemeClr w14:val="tx1"/>
            </w14:solidFill>
          </w14:textFill>
        </w:rPr>
        <w:t>态监测布点示意图</w:t>
      </w:r>
    </w:p>
    <w:p w14:paraId="60D40668">
      <w:pPr>
        <w:pStyle w:val="112"/>
        <w:spacing w:line="360" w:lineRule="auto"/>
        <w:ind w:firstLine="0"/>
        <w:rPr>
          <w:rFonts w:hint="eastAsia"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 xml:space="preserve">附图10 </w:t>
      </w:r>
      <w:r>
        <w:rPr>
          <w:rFonts w:hint="eastAsia" w:ascii="Times New Roman" w:hAnsi="Times New Roman"/>
          <w:color w:val="000000" w:themeColor="text1"/>
          <w:sz w:val="24"/>
          <w14:textFill>
            <w14:solidFill>
              <w14:schemeClr w14:val="tx1"/>
            </w14:solidFill>
          </w14:textFill>
        </w:rPr>
        <w:t>生态保护措施平面布置图</w:t>
      </w:r>
    </w:p>
    <w:p w14:paraId="24B7884A">
      <w:pPr>
        <w:pStyle w:val="112"/>
        <w:spacing w:line="360" w:lineRule="auto"/>
        <w:ind w:firstLine="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附图11</w:t>
      </w:r>
      <w:r>
        <w:rPr>
          <w:rFonts w:hint="eastAsia" w:ascii="Times New Roman" w:hAnsi="Times New Roman"/>
          <w:color w:val="000000" w:themeColor="text1"/>
          <w:sz w:val="24"/>
          <w14:textFill>
            <w14:solidFill>
              <w14:schemeClr w14:val="tx1"/>
            </w14:solidFill>
          </w14:textFill>
        </w:rPr>
        <w:t xml:space="preserve"> 项目监测点位图 </w:t>
      </w:r>
    </w:p>
    <w:p w14:paraId="63DAD978">
      <w:pPr>
        <w:pStyle w:val="112"/>
        <w:spacing w:line="360" w:lineRule="auto"/>
        <w:ind w:firstLine="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附图1</w:t>
      </w:r>
      <w:r>
        <w:rPr>
          <w:rFonts w:hint="eastAsia"/>
          <w:color w:val="000000" w:themeColor="text1"/>
          <w:sz w:val="24"/>
          <w:lang w:val="en-US" w:eastAsia="zh-CN"/>
          <w14:textFill>
            <w14:solidFill>
              <w14:schemeClr w14:val="tx1"/>
            </w14:solidFill>
          </w14:textFill>
        </w:rPr>
        <w:t>2</w:t>
      </w:r>
      <w:r>
        <w:rPr>
          <w:rFonts w:ascii="Times New Roman" w:hAnsi="Times New Roman"/>
          <w:color w:val="000000" w:themeColor="text1"/>
          <w:sz w:val="24"/>
          <w14:textFill>
            <w14:solidFill>
              <w14:schemeClr w14:val="tx1"/>
            </w14:solidFill>
          </w14:textFill>
        </w:rPr>
        <w:t xml:space="preserve"> </w:t>
      </w:r>
      <w:r>
        <w:rPr>
          <w:rFonts w:hint="eastAsia" w:ascii="Times New Roman" w:hAnsi="Times New Roman"/>
          <w:color w:val="000000" w:themeColor="text1"/>
          <w:sz w:val="24"/>
          <w14:textFill>
            <w14:solidFill>
              <w14:schemeClr w14:val="tx1"/>
            </w14:solidFill>
          </w14:textFill>
        </w:rPr>
        <w:t>工程与鸟类迁徙路线位置关系图</w:t>
      </w:r>
    </w:p>
    <w:p w14:paraId="4D82CD53">
      <w:pPr>
        <w:pStyle w:val="112"/>
        <w:spacing w:line="360" w:lineRule="auto"/>
        <w:ind w:firstLine="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附图1</w:t>
      </w:r>
      <w:r>
        <w:rPr>
          <w:rFonts w:hint="eastAsia"/>
          <w:color w:val="000000" w:themeColor="text1"/>
          <w:sz w:val="24"/>
          <w:lang w:val="en-US" w:eastAsia="zh-CN"/>
          <w14:textFill>
            <w14:solidFill>
              <w14:schemeClr w14:val="tx1"/>
            </w14:solidFill>
          </w14:textFill>
        </w:rPr>
        <w:t>3</w:t>
      </w:r>
      <w:r>
        <w:rPr>
          <w:rFonts w:ascii="Times New Roman" w:hAnsi="Times New Roman"/>
          <w:color w:val="000000" w:themeColor="text1"/>
          <w:sz w:val="24"/>
          <w14:textFill>
            <w14:solidFill>
              <w14:schemeClr w14:val="tx1"/>
            </w14:solidFill>
          </w14:textFill>
        </w:rPr>
        <w:t xml:space="preserve"> </w:t>
      </w:r>
      <w:r>
        <w:rPr>
          <w:rFonts w:hint="eastAsia" w:ascii="Times New Roman" w:hAnsi="Times New Roman"/>
          <w:color w:val="000000" w:themeColor="text1"/>
          <w:sz w:val="24"/>
          <w14:textFill>
            <w14:solidFill>
              <w14:schemeClr w14:val="tx1"/>
            </w14:solidFill>
          </w14:textFill>
        </w:rPr>
        <w:t>生态影响评价区土地利用现状示意图</w:t>
      </w:r>
    </w:p>
    <w:p w14:paraId="3242BECA">
      <w:pPr>
        <w:pStyle w:val="112"/>
        <w:spacing w:line="360" w:lineRule="auto"/>
        <w:ind w:firstLine="0"/>
        <w:rPr>
          <w:rFonts w:hint="eastAsia"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附图1</w:t>
      </w:r>
      <w:r>
        <w:rPr>
          <w:rFonts w:hint="eastAsia"/>
          <w:color w:val="000000" w:themeColor="text1"/>
          <w:sz w:val="24"/>
          <w:lang w:val="en-US" w:eastAsia="zh-CN"/>
          <w14:textFill>
            <w14:solidFill>
              <w14:schemeClr w14:val="tx1"/>
            </w14:solidFill>
          </w14:textFill>
        </w:rPr>
        <w:t>4</w:t>
      </w:r>
      <w:r>
        <w:rPr>
          <w:rFonts w:ascii="Times New Roman" w:hAnsi="Times New Roman"/>
          <w:color w:val="000000" w:themeColor="text1"/>
          <w:sz w:val="24"/>
          <w14:textFill>
            <w14:solidFill>
              <w14:schemeClr w14:val="tx1"/>
            </w14:solidFill>
          </w14:textFill>
        </w:rPr>
        <w:t xml:space="preserve"> </w:t>
      </w:r>
      <w:r>
        <w:rPr>
          <w:rFonts w:hint="eastAsia" w:ascii="Times New Roman" w:hAnsi="Times New Roman"/>
          <w:color w:val="000000" w:themeColor="text1"/>
          <w:sz w:val="24"/>
          <w14:textFill>
            <w14:solidFill>
              <w14:schemeClr w14:val="tx1"/>
            </w14:solidFill>
          </w14:textFill>
        </w:rPr>
        <w:t xml:space="preserve">生态影响评价区植被类型图 </w:t>
      </w:r>
    </w:p>
    <w:p w14:paraId="0AA8BAB3">
      <w:pPr>
        <w:jc w:val="left"/>
        <w:rPr>
          <w:rFonts w:hint="default"/>
          <w:lang w:val="en-US" w:eastAsia="zh-CN"/>
        </w:rPr>
      </w:pPr>
      <w:r>
        <w:rPr>
          <w:rFonts w:hint="eastAsia"/>
          <w:lang w:val="en-US" w:eastAsia="zh-CN"/>
        </w:rPr>
        <w:t>附图15</w:t>
      </w:r>
      <w:r>
        <w:rPr>
          <w:rFonts w:hint="default"/>
          <w:lang w:val="en-US" w:eastAsia="zh-CN"/>
        </w:rPr>
        <w:t>风机位300m</w:t>
      </w:r>
      <w:r>
        <w:rPr>
          <w:rFonts w:hint="eastAsia"/>
          <w:lang w:val="en-US" w:eastAsia="zh-CN"/>
        </w:rPr>
        <w:t>\500m</w:t>
      </w:r>
      <w:r>
        <w:rPr>
          <w:rFonts w:hint="default"/>
          <w:lang w:val="en-US" w:eastAsia="zh-CN"/>
        </w:rPr>
        <w:t>包络线卫星图</w:t>
      </w:r>
    </w:p>
    <w:p w14:paraId="63355504">
      <w:pPr>
        <w:pStyle w:val="112"/>
        <w:spacing w:line="360" w:lineRule="auto"/>
        <w:ind w:firstLine="0"/>
        <w:rPr>
          <w:rFonts w:hint="eastAsia" w:ascii="Times New Roman" w:hAnsi="Times New Roman"/>
          <w:color w:val="000000" w:themeColor="text1"/>
          <w:sz w:val="24"/>
          <w14:textFill>
            <w14:solidFill>
              <w14:schemeClr w14:val="tx1"/>
            </w14:solidFill>
          </w14:textFill>
        </w:rPr>
      </w:pPr>
    </w:p>
    <w:p w14:paraId="6F6E742F">
      <w:pPr>
        <w:rPr>
          <w:color w:val="FF0000"/>
        </w:rPr>
      </w:pPr>
    </w:p>
    <w:p w14:paraId="45D7FB95">
      <w:pPr>
        <w:pStyle w:val="2"/>
        <w:spacing w:before="120" w:after="120"/>
        <w:outlineLvl w:val="9"/>
        <w:rPr>
          <w:color w:val="FF0000"/>
        </w:rPr>
        <w:sectPr>
          <w:headerReference r:id="rId11" w:type="default"/>
          <w:footerReference r:id="rId12" w:type="default"/>
          <w:pgSz w:w="11906" w:h="16838"/>
          <w:pgMar w:top="1440" w:right="1797" w:bottom="1440" w:left="1797" w:header="851" w:footer="992" w:gutter="0"/>
          <w:pgBorders>
            <w:top w:val="none" w:sz="0" w:space="0"/>
            <w:left w:val="none" w:sz="0" w:space="0"/>
            <w:bottom w:val="none" w:sz="0" w:space="0"/>
            <w:right w:val="none" w:sz="0" w:space="0"/>
          </w:pgBorders>
          <w:cols w:space="720" w:num="1"/>
          <w:docGrid w:linePitch="326" w:charSpace="0"/>
        </w:sectPr>
      </w:pPr>
      <w:bookmarkStart w:id="285" w:name="_Toc110503731"/>
      <w:bookmarkStart w:id="286" w:name="_Toc25166_WPSOffice_Level1"/>
      <w:bookmarkStart w:id="287" w:name="_Toc2401_WPSOffice_Level1"/>
      <w:bookmarkStart w:id="288" w:name="_Toc31953"/>
      <w:bookmarkStart w:id="289" w:name="_Toc21110_WPSOffice_Level1"/>
      <w:bookmarkStart w:id="290" w:name="_Toc119425345"/>
    </w:p>
    <w:p w14:paraId="6306A61A">
      <w:pPr>
        <w:spacing w:after="240"/>
        <w:outlineLvl w:val="0"/>
        <w:rPr>
          <w:rFonts w:ascii="Times New Roman" w:hAnsi="Times New Roman" w:cs="Times New Roman"/>
          <w:b/>
          <w:bCs/>
          <w:color w:val="000000" w:themeColor="text1"/>
          <w:sz w:val="36"/>
          <w:szCs w:val="36"/>
          <w14:textFill>
            <w14:solidFill>
              <w14:schemeClr w14:val="tx1"/>
            </w14:solidFill>
          </w14:textFill>
        </w:rPr>
      </w:pPr>
      <w:bookmarkStart w:id="291" w:name="_Toc127093398"/>
      <w:bookmarkStart w:id="292" w:name="_Toc14115"/>
      <w:r>
        <w:rPr>
          <w:rFonts w:ascii="Times New Roman" w:hAnsi="Times New Roman" w:cs="Times New Roman"/>
          <w:b/>
          <w:bCs/>
          <w:color w:val="000000" w:themeColor="text1"/>
          <w:sz w:val="36"/>
          <w:szCs w:val="36"/>
          <w14:textFill>
            <w14:solidFill>
              <w14:schemeClr w14:val="tx1"/>
            </w14:solidFill>
          </w14:textFill>
        </w:rPr>
        <w:t>附录</w:t>
      </w:r>
      <w:r>
        <w:rPr>
          <w:rFonts w:hint="eastAsia" w:cs="Times New Roman"/>
          <w:b/>
          <w:bCs/>
          <w:color w:val="000000" w:themeColor="text1"/>
          <w:sz w:val="36"/>
          <w:szCs w:val="36"/>
          <w:lang w:val="en-US" w:eastAsia="zh-CN"/>
          <w14:textFill>
            <w14:solidFill>
              <w14:schemeClr w14:val="tx1"/>
            </w14:solidFill>
          </w14:textFill>
        </w:rPr>
        <w:t>1</w:t>
      </w:r>
      <w:r>
        <w:rPr>
          <w:rFonts w:ascii="Times New Roman" w:hAnsi="Times New Roman" w:cs="Times New Roman"/>
          <w:b/>
          <w:bCs/>
          <w:color w:val="000000" w:themeColor="text1"/>
          <w:sz w:val="36"/>
          <w:szCs w:val="36"/>
          <w14:textFill>
            <w14:solidFill>
              <w14:schemeClr w14:val="tx1"/>
            </w14:solidFill>
          </w14:textFill>
        </w:rPr>
        <w:t>：植物样方调查表</w:t>
      </w:r>
      <w:bookmarkEnd w:id="291"/>
    </w:p>
    <w:p w14:paraId="27AC5365">
      <w:pPr>
        <w:keepNext/>
        <w:keepLines/>
        <w:spacing w:before="120" w:beforeLines="50" w:after="120" w:afterLines="50" w:line="240" w:lineRule="auto"/>
        <w:jc w:val="center"/>
        <w:outlineLvl w:val="3"/>
        <w:rPr>
          <w:b/>
          <w:bCs/>
          <w:color w:val="000000" w:themeColor="text1"/>
          <w:szCs w:val="28"/>
          <w14:textFill>
            <w14:solidFill>
              <w14:schemeClr w14:val="tx1"/>
            </w14:solidFill>
          </w14:textFill>
        </w:rPr>
      </w:pPr>
      <w:bookmarkStart w:id="293" w:name="_Toc127093399"/>
      <w:r>
        <w:rPr>
          <w:rFonts w:hint="eastAsia"/>
          <w:b/>
          <w:bCs/>
          <w:color w:val="000000" w:themeColor="text1"/>
          <w:szCs w:val="28"/>
          <w14:textFill>
            <w14:solidFill>
              <w14:schemeClr w14:val="tx1"/>
            </w14:solidFill>
          </w14:textFill>
        </w:rPr>
        <w:t>植物群落样方调查表</w:t>
      </w:r>
      <w:r>
        <w:rPr>
          <w:b/>
          <w:bCs/>
          <w:color w:val="000000" w:themeColor="text1"/>
          <w:szCs w:val="28"/>
          <w14:textFill>
            <w14:solidFill>
              <w14:schemeClr w14:val="tx1"/>
            </w14:solidFill>
          </w14:textFill>
        </w:rPr>
        <w:t>1</w:t>
      </w:r>
      <w:r>
        <w:rPr>
          <w:rFonts w:hint="eastAsia"/>
          <w:b/>
          <w:bCs/>
          <w:color w:val="000000" w:themeColor="text1"/>
          <w:szCs w:val="28"/>
          <w14:textFill>
            <w14:solidFill>
              <w14:schemeClr w14:val="tx1"/>
            </w14:solidFill>
          </w14:textFill>
        </w:rPr>
        <w:t>（杉木林）</w:t>
      </w:r>
    </w:p>
    <w:tbl>
      <w:tblPr>
        <w:tblStyle w:val="26"/>
        <w:tblW w:w="851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91"/>
        <w:gridCol w:w="932"/>
        <w:gridCol w:w="1540"/>
        <w:gridCol w:w="274"/>
        <w:gridCol w:w="1369"/>
        <w:gridCol w:w="823"/>
        <w:gridCol w:w="410"/>
        <w:gridCol w:w="959"/>
        <w:gridCol w:w="1115"/>
      </w:tblGrid>
      <w:tr w14:paraId="22846D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1" w:type="dxa"/>
            <w:vMerge w:val="restart"/>
            <w:noWrap w:val="0"/>
            <w:vAlign w:val="center"/>
          </w:tcPr>
          <w:p w14:paraId="75DE0816">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植被类型</w:t>
            </w:r>
          </w:p>
        </w:tc>
        <w:tc>
          <w:tcPr>
            <w:tcW w:w="2746" w:type="dxa"/>
            <w:gridSpan w:val="3"/>
            <w:vMerge w:val="restart"/>
            <w:noWrap w:val="0"/>
            <w:vAlign w:val="center"/>
          </w:tcPr>
          <w:p w14:paraId="4CC041BF">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杉木林（Form. Cunninghamia lanceolata）</w:t>
            </w:r>
          </w:p>
        </w:tc>
        <w:tc>
          <w:tcPr>
            <w:tcW w:w="4676" w:type="dxa"/>
            <w:gridSpan w:val="5"/>
            <w:noWrap w:val="0"/>
            <w:vAlign w:val="center"/>
          </w:tcPr>
          <w:p w14:paraId="0890479F">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环境特征</w:t>
            </w:r>
          </w:p>
        </w:tc>
      </w:tr>
      <w:tr w14:paraId="42AE23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1" w:type="dxa"/>
            <w:vMerge w:val="continue"/>
            <w:noWrap w:val="0"/>
            <w:vAlign w:val="center"/>
          </w:tcPr>
          <w:p w14:paraId="036BBF92">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p>
        </w:tc>
        <w:tc>
          <w:tcPr>
            <w:tcW w:w="2746" w:type="dxa"/>
            <w:gridSpan w:val="3"/>
            <w:vMerge w:val="continue"/>
            <w:noWrap w:val="0"/>
            <w:vAlign w:val="center"/>
          </w:tcPr>
          <w:p w14:paraId="20EE77F4">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p>
        </w:tc>
        <w:tc>
          <w:tcPr>
            <w:tcW w:w="1369" w:type="dxa"/>
            <w:noWrap w:val="0"/>
            <w:vAlign w:val="center"/>
          </w:tcPr>
          <w:p w14:paraId="6DD79EA7">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地形</w:t>
            </w:r>
          </w:p>
        </w:tc>
        <w:tc>
          <w:tcPr>
            <w:tcW w:w="1233" w:type="dxa"/>
            <w:gridSpan w:val="2"/>
            <w:noWrap w:val="0"/>
            <w:vAlign w:val="center"/>
          </w:tcPr>
          <w:p w14:paraId="60289816">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海拔(m)</w:t>
            </w:r>
          </w:p>
        </w:tc>
        <w:tc>
          <w:tcPr>
            <w:tcW w:w="959" w:type="dxa"/>
            <w:noWrap w:val="0"/>
            <w:vAlign w:val="center"/>
          </w:tcPr>
          <w:p w14:paraId="0F423386">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坡向</w:t>
            </w:r>
          </w:p>
        </w:tc>
        <w:tc>
          <w:tcPr>
            <w:tcW w:w="1115" w:type="dxa"/>
            <w:noWrap w:val="0"/>
            <w:vAlign w:val="center"/>
          </w:tcPr>
          <w:p w14:paraId="4FFB5E95">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坡度(°)</w:t>
            </w:r>
          </w:p>
        </w:tc>
      </w:tr>
      <w:tr w14:paraId="4D5A6A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1" w:type="dxa"/>
            <w:noWrap w:val="0"/>
            <w:vAlign w:val="center"/>
          </w:tcPr>
          <w:p w14:paraId="30BE0886">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地点</w:t>
            </w:r>
          </w:p>
        </w:tc>
        <w:tc>
          <w:tcPr>
            <w:tcW w:w="2746" w:type="dxa"/>
            <w:gridSpan w:val="3"/>
            <w:noWrap w:val="0"/>
            <w:vAlign w:val="center"/>
          </w:tcPr>
          <w:p w14:paraId="6A8D4932">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cs="Times New Roman"/>
                <w:color w:val="000000" w:themeColor="text1"/>
                <w:kern w:val="0"/>
                <w:sz w:val="20"/>
                <w:szCs w:val="20"/>
                <w:lang w:val="en-US" w:eastAsia="zh-CN"/>
                <w14:textFill>
                  <w14:solidFill>
                    <w14:schemeClr w14:val="tx1"/>
                  </w14:solidFill>
                </w14:textFill>
              </w:rPr>
              <w:t>1号</w:t>
            </w:r>
            <w:r>
              <w:rPr>
                <w:rFonts w:hint="eastAsia" w:ascii="Times New Roman" w:hAnsi="Times New Roman" w:eastAsia="宋体" w:cs="Times New Roman"/>
                <w:color w:val="000000" w:themeColor="text1"/>
                <w:kern w:val="0"/>
                <w:sz w:val="20"/>
                <w:szCs w:val="20"/>
                <w14:textFill>
                  <w14:solidFill>
                    <w14:schemeClr w14:val="tx1"/>
                  </w14:solidFill>
                </w14:textFill>
              </w:rPr>
              <w:t>风机附近</w:t>
            </w:r>
          </w:p>
        </w:tc>
        <w:tc>
          <w:tcPr>
            <w:tcW w:w="1369" w:type="dxa"/>
            <w:noWrap w:val="0"/>
            <w:vAlign w:val="center"/>
          </w:tcPr>
          <w:p w14:paraId="56D48FF0">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坡地</w:t>
            </w:r>
          </w:p>
        </w:tc>
        <w:tc>
          <w:tcPr>
            <w:tcW w:w="1233" w:type="dxa"/>
            <w:gridSpan w:val="2"/>
            <w:noWrap w:val="0"/>
            <w:vAlign w:val="center"/>
          </w:tcPr>
          <w:p w14:paraId="2D8FEEC3">
            <w:pPr>
              <w:spacing w:line="240" w:lineRule="auto"/>
              <w:jc w:val="center"/>
              <w:rPr>
                <w:rFonts w:hint="default" w:ascii="Times New Roman" w:hAnsi="Times New Roman" w:eastAsia="宋体" w:cs="Times New Roman"/>
                <w:color w:val="000000" w:themeColor="text1"/>
                <w:kern w:val="0"/>
                <w:sz w:val="20"/>
                <w:szCs w:val="20"/>
                <w:lang w:val="en-US" w:eastAsia="zh-CN"/>
                <w14:textFill>
                  <w14:solidFill>
                    <w14:schemeClr w14:val="tx1"/>
                  </w14:solidFill>
                </w14:textFill>
              </w:rPr>
            </w:pPr>
            <w:r>
              <w:rPr>
                <w:rFonts w:hint="eastAsia" w:cs="Times New Roman"/>
                <w:color w:val="000000" w:themeColor="text1"/>
                <w:kern w:val="0"/>
                <w:sz w:val="20"/>
                <w:szCs w:val="20"/>
                <w:lang w:val="en-US" w:eastAsia="zh-CN"/>
                <w14:textFill>
                  <w14:solidFill>
                    <w14:schemeClr w14:val="tx1"/>
                  </w14:solidFill>
                </w14:textFill>
              </w:rPr>
              <w:t>640</w:t>
            </w:r>
          </w:p>
        </w:tc>
        <w:tc>
          <w:tcPr>
            <w:tcW w:w="959" w:type="dxa"/>
            <w:noWrap w:val="0"/>
            <w:vAlign w:val="center"/>
          </w:tcPr>
          <w:p w14:paraId="6E206DE1">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西南</w:t>
            </w:r>
          </w:p>
        </w:tc>
        <w:tc>
          <w:tcPr>
            <w:tcW w:w="1115" w:type="dxa"/>
            <w:noWrap w:val="0"/>
            <w:vAlign w:val="center"/>
          </w:tcPr>
          <w:p w14:paraId="4E98921A">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45</w:t>
            </w:r>
          </w:p>
        </w:tc>
      </w:tr>
      <w:tr w14:paraId="467FF7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1" w:type="dxa"/>
            <w:noWrap w:val="0"/>
            <w:vAlign w:val="center"/>
          </w:tcPr>
          <w:p w14:paraId="69F66515">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经纬度</w:t>
            </w:r>
          </w:p>
        </w:tc>
        <w:tc>
          <w:tcPr>
            <w:tcW w:w="7422" w:type="dxa"/>
            <w:gridSpan w:val="8"/>
            <w:noWrap w:val="0"/>
            <w:vAlign w:val="center"/>
          </w:tcPr>
          <w:p w14:paraId="0DF044E9">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E：109°73′07.449″，N：26°15′58.181″</w:t>
            </w:r>
          </w:p>
        </w:tc>
      </w:tr>
      <w:tr w14:paraId="791708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1" w:type="dxa"/>
            <w:noWrap w:val="0"/>
            <w:vAlign w:val="center"/>
          </w:tcPr>
          <w:p w14:paraId="7EF39C52">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样方编号</w:t>
            </w:r>
          </w:p>
        </w:tc>
        <w:tc>
          <w:tcPr>
            <w:tcW w:w="2472" w:type="dxa"/>
            <w:gridSpan w:val="2"/>
            <w:noWrap w:val="0"/>
            <w:vAlign w:val="center"/>
          </w:tcPr>
          <w:p w14:paraId="7F28D2BC">
            <w:pPr>
              <w:spacing w:line="240" w:lineRule="auto"/>
              <w:jc w:val="center"/>
              <w:rPr>
                <w:rFonts w:hint="eastAsia" w:ascii="Times New Roman" w:hAnsi="Times New Roman" w:eastAsia="宋体" w:cs="Times New Roman"/>
                <w:color w:val="000000" w:themeColor="text1"/>
                <w:kern w:val="0"/>
                <w:sz w:val="20"/>
                <w:szCs w:val="20"/>
                <w:lang w:eastAsia="zh-CN"/>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#1</w:t>
            </w:r>
          </w:p>
        </w:tc>
        <w:tc>
          <w:tcPr>
            <w:tcW w:w="2466" w:type="dxa"/>
            <w:gridSpan w:val="3"/>
            <w:noWrap w:val="0"/>
            <w:vAlign w:val="center"/>
          </w:tcPr>
          <w:p w14:paraId="35E0B16F">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样方大小</w:t>
            </w:r>
          </w:p>
        </w:tc>
        <w:tc>
          <w:tcPr>
            <w:tcW w:w="2484" w:type="dxa"/>
            <w:gridSpan w:val="3"/>
            <w:noWrap w:val="0"/>
            <w:vAlign w:val="center"/>
          </w:tcPr>
          <w:p w14:paraId="25DC48C7">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20m×20m</w:t>
            </w:r>
          </w:p>
        </w:tc>
      </w:tr>
      <w:tr w14:paraId="5EFE0B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1" w:type="dxa"/>
            <w:noWrap w:val="0"/>
            <w:vAlign w:val="center"/>
          </w:tcPr>
          <w:p w14:paraId="319B462A">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层次</w:t>
            </w:r>
          </w:p>
        </w:tc>
        <w:tc>
          <w:tcPr>
            <w:tcW w:w="7422" w:type="dxa"/>
            <w:gridSpan w:val="8"/>
            <w:noWrap w:val="0"/>
            <w:vAlign w:val="center"/>
          </w:tcPr>
          <w:p w14:paraId="6EE76CBE">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三层</w:t>
            </w:r>
          </w:p>
        </w:tc>
      </w:tr>
      <w:tr w14:paraId="7EBEA1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1" w:type="dxa"/>
            <w:noWrap w:val="0"/>
            <w:vAlign w:val="center"/>
          </w:tcPr>
          <w:p w14:paraId="1FED69DE">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分层</w:t>
            </w:r>
          </w:p>
        </w:tc>
        <w:tc>
          <w:tcPr>
            <w:tcW w:w="932" w:type="dxa"/>
            <w:noWrap w:val="0"/>
            <w:vAlign w:val="center"/>
          </w:tcPr>
          <w:p w14:paraId="0CE64111">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层盖度</w:t>
            </w:r>
          </w:p>
        </w:tc>
        <w:tc>
          <w:tcPr>
            <w:tcW w:w="6490" w:type="dxa"/>
            <w:gridSpan w:val="7"/>
            <w:noWrap w:val="0"/>
            <w:vAlign w:val="center"/>
          </w:tcPr>
          <w:p w14:paraId="314F8521">
            <w:pPr>
              <w:jc w:val="center"/>
              <w:rPr>
                <w:b/>
                <w:color w:val="000000"/>
                <w:szCs w:val="21"/>
                <w:highlight w:val="none"/>
              </w:rPr>
            </w:pPr>
            <w:r>
              <w:rPr>
                <w:rFonts w:hint="eastAsia" w:ascii="Times New Roman" w:hAnsi="Times New Roman" w:eastAsia="宋体" w:cs="Times New Roman"/>
                <w:color w:val="000000" w:themeColor="text1"/>
                <w:kern w:val="0"/>
                <w:sz w:val="20"/>
                <w:szCs w:val="20"/>
                <w14:textFill>
                  <w14:solidFill>
                    <w14:schemeClr w14:val="tx1"/>
                  </w14:solidFill>
                </w14:textFill>
              </w:rPr>
              <w:t>种类组成与生长状况</w:t>
            </w:r>
          </w:p>
        </w:tc>
      </w:tr>
      <w:tr w14:paraId="781BD7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1" w:type="dxa"/>
            <w:noWrap w:val="0"/>
            <w:vAlign w:val="center"/>
          </w:tcPr>
          <w:p w14:paraId="08AA36D4">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乔木层</w:t>
            </w:r>
          </w:p>
        </w:tc>
        <w:tc>
          <w:tcPr>
            <w:tcW w:w="932" w:type="dxa"/>
            <w:noWrap w:val="0"/>
            <w:vAlign w:val="center"/>
          </w:tcPr>
          <w:p w14:paraId="5E04FA63">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盖度</w:t>
            </w:r>
            <w:r>
              <w:rPr>
                <w:rFonts w:hint="eastAsia" w:ascii="Times New Roman" w:hAnsi="Times New Roman" w:eastAsia="宋体" w:cs="Times New Roman"/>
                <w:color w:val="000000" w:themeColor="text1"/>
                <w:kern w:val="0"/>
                <w:sz w:val="20"/>
                <w:szCs w:val="20"/>
                <w:lang w:val="en-US" w:eastAsia="zh-CN"/>
                <w14:textFill>
                  <w14:solidFill>
                    <w14:schemeClr w14:val="tx1"/>
                  </w14:solidFill>
                </w14:textFill>
              </w:rPr>
              <w:t>80</w:t>
            </w:r>
            <w:r>
              <w:rPr>
                <w:rFonts w:hint="eastAsia" w:ascii="Times New Roman" w:hAnsi="Times New Roman" w:eastAsia="宋体" w:cs="Times New Roman"/>
                <w:color w:val="000000" w:themeColor="text1"/>
                <w:kern w:val="0"/>
                <w:sz w:val="20"/>
                <w:szCs w:val="20"/>
                <w14:textFill>
                  <w14:solidFill>
                    <w14:schemeClr w14:val="tx1"/>
                  </w14:solidFill>
                </w14:textFill>
              </w:rPr>
              <w:t>%</w:t>
            </w:r>
          </w:p>
        </w:tc>
        <w:tc>
          <w:tcPr>
            <w:tcW w:w="6490" w:type="dxa"/>
            <w:gridSpan w:val="7"/>
            <w:noWrap w:val="0"/>
            <w:vAlign w:val="center"/>
          </w:tcPr>
          <w:p w14:paraId="5A99A18B">
            <w:pPr>
              <w:spacing w:line="240" w:lineRule="auto"/>
              <w:jc w:val="center"/>
              <w:rPr>
                <w:b/>
                <w:color w:val="000000"/>
                <w:szCs w:val="21"/>
                <w:highlight w:val="none"/>
              </w:rPr>
            </w:pPr>
            <w:r>
              <w:rPr>
                <w:rFonts w:hint="eastAsia" w:ascii="Times New Roman" w:hAnsi="Times New Roman" w:eastAsia="宋体" w:cs="Times New Roman"/>
                <w:color w:val="000000" w:themeColor="text1"/>
                <w:kern w:val="0"/>
                <w:sz w:val="20"/>
                <w:szCs w:val="20"/>
                <w14:textFill>
                  <w14:solidFill>
                    <w14:schemeClr w14:val="tx1"/>
                  </w14:solidFill>
                </w14:textFill>
              </w:rPr>
              <w:t>层均高3~10m，优势种为杉木（Cunninghamia lanceolata），高约6~10m，胸径6~15cm，盖度50~65%，常成单优势群落，少有伴生种山鸡椒（Litsea cubeba）、马尾松（Pinus massoniana）、青麸杨（Rhus potaninii）、青冈（Cyclobalanopsis glauca）等</w:t>
            </w:r>
          </w:p>
        </w:tc>
      </w:tr>
      <w:tr w14:paraId="33715F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1" w:type="dxa"/>
            <w:noWrap w:val="0"/>
            <w:vAlign w:val="center"/>
          </w:tcPr>
          <w:p w14:paraId="68FA254A">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灌木层</w:t>
            </w:r>
          </w:p>
        </w:tc>
        <w:tc>
          <w:tcPr>
            <w:tcW w:w="932" w:type="dxa"/>
            <w:noWrap w:val="0"/>
            <w:vAlign w:val="center"/>
          </w:tcPr>
          <w:p w14:paraId="09707B24">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盖度</w:t>
            </w:r>
            <w:r>
              <w:rPr>
                <w:rFonts w:hint="eastAsia" w:ascii="Times New Roman" w:hAnsi="Times New Roman" w:eastAsia="宋体" w:cs="Times New Roman"/>
                <w:color w:val="000000" w:themeColor="text1"/>
                <w:kern w:val="0"/>
                <w:sz w:val="20"/>
                <w:szCs w:val="20"/>
                <w:lang w:val="en-US" w:eastAsia="zh-CN"/>
                <w14:textFill>
                  <w14:solidFill>
                    <w14:schemeClr w14:val="tx1"/>
                  </w14:solidFill>
                </w14:textFill>
              </w:rPr>
              <w:t>25</w:t>
            </w:r>
            <w:r>
              <w:rPr>
                <w:rFonts w:hint="eastAsia" w:ascii="Times New Roman" w:hAnsi="Times New Roman" w:eastAsia="宋体" w:cs="Times New Roman"/>
                <w:color w:val="000000" w:themeColor="text1"/>
                <w:kern w:val="0"/>
                <w:sz w:val="20"/>
                <w:szCs w:val="20"/>
                <w14:textFill>
                  <w14:solidFill>
                    <w14:schemeClr w14:val="tx1"/>
                  </w14:solidFill>
                </w14:textFill>
              </w:rPr>
              <w:t>%</w:t>
            </w:r>
          </w:p>
        </w:tc>
        <w:tc>
          <w:tcPr>
            <w:tcW w:w="6490" w:type="dxa"/>
            <w:gridSpan w:val="7"/>
            <w:noWrap w:val="0"/>
            <w:vAlign w:val="center"/>
          </w:tcPr>
          <w:p w14:paraId="1FFD5BA5">
            <w:pPr>
              <w:spacing w:line="240" w:lineRule="auto"/>
              <w:jc w:val="center"/>
              <w:rPr>
                <w:b/>
                <w:color w:val="000000"/>
                <w:szCs w:val="21"/>
                <w:highlight w:val="none"/>
              </w:rPr>
            </w:pPr>
            <w:r>
              <w:rPr>
                <w:rFonts w:hint="eastAsia" w:ascii="Times New Roman" w:hAnsi="Times New Roman" w:eastAsia="宋体" w:cs="Times New Roman"/>
                <w:color w:val="000000" w:themeColor="text1"/>
                <w:kern w:val="0"/>
                <w:sz w:val="20"/>
                <w:szCs w:val="20"/>
                <w14:textFill>
                  <w14:solidFill>
                    <w14:schemeClr w14:val="tx1"/>
                  </w14:solidFill>
                </w14:textFill>
              </w:rPr>
              <w:t>均高约2m。优势种不明显，主要种类包括檵木（Loropetalum chinense）、盐肤木（Rhus chinensis）、红淡比（Cleyera japonica）、异叶榕（Ficus heteromorpha）、杜鹃（Rhododendron simsii）、细枝柃（Eurya loquaiana）等。</w:t>
            </w:r>
          </w:p>
        </w:tc>
      </w:tr>
      <w:tr w14:paraId="1581D7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1" w:type="dxa"/>
            <w:noWrap w:val="0"/>
            <w:vAlign w:val="center"/>
          </w:tcPr>
          <w:p w14:paraId="713927D6">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草本层</w:t>
            </w:r>
          </w:p>
        </w:tc>
        <w:tc>
          <w:tcPr>
            <w:tcW w:w="932" w:type="dxa"/>
            <w:noWrap w:val="0"/>
            <w:vAlign w:val="center"/>
          </w:tcPr>
          <w:p w14:paraId="09F78B11">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盖度</w:t>
            </w:r>
            <w:r>
              <w:rPr>
                <w:rFonts w:hint="eastAsia" w:ascii="Times New Roman" w:hAnsi="Times New Roman" w:eastAsia="宋体" w:cs="Times New Roman"/>
                <w:color w:val="000000" w:themeColor="text1"/>
                <w:kern w:val="0"/>
                <w:sz w:val="20"/>
                <w:szCs w:val="20"/>
                <w:lang w:val="en-US" w:eastAsia="zh-CN"/>
                <w14:textFill>
                  <w14:solidFill>
                    <w14:schemeClr w14:val="tx1"/>
                  </w14:solidFill>
                </w14:textFill>
              </w:rPr>
              <w:t>10</w:t>
            </w:r>
            <w:r>
              <w:rPr>
                <w:rFonts w:hint="eastAsia" w:ascii="Times New Roman" w:hAnsi="Times New Roman" w:eastAsia="宋体" w:cs="Times New Roman"/>
                <w:color w:val="000000" w:themeColor="text1"/>
                <w:kern w:val="0"/>
                <w:sz w:val="20"/>
                <w:szCs w:val="20"/>
                <w14:textFill>
                  <w14:solidFill>
                    <w14:schemeClr w14:val="tx1"/>
                  </w14:solidFill>
                </w14:textFill>
              </w:rPr>
              <w:t>%</w:t>
            </w:r>
          </w:p>
        </w:tc>
        <w:tc>
          <w:tcPr>
            <w:tcW w:w="6490" w:type="dxa"/>
            <w:gridSpan w:val="7"/>
            <w:noWrap w:val="0"/>
            <w:vAlign w:val="center"/>
          </w:tcPr>
          <w:p w14:paraId="741E9BBB">
            <w:pPr>
              <w:spacing w:line="240" w:lineRule="auto"/>
              <w:jc w:val="center"/>
              <w:rPr>
                <w:color w:val="000000"/>
                <w:szCs w:val="21"/>
                <w:highlight w:val="none"/>
              </w:rPr>
            </w:pPr>
            <w:r>
              <w:rPr>
                <w:rFonts w:hint="eastAsia" w:ascii="Times New Roman" w:hAnsi="Times New Roman" w:eastAsia="宋体" w:cs="Times New Roman"/>
                <w:color w:val="000000" w:themeColor="text1"/>
                <w:kern w:val="0"/>
                <w:sz w:val="20"/>
                <w:szCs w:val="20"/>
                <w14:textFill>
                  <w14:solidFill>
                    <w14:schemeClr w14:val="tx1"/>
                  </w14:solidFill>
                </w14:textFill>
              </w:rPr>
              <w:t>层均高0.2~1.2m。优势种为五节芒（Miscanthus floridulus），高0.2~1.2m，盖度10%，主要伴生种为江南卷柏（Selaginella moellendorffii）、求米草（Oplismenus undulatifolius）、南蛇棒（Amorphophallus dunnii）、渐尖毛蕨（Cyclosorus acuminatus）、黄花酢浆草（Oxalis pes-caprae）、荩草（Arthraxon hispidus）、三脉紫菀（Aster ageratoides）等。层外还包括有藤黄檀（Dalbergia hancei）、龙须藤（Bauhinia championii）等藤本植物。</w:t>
            </w:r>
          </w:p>
        </w:tc>
      </w:tr>
    </w:tbl>
    <w:p w14:paraId="023F175C">
      <w:pPr>
        <w:spacing w:before="120" w:beforeLines="50" w:line="240" w:lineRule="auto"/>
        <w:ind w:firstLine="2409" w:firstLineChars="1000"/>
        <w:jc w:val="both"/>
        <w:rPr>
          <w:bCs/>
          <w:color w:val="000000" w:themeColor="text1"/>
          <w:sz w:val="21"/>
          <w:szCs w:val="21"/>
          <w:u w:val="single"/>
          <w14:textFill>
            <w14:solidFill>
              <w14:schemeClr w14:val="tx1"/>
            </w14:solidFill>
          </w14:textFill>
        </w:rPr>
      </w:pPr>
      <w:r>
        <w:rPr>
          <w:rFonts w:hint="eastAsia"/>
          <w:b/>
          <w:bCs/>
          <w:color w:val="000000" w:themeColor="text1"/>
          <w:szCs w:val="28"/>
          <w14:textFill>
            <w14:solidFill>
              <w14:schemeClr w14:val="tx1"/>
            </w14:solidFill>
          </w14:textFill>
        </w:rPr>
        <w:t>植物群落样方调查表</w:t>
      </w:r>
      <w:r>
        <w:rPr>
          <w:b/>
          <w:bCs/>
          <w:color w:val="000000" w:themeColor="text1"/>
          <w:szCs w:val="28"/>
          <w14:textFill>
            <w14:solidFill>
              <w14:schemeClr w14:val="tx1"/>
            </w14:solidFill>
          </w14:textFill>
        </w:rPr>
        <w:t>2</w:t>
      </w:r>
      <w:r>
        <w:rPr>
          <w:rFonts w:hint="eastAsia"/>
          <w:b/>
          <w:bCs/>
          <w:color w:val="000000" w:themeColor="text1"/>
          <w:szCs w:val="28"/>
          <w14:textFill>
            <w14:solidFill>
              <w14:schemeClr w14:val="tx1"/>
            </w14:solidFill>
          </w14:textFill>
        </w:rPr>
        <w:t>（马尾松林）</w:t>
      </w:r>
    </w:p>
    <w:tbl>
      <w:tblPr>
        <w:tblStyle w:val="26"/>
        <w:tblW w:w="851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91"/>
        <w:gridCol w:w="932"/>
        <w:gridCol w:w="1540"/>
        <w:gridCol w:w="274"/>
        <w:gridCol w:w="1369"/>
        <w:gridCol w:w="823"/>
        <w:gridCol w:w="410"/>
        <w:gridCol w:w="959"/>
        <w:gridCol w:w="1115"/>
      </w:tblGrid>
      <w:tr w14:paraId="236C20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1" w:type="dxa"/>
            <w:vMerge w:val="restart"/>
            <w:noWrap w:val="0"/>
            <w:vAlign w:val="center"/>
          </w:tcPr>
          <w:p w14:paraId="687775CB">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植被类型</w:t>
            </w:r>
          </w:p>
        </w:tc>
        <w:tc>
          <w:tcPr>
            <w:tcW w:w="2746" w:type="dxa"/>
            <w:gridSpan w:val="3"/>
            <w:vMerge w:val="restart"/>
            <w:noWrap w:val="0"/>
            <w:vAlign w:val="center"/>
          </w:tcPr>
          <w:p w14:paraId="7082C46F">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马尾松林(Form.Pinus massoniana)</w:t>
            </w:r>
          </w:p>
        </w:tc>
        <w:tc>
          <w:tcPr>
            <w:tcW w:w="4676" w:type="dxa"/>
            <w:gridSpan w:val="5"/>
            <w:noWrap w:val="0"/>
            <w:vAlign w:val="center"/>
          </w:tcPr>
          <w:p w14:paraId="7721BFBA">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环境特征</w:t>
            </w:r>
          </w:p>
        </w:tc>
      </w:tr>
      <w:tr w14:paraId="6FDD3D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1" w:type="dxa"/>
            <w:vMerge w:val="continue"/>
            <w:noWrap w:val="0"/>
            <w:vAlign w:val="center"/>
          </w:tcPr>
          <w:p w14:paraId="477DB61B">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p>
        </w:tc>
        <w:tc>
          <w:tcPr>
            <w:tcW w:w="2746" w:type="dxa"/>
            <w:gridSpan w:val="3"/>
            <w:vMerge w:val="continue"/>
            <w:noWrap w:val="0"/>
            <w:vAlign w:val="center"/>
          </w:tcPr>
          <w:p w14:paraId="3C29D9E2">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p>
        </w:tc>
        <w:tc>
          <w:tcPr>
            <w:tcW w:w="1369" w:type="dxa"/>
            <w:noWrap w:val="0"/>
            <w:vAlign w:val="center"/>
          </w:tcPr>
          <w:p w14:paraId="1B1BB93D">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地形</w:t>
            </w:r>
          </w:p>
        </w:tc>
        <w:tc>
          <w:tcPr>
            <w:tcW w:w="1233" w:type="dxa"/>
            <w:gridSpan w:val="2"/>
            <w:noWrap w:val="0"/>
            <w:vAlign w:val="center"/>
          </w:tcPr>
          <w:p w14:paraId="6038F437">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海拔(m)</w:t>
            </w:r>
          </w:p>
        </w:tc>
        <w:tc>
          <w:tcPr>
            <w:tcW w:w="959" w:type="dxa"/>
            <w:noWrap w:val="0"/>
            <w:vAlign w:val="center"/>
          </w:tcPr>
          <w:p w14:paraId="63D69151">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坡向</w:t>
            </w:r>
          </w:p>
        </w:tc>
        <w:tc>
          <w:tcPr>
            <w:tcW w:w="1115" w:type="dxa"/>
            <w:noWrap w:val="0"/>
            <w:vAlign w:val="center"/>
          </w:tcPr>
          <w:p w14:paraId="5CAD227E">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坡度(°)</w:t>
            </w:r>
          </w:p>
        </w:tc>
      </w:tr>
      <w:tr w14:paraId="7038FC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1" w:type="dxa"/>
            <w:noWrap w:val="0"/>
            <w:vAlign w:val="center"/>
          </w:tcPr>
          <w:p w14:paraId="6BB4258B">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地点</w:t>
            </w:r>
          </w:p>
        </w:tc>
        <w:tc>
          <w:tcPr>
            <w:tcW w:w="2746" w:type="dxa"/>
            <w:gridSpan w:val="3"/>
            <w:noWrap w:val="0"/>
            <w:vAlign w:val="center"/>
          </w:tcPr>
          <w:p w14:paraId="2B7E72C7">
            <w:pPr>
              <w:spacing w:line="240" w:lineRule="auto"/>
              <w:jc w:val="center"/>
              <w:rPr>
                <w:rFonts w:hint="default" w:ascii="Times New Roman" w:hAnsi="Times New Roman" w:eastAsia="宋体" w:cs="Times New Roman"/>
                <w:color w:val="000000" w:themeColor="text1"/>
                <w:kern w:val="0"/>
                <w:sz w:val="20"/>
                <w:szCs w:val="20"/>
                <w:lang w:val="en-US" w:eastAsia="zh-CN"/>
                <w14:textFill>
                  <w14:solidFill>
                    <w14:schemeClr w14:val="tx1"/>
                  </w14:solidFill>
                </w14:textFill>
              </w:rPr>
            </w:pPr>
            <w:r>
              <w:rPr>
                <w:rFonts w:hint="eastAsia" w:cs="Times New Roman"/>
                <w:color w:val="000000" w:themeColor="text1"/>
                <w:kern w:val="0"/>
                <w:sz w:val="20"/>
                <w:szCs w:val="20"/>
                <w:lang w:val="en-US" w:eastAsia="zh-CN"/>
                <w14:textFill>
                  <w14:solidFill>
                    <w14:schemeClr w14:val="tx1"/>
                  </w14:solidFill>
                </w14:textFill>
              </w:rPr>
              <w:t>4号</w:t>
            </w:r>
            <w:r>
              <w:rPr>
                <w:rFonts w:hint="eastAsia" w:ascii="Times New Roman" w:hAnsi="Times New Roman" w:eastAsia="宋体" w:cs="Times New Roman"/>
                <w:color w:val="000000" w:themeColor="text1"/>
                <w:kern w:val="0"/>
                <w:sz w:val="20"/>
                <w:szCs w:val="20"/>
                <w14:textFill>
                  <w14:solidFill>
                    <w14:schemeClr w14:val="tx1"/>
                  </w14:solidFill>
                </w14:textFill>
              </w:rPr>
              <w:t>风机附近</w:t>
            </w:r>
          </w:p>
        </w:tc>
        <w:tc>
          <w:tcPr>
            <w:tcW w:w="1369" w:type="dxa"/>
            <w:noWrap w:val="0"/>
            <w:vAlign w:val="center"/>
          </w:tcPr>
          <w:p w14:paraId="37282D7E">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坡地</w:t>
            </w:r>
          </w:p>
        </w:tc>
        <w:tc>
          <w:tcPr>
            <w:tcW w:w="1233" w:type="dxa"/>
            <w:gridSpan w:val="2"/>
            <w:noWrap w:val="0"/>
            <w:vAlign w:val="center"/>
          </w:tcPr>
          <w:p w14:paraId="2A3DF372">
            <w:pPr>
              <w:spacing w:line="240" w:lineRule="auto"/>
              <w:jc w:val="center"/>
              <w:rPr>
                <w:rFonts w:hint="default" w:ascii="Times New Roman" w:hAnsi="Times New Roman" w:eastAsia="宋体" w:cs="Times New Roman"/>
                <w:color w:val="000000" w:themeColor="text1"/>
                <w:kern w:val="0"/>
                <w:sz w:val="20"/>
                <w:szCs w:val="20"/>
                <w:lang w:val="en-US" w:eastAsia="zh-CN"/>
                <w14:textFill>
                  <w14:solidFill>
                    <w14:schemeClr w14:val="tx1"/>
                  </w14:solidFill>
                </w14:textFill>
              </w:rPr>
            </w:pPr>
            <w:r>
              <w:rPr>
                <w:rFonts w:hint="eastAsia" w:cs="Times New Roman"/>
                <w:color w:val="000000" w:themeColor="text1"/>
                <w:kern w:val="0"/>
                <w:sz w:val="20"/>
                <w:szCs w:val="20"/>
                <w:lang w:val="en-US" w:eastAsia="zh-CN"/>
                <w14:textFill>
                  <w14:solidFill>
                    <w14:schemeClr w14:val="tx1"/>
                  </w14:solidFill>
                </w14:textFill>
              </w:rPr>
              <w:t>920</w:t>
            </w:r>
          </w:p>
        </w:tc>
        <w:tc>
          <w:tcPr>
            <w:tcW w:w="959" w:type="dxa"/>
            <w:noWrap w:val="0"/>
            <w:vAlign w:val="center"/>
          </w:tcPr>
          <w:p w14:paraId="0020124E">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西南</w:t>
            </w:r>
          </w:p>
        </w:tc>
        <w:tc>
          <w:tcPr>
            <w:tcW w:w="1115" w:type="dxa"/>
            <w:noWrap w:val="0"/>
            <w:vAlign w:val="center"/>
          </w:tcPr>
          <w:p w14:paraId="0DEBDDB3">
            <w:pPr>
              <w:spacing w:line="240" w:lineRule="auto"/>
              <w:jc w:val="center"/>
              <w:rPr>
                <w:rFonts w:hint="default" w:ascii="Times New Roman" w:hAnsi="Times New Roman" w:eastAsia="宋体" w:cs="Times New Roman"/>
                <w:color w:val="000000" w:themeColor="text1"/>
                <w:kern w:val="0"/>
                <w:sz w:val="20"/>
                <w:szCs w:val="20"/>
                <w:lang w:val="en-US" w:eastAsia="zh-CN"/>
                <w14:textFill>
                  <w14:solidFill>
                    <w14:schemeClr w14:val="tx1"/>
                  </w14:solidFill>
                </w14:textFill>
              </w:rPr>
            </w:pPr>
            <w:r>
              <w:rPr>
                <w:rFonts w:hint="eastAsia" w:cs="Times New Roman"/>
                <w:color w:val="000000" w:themeColor="text1"/>
                <w:kern w:val="0"/>
                <w:sz w:val="20"/>
                <w:szCs w:val="20"/>
                <w:lang w:val="en-US" w:eastAsia="zh-CN"/>
                <w14:textFill>
                  <w14:solidFill>
                    <w14:schemeClr w14:val="tx1"/>
                  </w14:solidFill>
                </w14:textFill>
              </w:rPr>
              <w:t>30</w:t>
            </w:r>
          </w:p>
        </w:tc>
      </w:tr>
      <w:tr w14:paraId="729806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1" w:type="dxa"/>
            <w:noWrap w:val="0"/>
            <w:vAlign w:val="center"/>
          </w:tcPr>
          <w:p w14:paraId="45034A2A">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经纬度</w:t>
            </w:r>
          </w:p>
        </w:tc>
        <w:tc>
          <w:tcPr>
            <w:tcW w:w="7422" w:type="dxa"/>
            <w:gridSpan w:val="8"/>
            <w:noWrap w:val="0"/>
            <w:vAlign w:val="center"/>
          </w:tcPr>
          <w:p w14:paraId="2A90B02B">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E：109°70′23.114″，N：26°15′49.110″</w:t>
            </w:r>
          </w:p>
        </w:tc>
      </w:tr>
      <w:tr w14:paraId="1751BC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1" w:type="dxa"/>
            <w:noWrap w:val="0"/>
            <w:vAlign w:val="center"/>
          </w:tcPr>
          <w:p w14:paraId="72314D5E">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样方编号</w:t>
            </w:r>
          </w:p>
        </w:tc>
        <w:tc>
          <w:tcPr>
            <w:tcW w:w="2472" w:type="dxa"/>
            <w:gridSpan w:val="2"/>
            <w:noWrap w:val="0"/>
            <w:vAlign w:val="center"/>
          </w:tcPr>
          <w:p w14:paraId="17227AB7">
            <w:pPr>
              <w:spacing w:line="240" w:lineRule="auto"/>
              <w:jc w:val="center"/>
              <w:rPr>
                <w:rFonts w:hint="eastAsia" w:ascii="Times New Roman" w:hAnsi="Times New Roman" w:eastAsia="宋体" w:cs="Times New Roman"/>
                <w:color w:val="000000" w:themeColor="text1"/>
                <w:kern w:val="0"/>
                <w:sz w:val="20"/>
                <w:szCs w:val="20"/>
                <w:lang w:eastAsia="zh-CN"/>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w:t>
            </w:r>
            <w:r>
              <w:rPr>
                <w:rFonts w:hint="eastAsia" w:cs="Times New Roman"/>
                <w:color w:val="000000" w:themeColor="text1"/>
                <w:kern w:val="0"/>
                <w:sz w:val="20"/>
                <w:szCs w:val="20"/>
                <w:lang w:val="en-US" w:eastAsia="zh-CN"/>
                <w14:textFill>
                  <w14:solidFill>
                    <w14:schemeClr w14:val="tx1"/>
                  </w14:solidFill>
                </w14:textFill>
              </w:rPr>
              <w:t>2</w:t>
            </w:r>
          </w:p>
        </w:tc>
        <w:tc>
          <w:tcPr>
            <w:tcW w:w="2466" w:type="dxa"/>
            <w:gridSpan w:val="3"/>
            <w:noWrap w:val="0"/>
            <w:vAlign w:val="center"/>
          </w:tcPr>
          <w:p w14:paraId="5E2A5F00">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样方大小</w:t>
            </w:r>
          </w:p>
        </w:tc>
        <w:tc>
          <w:tcPr>
            <w:tcW w:w="2484" w:type="dxa"/>
            <w:gridSpan w:val="3"/>
            <w:noWrap w:val="0"/>
            <w:vAlign w:val="center"/>
          </w:tcPr>
          <w:p w14:paraId="2E9D6457">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20m×20m</w:t>
            </w:r>
          </w:p>
        </w:tc>
      </w:tr>
      <w:tr w14:paraId="0C3BBD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1" w:type="dxa"/>
            <w:noWrap w:val="0"/>
            <w:vAlign w:val="center"/>
          </w:tcPr>
          <w:p w14:paraId="77F97EB4">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层次</w:t>
            </w:r>
          </w:p>
        </w:tc>
        <w:tc>
          <w:tcPr>
            <w:tcW w:w="7422" w:type="dxa"/>
            <w:gridSpan w:val="8"/>
            <w:noWrap w:val="0"/>
            <w:vAlign w:val="center"/>
          </w:tcPr>
          <w:p w14:paraId="5DD0B0F2">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三层</w:t>
            </w:r>
          </w:p>
        </w:tc>
      </w:tr>
      <w:tr w14:paraId="6EC4BD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1" w:type="dxa"/>
            <w:noWrap w:val="0"/>
            <w:vAlign w:val="center"/>
          </w:tcPr>
          <w:p w14:paraId="728CDC06">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分层</w:t>
            </w:r>
          </w:p>
        </w:tc>
        <w:tc>
          <w:tcPr>
            <w:tcW w:w="932" w:type="dxa"/>
            <w:noWrap w:val="0"/>
            <w:vAlign w:val="center"/>
          </w:tcPr>
          <w:p w14:paraId="46385B23">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层盖度</w:t>
            </w:r>
          </w:p>
        </w:tc>
        <w:tc>
          <w:tcPr>
            <w:tcW w:w="6490" w:type="dxa"/>
            <w:gridSpan w:val="7"/>
            <w:noWrap w:val="0"/>
            <w:vAlign w:val="center"/>
          </w:tcPr>
          <w:p w14:paraId="6E8D6601">
            <w:pPr>
              <w:jc w:val="center"/>
              <w:rPr>
                <w:b/>
                <w:color w:val="000000"/>
                <w:szCs w:val="21"/>
                <w:highlight w:val="none"/>
              </w:rPr>
            </w:pPr>
            <w:r>
              <w:rPr>
                <w:rFonts w:hint="eastAsia" w:ascii="Times New Roman" w:hAnsi="Times New Roman" w:eastAsia="宋体" w:cs="Times New Roman"/>
                <w:color w:val="000000" w:themeColor="text1"/>
                <w:kern w:val="0"/>
                <w:sz w:val="20"/>
                <w:szCs w:val="20"/>
                <w14:textFill>
                  <w14:solidFill>
                    <w14:schemeClr w14:val="tx1"/>
                  </w14:solidFill>
                </w14:textFill>
              </w:rPr>
              <w:t>种类组成与生长状况</w:t>
            </w:r>
          </w:p>
        </w:tc>
      </w:tr>
      <w:tr w14:paraId="1047F8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1" w:type="dxa"/>
            <w:noWrap w:val="0"/>
            <w:vAlign w:val="center"/>
          </w:tcPr>
          <w:p w14:paraId="61940F1D">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乔木层</w:t>
            </w:r>
          </w:p>
        </w:tc>
        <w:tc>
          <w:tcPr>
            <w:tcW w:w="932" w:type="dxa"/>
            <w:noWrap w:val="0"/>
            <w:vAlign w:val="center"/>
          </w:tcPr>
          <w:p w14:paraId="4DC4C274">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郁闭度0.6</w:t>
            </w:r>
          </w:p>
        </w:tc>
        <w:tc>
          <w:tcPr>
            <w:tcW w:w="6490" w:type="dxa"/>
            <w:gridSpan w:val="7"/>
            <w:noWrap w:val="0"/>
            <w:vAlign w:val="center"/>
          </w:tcPr>
          <w:p w14:paraId="4948A63D">
            <w:pPr>
              <w:spacing w:line="240" w:lineRule="auto"/>
              <w:jc w:val="center"/>
              <w:rPr>
                <w:b/>
                <w:color w:val="000000"/>
                <w:szCs w:val="21"/>
                <w:highlight w:val="none"/>
              </w:rPr>
            </w:pPr>
            <w:r>
              <w:rPr>
                <w:rFonts w:hint="eastAsia" w:ascii="Times New Roman" w:hAnsi="Times New Roman" w:eastAsia="宋体" w:cs="Times New Roman"/>
                <w:color w:val="000000" w:themeColor="text1"/>
                <w:kern w:val="0"/>
                <w:sz w:val="20"/>
                <w:szCs w:val="20"/>
                <w14:textFill>
                  <w14:solidFill>
                    <w14:schemeClr w14:val="tx1"/>
                  </w14:solidFill>
                </w14:textFill>
              </w:rPr>
              <w:t>层均高约5m。优势种为马尾松(Pinus massoniana)，盖度约70%，高约5m，胸径6-10cm，为单优势群落。</w:t>
            </w:r>
          </w:p>
        </w:tc>
      </w:tr>
      <w:tr w14:paraId="6EB18C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1" w:type="dxa"/>
            <w:noWrap w:val="0"/>
            <w:vAlign w:val="center"/>
          </w:tcPr>
          <w:p w14:paraId="32013749">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灌木层</w:t>
            </w:r>
          </w:p>
        </w:tc>
        <w:tc>
          <w:tcPr>
            <w:tcW w:w="932" w:type="dxa"/>
            <w:noWrap w:val="0"/>
            <w:vAlign w:val="center"/>
          </w:tcPr>
          <w:p w14:paraId="34EEB5CF">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盖度48%</w:t>
            </w:r>
          </w:p>
        </w:tc>
        <w:tc>
          <w:tcPr>
            <w:tcW w:w="6490" w:type="dxa"/>
            <w:gridSpan w:val="7"/>
            <w:noWrap w:val="0"/>
            <w:vAlign w:val="center"/>
          </w:tcPr>
          <w:p w14:paraId="5902D242">
            <w:pPr>
              <w:spacing w:line="240" w:lineRule="auto"/>
              <w:jc w:val="center"/>
              <w:rPr>
                <w:b/>
                <w:color w:val="000000"/>
                <w:szCs w:val="21"/>
                <w:highlight w:val="none"/>
              </w:rPr>
            </w:pPr>
            <w:r>
              <w:rPr>
                <w:rFonts w:hint="eastAsia" w:ascii="Times New Roman" w:hAnsi="Times New Roman" w:eastAsia="宋体" w:cs="Times New Roman"/>
                <w:color w:val="000000" w:themeColor="text1"/>
                <w:kern w:val="0"/>
                <w:sz w:val="20"/>
                <w:szCs w:val="20"/>
                <w14:textFill>
                  <w14:solidFill>
                    <w14:schemeClr w14:val="tx1"/>
                  </w14:solidFill>
                </w14:textFill>
              </w:rPr>
              <w:t>层高约1m。无明显优势种，散生有白栎(Quercus fabri)、山橿(Lindera reflexa)、檵木(Loropetalum chinense)、米碎花(Eurya chinensis)、牛耳枫(Daphniphyllum calycinum)等。</w:t>
            </w:r>
          </w:p>
        </w:tc>
      </w:tr>
      <w:tr w14:paraId="435094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1" w:type="dxa"/>
            <w:noWrap w:val="0"/>
            <w:vAlign w:val="center"/>
          </w:tcPr>
          <w:p w14:paraId="1A54D8C9">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草本层</w:t>
            </w:r>
          </w:p>
        </w:tc>
        <w:tc>
          <w:tcPr>
            <w:tcW w:w="932" w:type="dxa"/>
            <w:noWrap w:val="0"/>
            <w:vAlign w:val="center"/>
          </w:tcPr>
          <w:p w14:paraId="4DC6D7ED">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盖度21%</w:t>
            </w:r>
          </w:p>
        </w:tc>
        <w:tc>
          <w:tcPr>
            <w:tcW w:w="6490" w:type="dxa"/>
            <w:gridSpan w:val="7"/>
            <w:noWrap w:val="0"/>
            <w:vAlign w:val="center"/>
          </w:tcPr>
          <w:p w14:paraId="659C06E2">
            <w:pPr>
              <w:spacing w:line="240" w:lineRule="auto"/>
              <w:jc w:val="center"/>
              <w:rPr>
                <w:color w:val="000000"/>
                <w:szCs w:val="21"/>
                <w:highlight w:val="none"/>
              </w:rPr>
            </w:pPr>
            <w:r>
              <w:rPr>
                <w:rFonts w:hint="eastAsia" w:ascii="Times New Roman" w:hAnsi="Times New Roman" w:eastAsia="宋体" w:cs="Times New Roman"/>
                <w:color w:val="000000" w:themeColor="text1"/>
                <w:kern w:val="0"/>
                <w:sz w:val="20"/>
                <w:szCs w:val="20"/>
                <w14:textFill>
                  <w14:solidFill>
                    <w14:schemeClr w14:val="tx1"/>
                  </w14:solidFill>
                </w14:textFill>
              </w:rPr>
              <w:t>层均高0.3m，优势种为芒萁(Dicranopteris pedata)，高0.1~0.4m，盖度20%主要伴生种为地胆草(Elephantopus scaber)、狗肝菜(Dicliptera chinensis)、紫花地丁(Viola philippica)、半边旗(Pteris semipinnata)等。</w:t>
            </w:r>
          </w:p>
        </w:tc>
      </w:tr>
    </w:tbl>
    <w:p w14:paraId="26DB5217">
      <w:pPr>
        <w:keepNext/>
        <w:keepLines/>
        <w:spacing w:before="120" w:beforeLines="50" w:after="120" w:afterLines="50" w:line="240" w:lineRule="auto"/>
        <w:ind w:firstLine="2650" w:firstLineChars="1100"/>
        <w:jc w:val="both"/>
        <w:outlineLvl w:val="3"/>
        <w:rPr>
          <w:b/>
          <w:bCs/>
          <w:color w:val="000000" w:themeColor="text1"/>
          <w:szCs w:val="28"/>
          <w14:textFill>
            <w14:solidFill>
              <w14:schemeClr w14:val="tx1"/>
            </w14:solidFill>
          </w14:textFill>
        </w:rPr>
      </w:pPr>
      <w:r>
        <w:rPr>
          <w:rFonts w:hint="eastAsia"/>
          <w:b/>
          <w:bCs/>
          <w:color w:val="000000" w:themeColor="text1"/>
          <w:szCs w:val="28"/>
          <w14:textFill>
            <w14:solidFill>
              <w14:schemeClr w14:val="tx1"/>
            </w14:solidFill>
          </w14:textFill>
        </w:rPr>
        <w:t>植物群落样方调查表</w:t>
      </w:r>
      <w:r>
        <w:rPr>
          <w:b/>
          <w:bCs/>
          <w:color w:val="000000" w:themeColor="text1"/>
          <w:szCs w:val="28"/>
          <w14:textFill>
            <w14:solidFill>
              <w14:schemeClr w14:val="tx1"/>
            </w14:solidFill>
          </w14:textFill>
        </w:rPr>
        <w:t>3</w:t>
      </w:r>
      <w:r>
        <w:rPr>
          <w:rFonts w:hint="eastAsia"/>
          <w:b/>
          <w:bCs/>
          <w:color w:val="000000" w:themeColor="text1"/>
          <w:szCs w:val="28"/>
          <w14:textFill>
            <w14:solidFill>
              <w14:schemeClr w14:val="tx1"/>
            </w14:solidFill>
          </w14:textFill>
        </w:rPr>
        <w:t>（椴树林）</w:t>
      </w:r>
    </w:p>
    <w:tbl>
      <w:tblPr>
        <w:tblStyle w:val="26"/>
        <w:tblW w:w="851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91"/>
        <w:gridCol w:w="932"/>
        <w:gridCol w:w="1540"/>
        <w:gridCol w:w="274"/>
        <w:gridCol w:w="1369"/>
        <w:gridCol w:w="823"/>
        <w:gridCol w:w="410"/>
        <w:gridCol w:w="959"/>
        <w:gridCol w:w="1115"/>
      </w:tblGrid>
      <w:tr w14:paraId="7D0830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1" w:type="dxa"/>
            <w:vMerge w:val="restart"/>
            <w:noWrap w:val="0"/>
            <w:vAlign w:val="center"/>
          </w:tcPr>
          <w:p w14:paraId="3148278B">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植被类型</w:t>
            </w:r>
          </w:p>
        </w:tc>
        <w:tc>
          <w:tcPr>
            <w:tcW w:w="2746" w:type="dxa"/>
            <w:gridSpan w:val="3"/>
            <w:vMerge w:val="restart"/>
            <w:noWrap w:val="0"/>
            <w:vAlign w:val="center"/>
          </w:tcPr>
          <w:p w14:paraId="47AE74D0">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栲树林（Castanopsis fargesii）</w:t>
            </w:r>
          </w:p>
        </w:tc>
        <w:tc>
          <w:tcPr>
            <w:tcW w:w="4676" w:type="dxa"/>
            <w:gridSpan w:val="5"/>
            <w:noWrap w:val="0"/>
            <w:vAlign w:val="center"/>
          </w:tcPr>
          <w:p w14:paraId="04A478C5">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环境特征</w:t>
            </w:r>
          </w:p>
        </w:tc>
      </w:tr>
      <w:tr w14:paraId="61033A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1" w:type="dxa"/>
            <w:vMerge w:val="continue"/>
            <w:noWrap w:val="0"/>
            <w:vAlign w:val="center"/>
          </w:tcPr>
          <w:p w14:paraId="0F458E39">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p>
        </w:tc>
        <w:tc>
          <w:tcPr>
            <w:tcW w:w="2746" w:type="dxa"/>
            <w:gridSpan w:val="3"/>
            <w:vMerge w:val="continue"/>
            <w:noWrap w:val="0"/>
            <w:vAlign w:val="center"/>
          </w:tcPr>
          <w:p w14:paraId="44EDAE57">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p>
        </w:tc>
        <w:tc>
          <w:tcPr>
            <w:tcW w:w="1369" w:type="dxa"/>
            <w:noWrap w:val="0"/>
            <w:vAlign w:val="center"/>
          </w:tcPr>
          <w:p w14:paraId="74EF1BBE">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地形</w:t>
            </w:r>
          </w:p>
        </w:tc>
        <w:tc>
          <w:tcPr>
            <w:tcW w:w="1233" w:type="dxa"/>
            <w:gridSpan w:val="2"/>
            <w:noWrap w:val="0"/>
            <w:vAlign w:val="center"/>
          </w:tcPr>
          <w:p w14:paraId="4C64FD3C">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海拔(m)</w:t>
            </w:r>
          </w:p>
        </w:tc>
        <w:tc>
          <w:tcPr>
            <w:tcW w:w="959" w:type="dxa"/>
            <w:noWrap w:val="0"/>
            <w:vAlign w:val="center"/>
          </w:tcPr>
          <w:p w14:paraId="653B620C">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坡向</w:t>
            </w:r>
          </w:p>
        </w:tc>
        <w:tc>
          <w:tcPr>
            <w:tcW w:w="1115" w:type="dxa"/>
            <w:noWrap w:val="0"/>
            <w:vAlign w:val="center"/>
          </w:tcPr>
          <w:p w14:paraId="5C25B402">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坡度(°)</w:t>
            </w:r>
          </w:p>
        </w:tc>
      </w:tr>
      <w:tr w14:paraId="4832EB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1" w:type="dxa"/>
            <w:noWrap w:val="0"/>
            <w:vAlign w:val="center"/>
          </w:tcPr>
          <w:p w14:paraId="7A191C7F">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地点</w:t>
            </w:r>
          </w:p>
        </w:tc>
        <w:tc>
          <w:tcPr>
            <w:tcW w:w="2746" w:type="dxa"/>
            <w:gridSpan w:val="3"/>
            <w:noWrap w:val="0"/>
            <w:vAlign w:val="center"/>
          </w:tcPr>
          <w:p w14:paraId="1BBEF2F9">
            <w:pPr>
              <w:spacing w:line="240" w:lineRule="auto"/>
              <w:ind w:firstLine="800" w:firstLineChars="400"/>
              <w:jc w:val="both"/>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cs="Times New Roman"/>
                <w:color w:val="000000" w:themeColor="text1"/>
                <w:kern w:val="0"/>
                <w:sz w:val="20"/>
                <w:szCs w:val="20"/>
                <w:lang w:val="en-US" w:eastAsia="zh-CN"/>
                <w14:textFill>
                  <w14:solidFill>
                    <w14:schemeClr w14:val="tx1"/>
                  </w14:solidFill>
                </w14:textFill>
              </w:rPr>
              <w:t>8号</w:t>
            </w:r>
            <w:r>
              <w:rPr>
                <w:rFonts w:hint="eastAsia" w:ascii="Times New Roman" w:hAnsi="Times New Roman" w:eastAsia="宋体" w:cs="Times New Roman"/>
                <w:color w:val="000000" w:themeColor="text1"/>
                <w:kern w:val="0"/>
                <w:sz w:val="20"/>
                <w:szCs w:val="20"/>
                <w14:textFill>
                  <w14:solidFill>
                    <w14:schemeClr w14:val="tx1"/>
                  </w14:solidFill>
                </w14:textFill>
              </w:rPr>
              <w:t>风机</w:t>
            </w:r>
          </w:p>
        </w:tc>
        <w:tc>
          <w:tcPr>
            <w:tcW w:w="1369" w:type="dxa"/>
            <w:noWrap w:val="0"/>
            <w:vAlign w:val="center"/>
          </w:tcPr>
          <w:p w14:paraId="70BC4B79">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坡地</w:t>
            </w:r>
          </w:p>
        </w:tc>
        <w:tc>
          <w:tcPr>
            <w:tcW w:w="1233" w:type="dxa"/>
            <w:gridSpan w:val="2"/>
            <w:noWrap w:val="0"/>
            <w:vAlign w:val="center"/>
          </w:tcPr>
          <w:p w14:paraId="091CC8C8">
            <w:pPr>
              <w:spacing w:line="240" w:lineRule="auto"/>
              <w:jc w:val="center"/>
              <w:rPr>
                <w:rFonts w:hint="default" w:ascii="Times New Roman" w:hAnsi="Times New Roman" w:eastAsia="宋体" w:cs="Times New Roman"/>
                <w:color w:val="000000" w:themeColor="text1"/>
                <w:kern w:val="0"/>
                <w:sz w:val="20"/>
                <w:szCs w:val="20"/>
                <w:lang w:val="en-US" w:eastAsia="zh-CN"/>
                <w14:textFill>
                  <w14:solidFill>
                    <w14:schemeClr w14:val="tx1"/>
                  </w14:solidFill>
                </w14:textFill>
              </w:rPr>
            </w:pPr>
            <w:r>
              <w:rPr>
                <w:rFonts w:hint="eastAsia" w:cs="Times New Roman"/>
                <w:color w:val="000000" w:themeColor="text1"/>
                <w:kern w:val="0"/>
                <w:sz w:val="20"/>
                <w:szCs w:val="20"/>
                <w:lang w:val="en-US" w:eastAsia="zh-CN"/>
                <w14:textFill>
                  <w14:solidFill>
                    <w14:schemeClr w14:val="tx1"/>
                  </w14:solidFill>
                </w14:textFill>
              </w:rPr>
              <w:t>950</w:t>
            </w:r>
          </w:p>
        </w:tc>
        <w:tc>
          <w:tcPr>
            <w:tcW w:w="959" w:type="dxa"/>
            <w:noWrap w:val="0"/>
            <w:vAlign w:val="center"/>
          </w:tcPr>
          <w:p w14:paraId="099D74FE">
            <w:pPr>
              <w:spacing w:line="240" w:lineRule="auto"/>
              <w:jc w:val="center"/>
              <w:rPr>
                <w:rFonts w:hint="eastAsia" w:ascii="Times New Roman" w:hAnsi="Times New Roman" w:eastAsia="宋体" w:cs="Times New Roman"/>
                <w:color w:val="000000" w:themeColor="text1"/>
                <w:kern w:val="0"/>
                <w:sz w:val="20"/>
                <w:szCs w:val="20"/>
                <w:lang w:eastAsia="zh-CN"/>
                <w14:textFill>
                  <w14:solidFill>
                    <w14:schemeClr w14:val="tx1"/>
                  </w14:solidFill>
                </w14:textFill>
              </w:rPr>
            </w:pPr>
            <w:r>
              <w:rPr>
                <w:rFonts w:hint="eastAsia" w:cs="Times New Roman"/>
                <w:color w:val="000000" w:themeColor="text1"/>
                <w:kern w:val="0"/>
                <w:sz w:val="20"/>
                <w:szCs w:val="20"/>
                <w:lang w:val="en-US" w:eastAsia="zh-CN"/>
                <w14:textFill>
                  <w14:solidFill>
                    <w14:schemeClr w14:val="tx1"/>
                  </w14:solidFill>
                </w14:textFill>
              </w:rPr>
              <w:t>北</w:t>
            </w:r>
          </w:p>
        </w:tc>
        <w:tc>
          <w:tcPr>
            <w:tcW w:w="1115" w:type="dxa"/>
            <w:noWrap w:val="0"/>
            <w:vAlign w:val="center"/>
          </w:tcPr>
          <w:p w14:paraId="31B7A560">
            <w:pPr>
              <w:spacing w:line="240" w:lineRule="auto"/>
              <w:jc w:val="center"/>
              <w:rPr>
                <w:rFonts w:hint="default" w:ascii="Times New Roman" w:hAnsi="Times New Roman" w:eastAsia="宋体" w:cs="Times New Roman"/>
                <w:color w:val="000000" w:themeColor="text1"/>
                <w:kern w:val="0"/>
                <w:sz w:val="20"/>
                <w:szCs w:val="20"/>
                <w:lang w:val="en-US" w:eastAsia="zh-CN"/>
                <w14:textFill>
                  <w14:solidFill>
                    <w14:schemeClr w14:val="tx1"/>
                  </w14:solidFill>
                </w14:textFill>
              </w:rPr>
            </w:pPr>
            <w:r>
              <w:rPr>
                <w:rFonts w:hint="eastAsia" w:cs="Times New Roman"/>
                <w:color w:val="000000" w:themeColor="text1"/>
                <w:kern w:val="0"/>
                <w:sz w:val="20"/>
                <w:szCs w:val="20"/>
                <w:lang w:val="en-US" w:eastAsia="zh-CN"/>
                <w14:textFill>
                  <w14:solidFill>
                    <w14:schemeClr w14:val="tx1"/>
                  </w14:solidFill>
                </w14:textFill>
              </w:rPr>
              <w:t>35</w:t>
            </w:r>
          </w:p>
        </w:tc>
      </w:tr>
      <w:tr w14:paraId="4B448F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1" w:type="dxa"/>
            <w:noWrap w:val="0"/>
            <w:vAlign w:val="center"/>
          </w:tcPr>
          <w:p w14:paraId="2F80898C">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经纬度</w:t>
            </w:r>
          </w:p>
        </w:tc>
        <w:tc>
          <w:tcPr>
            <w:tcW w:w="7422" w:type="dxa"/>
            <w:gridSpan w:val="8"/>
            <w:noWrap w:val="0"/>
            <w:vAlign w:val="center"/>
          </w:tcPr>
          <w:p w14:paraId="1CD453C5">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E：109°68′60.396″、N：26°14′36.517″</w:t>
            </w:r>
          </w:p>
        </w:tc>
      </w:tr>
      <w:tr w14:paraId="712BF4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1" w:type="dxa"/>
            <w:noWrap w:val="0"/>
            <w:vAlign w:val="center"/>
          </w:tcPr>
          <w:p w14:paraId="49168FF9">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样方编号</w:t>
            </w:r>
          </w:p>
        </w:tc>
        <w:tc>
          <w:tcPr>
            <w:tcW w:w="2472" w:type="dxa"/>
            <w:gridSpan w:val="2"/>
            <w:noWrap w:val="0"/>
            <w:vAlign w:val="center"/>
          </w:tcPr>
          <w:p w14:paraId="1737F007">
            <w:pPr>
              <w:spacing w:line="240" w:lineRule="auto"/>
              <w:jc w:val="center"/>
              <w:rPr>
                <w:rFonts w:hint="eastAsia" w:ascii="Times New Roman" w:hAnsi="Times New Roman" w:eastAsia="宋体" w:cs="Times New Roman"/>
                <w:color w:val="000000" w:themeColor="text1"/>
                <w:kern w:val="0"/>
                <w:sz w:val="20"/>
                <w:szCs w:val="20"/>
                <w:lang w:eastAsia="zh-CN"/>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w:t>
            </w:r>
            <w:r>
              <w:rPr>
                <w:rFonts w:hint="eastAsia" w:cs="Times New Roman"/>
                <w:color w:val="000000" w:themeColor="text1"/>
                <w:kern w:val="0"/>
                <w:sz w:val="20"/>
                <w:szCs w:val="20"/>
                <w:lang w:val="en-US" w:eastAsia="zh-CN"/>
                <w14:textFill>
                  <w14:solidFill>
                    <w14:schemeClr w14:val="tx1"/>
                  </w14:solidFill>
                </w14:textFill>
              </w:rPr>
              <w:t>3</w:t>
            </w:r>
          </w:p>
        </w:tc>
        <w:tc>
          <w:tcPr>
            <w:tcW w:w="2466" w:type="dxa"/>
            <w:gridSpan w:val="3"/>
            <w:noWrap w:val="0"/>
            <w:vAlign w:val="center"/>
          </w:tcPr>
          <w:p w14:paraId="2E5BCEC4">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样方大小</w:t>
            </w:r>
          </w:p>
        </w:tc>
        <w:tc>
          <w:tcPr>
            <w:tcW w:w="2484" w:type="dxa"/>
            <w:gridSpan w:val="3"/>
            <w:noWrap w:val="0"/>
            <w:vAlign w:val="center"/>
          </w:tcPr>
          <w:p w14:paraId="26C6A801">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20m×20m</w:t>
            </w:r>
          </w:p>
        </w:tc>
      </w:tr>
      <w:tr w14:paraId="3CA30C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1" w:type="dxa"/>
            <w:noWrap w:val="0"/>
            <w:vAlign w:val="center"/>
          </w:tcPr>
          <w:p w14:paraId="3ACCD235">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层次</w:t>
            </w:r>
          </w:p>
        </w:tc>
        <w:tc>
          <w:tcPr>
            <w:tcW w:w="7422" w:type="dxa"/>
            <w:gridSpan w:val="8"/>
            <w:noWrap w:val="0"/>
            <w:vAlign w:val="center"/>
          </w:tcPr>
          <w:p w14:paraId="6342DB8C">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三层</w:t>
            </w:r>
          </w:p>
        </w:tc>
      </w:tr>
      <w:tr w14:paraId="524593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1" w:type="dxa"/>
            <w:noWrap w:val="0"/>
            <w:vAlign w:val="center"/>
          </w:tcPr>
          <w:p w14:paraId="25B70368">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分层</w:t>
            </w:r>
          </w:p>
        </w:tc>
        <w:tc>
          <w:tcPr>
            <w:tcW w:w="932" w:type="dxa"/>
            <w:noWrap w:val="0"/>
            <w:vAlign w:val="center"/>
          </w:tcPr>
          <w:p w14:paraId="6158B5F1">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层盖度</w:t>
            </w:r>
          </w:p>
        </w:tc>
        <w:tc>
          <w:tcPr>
            <w:tcW w:w="6490" w:type="dxa"/>
            <w:gridSpan w:val="7"/>
            <w:noWrap w:val="0"/>
            <w:vAlign w:val="center"/>
          </w:tcPr>
          <w:p w14:paraId="0475E497">
            <w:pPr>
              <w:jc w:val="center"/>
              <w:rPr>
                <w:b/>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种类组成与生长状况</w:t>
            </w:r>
          </w:p>
        </w:tc>
      </w:tr>
      <w:tr w14:paraId="0B6261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1" w:type="dxa"/>
            <w:noWrap w:val="0"/>
            <w:vAlign w:val="center"/>
          </w:tcPr>
          <w:p w14:paraId="1ADF4B8E">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乔木层</w:t>
            </w:r>
          </w:p>
        </w:tc>
        <w:tc>
          <w:tcPr>
            <w:tcW w:w="932" w:type="dxa"/>
            <w:noWrap w:val="0"/>
            <w:vAlign w:val="center"/>
          </w:tcPr>
          <w:p w14:paraId="15D668C3">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盖度</w:t>
            </w:r>
            <w:r>
              <w:rPr>
                <w:rFonts w:hint="eastAsia" w:cs="Times New Roman"/>
                <w:color w:val="000000" w:themeColor="text1"/>
                <w:kern w:val="0"/>
                <w:sz w:val="20"/>
                <w:szCs w:val="20"/>
                <w:lang w:val="en-US" w:eastAsia="zh-CN"/>
                <w14:textFill>
                  <w14:solidFill>
                    <w14:schemeClr w14:val="tx1"/>
                  </w14:solidFill>
                </w14:textFill>
              </w:rPr>
              <w:t>7</w:t>
            </w:r>
            <w:r>
              <w:rPr>
                <w:rFonts w:hint="eastAsia" w:ascii="Times New Roman" w:hAnsi="Times New Roman" w:eastAsia="宋体" w:cs="Times New Roman"/>
                <w:color w:val="000000" w:themeColor="text1"/>
                <w:kern w:val="0"/>
                <w:sz w:val="20"/>
                <w:szCs w:val="20"/>
                <w:lang w:val="en-US" w:eastAsia="zh-CN"/>
                <w14:textFill>
                  <w14:solidFill>
                    <w14:schemeClr w14:val="tx1"/>
                  </w14:solidFill>
                </w14:textFill>
              </w:rPr>
              <w:t>0</w:t>
            </w:r>
            <w:r>
              <w:rPr>
                <w:rFonts w:hint="eastAsia" w:ascii="Times New Roman" w:hAnsi="Times New Roman" w:eastAsia="宋体" w:cs="Times New Roman"/>
                <w:color w:val="000000" w:themeColor="text1"/>
                <w:kern w:val="0"/>
                <w:sz w:val="20"/>
                <w:szCs w:val="20"/>
                <w14:textFill>
                  <w14:solidFill>
                    <w14:schemeClr w14:val="tx1"/>
                  </w14:solidFill>
                </w14:textFill>
              </w:rPr>
              <w:t>%</w:t>
            </w:r>
          </w:p>
        </w:tc>
        <w:tc>
          <w:tcPr>
            <w:tcW w:w="6490" w:type="dxa"/>
            <w:gridSpan w:val="7"/>
            <w:noWrap w:val="0"/>
            <w:vAlign w:val="center"/>
          </w:tcPr>
          <w:p w14:paraId="08724552">
            <w:pPr>
              <w:spacing w:line="240" w:lineRule="auto"/>
              <w:jc w:val="center"/>
              <w:rPr>
                <w:b/>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层均高约</w:t>
            </w:r>
            <w:r>
              <w:rPr>
                <w:rFonts w:hint="eastAsia" w:cs="Times New Roman"/>
                <w:color w:val="000000" w:themeColor="text1"/>
                <w:kern w:val="0"/>
                <w:sz w:val="20"/>
                <w:szCs w:val="20"/>
                <w:lang w:val="en-US" w:eastAsia="zh-CN"/>
                <w14:textFill>
                  <w14:solidFill>
                    <w14:schemeClr w14:val="tx1"/>
                  </w14:solidFill>
                </w14:textFill>
              </w:rPr>
              <w:t>9.0</w:t>
            </w:r>
            <w:r>
              <w:rPr>
                <w:rFonts w:hint="eastAsia" w:ascii="Times New Roman" w:hAnsi="Times New Roman" w:eastAsia="宋体" w:cs="Times New Roman"/>
                <w:color w:val="000000" w:themeColor="text1"/>
                <w:kern w:val="0"/>
                <w:sz w:val="20"/>
                <w:szCs w:val="20"/>
                <w14:textFill>
                  <w14:solidFill>
                    <w14:schemeClr w14:val="tx1"/>
                  </w14:solidFill>
                </w14:textFill>
              </w:rPr>
              <w:t>m，平均胸径20-25cm优势种为石栎等</w:t>
            </w:r>
          </w:p>
        </w:tc>
      </w:tr>
      <w:tr w14:paraId="501B6A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1" w:type="dxa"/>
            <w:noWrap w:val="0"/>
            <w:vAlign w:val="center"/>
          </w:tcPr>
          <w:p w14:paraId="6753A33F">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灌木层</w:t>
            </w:r>
          </w:p>
        </w:tc>
        <w:tc>
          <w:tcPr>
            <w:tcW w:w="932" w:type="dxa"/>
            <w:noWrap w:val="0"/>
            <w:vAlign w:val="center"/>
          </w:tcPr>
          <w:p w14:paraId="6114D1FD">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盖度</w:t>
            </w:r>
            <w:r>
              <w:rPr>
                <w:rFonts w:hint="eastAsia" w:cs="Times New Roman"/>
                <w:color w:val="000000" w:themeColor="text1"/>
                <w:kern w:val="0"/>
                <w:sz w:val="20"/>
                <w:szCs w:val="20"/>
                <w:lang w:val="en-US" w:eastAsia="zh-CN"/>
                <w14:textFill>
                  <w14:solidFill>
                    <w14:schemeClr w14:val="tx1"/>
                  </w14:solidFill>
                </w14:textFill>
              </w:rPr>
              <w:t>15</w:t>
            </w:r>
            <w:r>
              <w:rPr>
                <w:rFonts w:hint="eastAsia" w:ascii="Times New Roman" w:hAnsi="Times New Roman" w:eastAsia="宋体" w:cs="Times New Roman"/>
                <w:color w:val="000000" w:themeColor="text1"/>
                <w:kern w:val="0"/>
                <w:sz w:val="20"/>
                <w:szCs w:val="20"/>
                <w14:textFill>
                  <w14:solidFill>
                    <w14:schemeClr w14:val="tx1"/>
                  </w14:solidFill>
                </w14:textFill>
              </w:rPr>
              <w:t>%</w:t>
            </w:r>
          </w:p>
        </w:tc>
        <w:tc>
          <w:tcPr>
            <w:tcW w:w="6490" w:type="dxa"/>
            <w:gridSpan w:val="7"/>
            <w:noWrap w:val="0"/>
            <w:vAlign w:val="center"/>
          </w:tcPr>
          <w:p w14:paraId="2B71DA4D">
            <w:pPr>
              <w:spacing w:line="240" w:lineRule="auto"/>
              <w:jc w:val="center"/>
              <w:rPr>
                <w:rFonts w:hint="eastAsia" w:eastAsia="宋体"/>
                <w:b/>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层均高</w:t>
            </w:r>
            <w:r>
              <w:rPr>
                <w:rFonts w:hint="eastAsia" w:cs="Times New Roman"/>
                <w:color w:val="000000" w:themeColor="text1"/>
                <w:kern w:val="0"/>
                <w:sz w:val="20"/>
                <w:szCs w:val="20"/>
                <w:lang w:val="en-US" w:eastAsia="zh-CN"/>
                <w14:textFill>
                  <w14:solidFill>
                    <w14:schemeClr w14:val="tx1"/>
                  </w14:solidFill>
                </w14:textFill>
              </w:rPr>
              <w:t>2.5</w:t>
            </w:r>
            <w:r>
              <w:rPr>
                <w:rFonts w:hint="eastAsia" w:ascii="Times New Roman" w:hAnsi="Times New Roman" w:eastAsia="宋体" w:cs="Times New Roman"/>
                <w:color w:val="000000" w:themeColor="text1"/>
                <w:kern w:val="0"/>
                <w:sz w:val="20"/>
                <w:szCs w:val="20"/>
                <w14:textFill>
                  <w14:solidFill>
                    <w14:schemeClr w14:val="tx1"/>
                  </w14:solidFill>
                </w14:textFill>
              </w:rPr>
              <w:t>m，优势种盐肤木，另外还有棣棠等</w:t>
            </w:r>
            <w:r>
              <w:rPr>
                <w:rFonts w:hint="eastAsia" w:ascii="Times New Roman" w:hAnsi="Times New Roman" w:eastAsia="宋体" w:cs="Times New Roman"/>
                <w:color w:val="000000" w:themeColor="text1"/>
                <w:kern w:val="0"/>
                <w:sz w:val="20"/>
                <w:szCs w:val="20"/>
                <w:lang w:eastAsia="zh-CN"/>
                <w14:textFill>
                  <w14:solidFill>
                    <w14:schemeClr w14:val="tx1"/>
                  </w14:solidFill>
                </w14:textFill>
              </w:rPr>
              <w:t>。</w:t>
            </w:r>
          </w:p>
        </w:tc>
      </w:tr>
      <w:tr w14:paraId="4839F3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1" w:type="dxa"/>
            <w:noWrap w:val="0"/>
            <w:vAlign w:val="center"/>
          </w:tcPr>
          <w:p w14:paraId="6BB91BF8">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草本层</w:t>
            </w:r>
          </w:p>
        </w:tc>
        <w:tc>
          <w:tcPr>
            <w:tcW w:w="932" w:type="dxa"/>
            <w:noWrap w:val="0"/>
            <w:vAlign w:val="center"/>
          </w:tcPr>
          <w:p w14:paraId="5400E1ED">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盖度</w:t>
            </w:r>
            <w:r>
              <w:rPr>
                <w:rFonts w:hint="eastAsia" w:cs="Times New Roman"/>
                <w:color w:val="000000" w:themeColor="text1"/>
                <w:kern w:val="0"/>
                <w:sz w:val="20"/>
                <w:szCs w:val="20"/>
                <w:lang w:val="en-US" w:eastAsia="zh-CN"/>
                <w14:textFill>
                  <w14:solidFill>
                    <w14:schemeClr w14:val="tx1"/>
                  </w14:solidFill>
                </w14:textFill>
              </w:rPr>
              <w:t>5</w:t>
            </w:r>
            <w:r>
              <w:rPr>
                <w:rFonts w:hint="eastAsia" w:ascii="Times New Roman" w:hAnsi="Times New Roman" w:eastAsia="宋体" w:cs="Times New Roman"/>
                <w:color w:val="000000" w:themeColor="text1"/>
                <w:kern w:val="0"/>
                <w:sz w:val="20"/>
                <w:szCs w:val="20"/>
                <w14:textFill>
                  <w14:solidFill>
                    <w14:schemeClr w14:val="tx1"/>
                  </w14:solidFill>
                </w14:textFill>
              </w:rPr>
              <w:t>%</w:t>
            </w:r>
          </w:p>
        </w:tc>
        <w:tc>
          <w:tcPr>
            <w:tcW w:w="6490" w:type="dxa"/>
            <w:gridSpan w:val="7"/>
            <w:noWrap w:val="0"/>
            <w:vAlign w:val="center"/>
          </w:tcPr>
          <w:p w14:paraId="725CCF72">
            <w:pPr>
              <w:spacing w:line="240" w:lineRule="auto"/>
              <w:jc w:val="center"/>
              <w:rPr>
                <w:rFonts w:hint="eastAsia" w:eastAsia="宋体"/>
                <w:color w:val="000000" w:themeColor="text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层均高</w:t>
            </w:r>
            <w:r>
              <w:rPr>
                <w:rFonts w:hint="eastAsia" w:cs="Times New Roman"/>
                <w:color w:val="000000" w:themeColor="text1"/>
                <w:kern w:val="0"/>
                <w:sz w:val="20"/>
                <w:szCs w:val="20"/>
                <w:lang w:val="en-US" w:eastAsia="zh-CN"/>
                <w14:textFill>
                  <w14:solidFill>
                    <w14:schemeClr w14:val="tx1"/>
                  </w14:solidFill>
                </w14:textFill>
              </w:rPr>
              <w:t>2</w:t>
            </w:r>
            <w:r>
              <w:rPr>
                <w:rFonts w:hint="eastAsia" w:ascii="Times New Roman" w:hAnsi="Times New Roman" w:eastAsia="宋体" w:cs="Times New Roman"/>
                <w:color w:val="000000" w:themeColor="text1"/>
                <w:kern w:val="0"/>
                <w:sz w:val="20"/>
                <w:szCs w:val="20"/>
                <w14:textFill>
                  <w14:solidFill>
                    <w14:schemeClr w14:val="tx1"/>
                  </w14:solidFill>
                </w14:textFill>
              </w:rPr>
              <w:t>5cm，优势种为鸢尾，其他伴生种有堇菜等</w:t>
            </w:r>
            <w:r>
              <w:rPr>
                <w:rFonts w:hint="eastAsia" w:ascii="Times New Roman" w:hAnsi="Times New Roman" w:eastAsia="宋体" w:cs="Times New Roman"/>
                <w:color w:val="000000" w:themeColor="text1"/>
                <w:kern w:val="0"/>
                <w:sz w:val="20"/>
                <w:szCs w:val="20"/>
                <w:lang w:eastAsia="zh-CN"/>
                <w14:textFill>
                  <w14:solidFill>
                    <w14:schemeClr w14:val="tx1"/>
                  </w14:solidFill>
                </w14:textFill>
              </w:rPr>
              <w:t>。</w:t>
            </w:r>
          </w:p>
        </w:tc>
      </w:tr>
      <w:tr w14:paraId="1C74FD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1" w:type="dxa"/>
            <w:noWrap w:val="0"/>
            <w:vAlign w:val="center"/>
          </w:tcPr>
          <w:p w14:paraId="2EC178B3">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层间层</w:t>
            </w:r>
          </w:p>
        </w:tc>
        <w:tc>
          <w:tcPr>
            <w:tcW w:w="932" w:type="dxa"/>
            <w:noWrap w:val="0"/>
            <w:vAlign w:val="center"/>
          </w:tcPr>
          <w:p w14:paraId="1770F390">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盖度</w:t>
            </w:r>
            <w:r>
              <w:rPr>
                <w:rFonts w:hint="eastAsia" w:cs="Times New Roman"/>
                <w:color w:val="000000" w:themeColor="text1"/>
                <w:kern w:val="0"/>
                <w:sz w:val="20"/>
                <w:szCs w:val="20"/>
                <w:lang w:val="en-US" w:eastAsia="zh-CN"/>
                <w14:textFill>
                  <w14:solidFill>
                    <w14:schemeClr w14:val="tx1"/>
                  </w14:solidFill>
                </w14:textFill>
              </w:rPr>
              <w:t>1</w:t>
            </w:r>
            <w:r>
              <w:rPr>
                <w:rFonts w:hint="eastAsia" w:ascii="Times New Roman" w:hAnsi="Times New Roman" w:eastAsia="宋体" w:cs="Times New Roman"/>
                <w:color w:val="000000" w:themeColor="text1"/>
                <w:kern w:val="0"/>
                <w:sz w:val="20"/>
                <w:szCs w:val="20"/>
                <w:lang w:val="en-US" w:eastAsia="zh-CN"/>
                <w14:textFill>
                  <w14:solidFill>
                    <w14:schemeClr w14:val="tx1"/>
                  </w14:solidFill>
                </w14:textFill>
              </w:rPr>
              <w:t>0</w:t>
            </w:r>
            <w:r>
              <w:rPr>
                <w:rFonts w:hint="eastAsia" w:ascii="Times New Roman" w:hAnsi="Times New Roman" w:eastAsia="宋体" w:cs="Times New Roman"/>
                <w:color w:val="000000" w:themeColor="text1"/>
                <w:kern w:val="0"/>
                <w:sz w:val="20"/>
                <w:szCs w:val="20"/>
                <w14:textFill>
                  <w14:solidFill>
                    <w14:schemeClr w14:val="tx1"/>
                  </w14:solidFill>
                </w14:textFill>
              </w:rPr>
              <w:t>%</w:t>
            </w:r>
          </w:p>
        </w:tc>
        <w:tc>
          <w:tcPr>
            <w:tcW w:w="6490" w:type="dxa"/>
            <w:gridSpan w:val="7"/>
            <w:noWrap w:val="0"/>
            <w:vAlign w:val="center"/>
          </w:tcPr>
          <w:p w14:paraId="396608DC">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层均高</w:t>
            </w:r>
            <w:r>
              <w:rPr>
                <w:rFonts w:hint="eastAsia" w:cs="Times New Roman"/>
                <w:color w:val="000000" w:themeColor="text1"/>
                <w:kern w:val="0"/>
                <w:sz w:val="20"/>
                <w:szCs w:val="20"/>
                <w:lang w:val="en-US" w:eastAsia="zh-CN"/>
                <w14:textFill>
                  <w14:solidFill>
                    <w14:schemeClr w14:val="tx1"/>
                  </w14:solidFill>
                </w14:textFill>
              </w:rPr>
              <w:t>80</w:t>
            </w:r>
            <w:r>
              <w:rPr>
                <w:rFonts w:hint="eastAsia" w:ascii="Times New Roman" w:hAnsi="Times New Roman" w:eastAsia="宋体" w:cs="Times New Roman"/>
                <w:color w:val="000000" w:themeColor="text1"/>
                <w:kern w:val="0"/>
                <w:sz w:val="20"/>
                <w:szCs w:val="20"/>
                <w14:textFill>
                  <w14:solidFill>
                    <w14:schemeClr w14:val="tx1"/>
                  </w14:solidFill>
                </w14:textFill>
              </w:rPr>
              <w:t>cm，优势种为络石，其他伴生种有菝葜等</w:t>
            </w:r>
            <w:r>
              <w:rPr>
                <w:rFonts w:hint="eastAsia" w:ascii="Times New Roman" w:hAnsi="Times New Roman" w:eastAsia="宋体" w:cs="Times New Roman"/>
                <w:color w:val="000000" w:themeColor="text1"/>
                <w:kern w:val="0"/>
                <w:sz w:val="20"/>
                <w:szCs w:val="20"/>
                <w:lang w:eastAsia="zh-CN"/>
                <w14:textFill>
                  <w14:solidFill>
                    <w14:schemeClr w14:val="tx1"/>
                  </w14:solidFill>
                </w14:textFill>
              </w:rPr>
              <w:t>。</w:t>
            </w:r>
          </w:p>
        </w:tc>
      </w:tr>
    </w:tbl>
    <w:p w14:paraId="3CF5F1C7">
      <w:pPr>
        <w:keepNext/>
        <w:keepLines/>
        <w:spacing w:before="120" w:beforeLines="50" w:after="120" w:afterLines="50" w:line="240" w:lineRule="auto"/>
        <w:jc w:val="center"/>
        <w:outlineLvl w:val="3"/>
        <w:rPr>
          <w:rFonts w:hint="eastAsia"/>
          <w:b/>
          <w:bCs/>
          <w:color w:val="FF0000"/>
          <w:szCs w:val="28"/>
        </w:rPr>
      </w:pPr>
    </w:p>
    <w:p w14:paraId="30B1234F">
      <w:pPr>
        <w:keepNext/>
        <w:keepLines/>
        <w:spacing w:before="120" w:beforeLines="50" w:after="120" w:afterLines="50" w:line="240" w:lineRule="auto"/>
        <w:jc w:val="center"/>
        <w:outlineLvl w:val="3"/>
        <w:rPr>
          <w:rFonts w:hint="eastAsia"/>
          <w:b/>
          <w:bCs/>
          <w:color w:val="FF0000"/>
          <w:szCs w:val="28"/>
        </w:rPr>
      </w:pPr>
    </w:p>
    <w:p w14:paraId="1E4DBDCA">
      <w:pPr>
        <w:keepNext/>
        <w:keepLines/>
        <w:spacing w:before="120" w:beforeLines="50" w:after="120" w:afterLines="50" w:line="240" w:lineRule="auto"/>
        <w:jc w:val="center"/>
        <w:outlineLvl w:val="3"/>
        <w:rPr>
          <w:b/>
          <w:bCs/>
          <w:color w:val="000000" w:themeColor="text1"/>
          <w:szCs w:val="28"/>
          <w14:textFill>
            <w14:solidFill>
              <w14:schemeClr w14:val="tx1"/>
            </w14:solidFill>
          </w14:textFill>
        </w:rPr>
      </w:pPr>
      <w:r>
        <w:rPr>
          <w:rFonts w:hint="eastAsia"/>
          <w:b/>
          <w:bCs/>
          <w:color w:val="000000" w:themeColor="text1"/>
          <w:szCs w:val="28"/>
          <w14:textFill>
            <w14:solidFill>
              <w14:schemeClr w14:val="tx1"/>
            </w14:solidFill>
          </w14:textFill>
        </w:rPr>
        <w:t>植物群落样方调查表</w:t>
      </w:r>
      <w:r>
        <w:rPr>
          <w:rFonts w:hint="eastAsia"/>
          <w:b/>
          <w:bCs/>
          <w:color w:val="000000" w:themeColor="text1"/>
          <w:szCs w:val="28"/>
          <w:lang w:val="en-US" w:eastAsia="zh-CN"/>
          <w14:textFill>
            <w14:solidFill>
              <w14:schemeClr w14:val="tx1"/>
            </w14:solidFill>
          </w14:textFill>
        </w:rPr>
        <w:t>4</w:t>
      </w:r>
      <w:r>
        <w:rPr>
          <w:rFonts w:hint="eastAsia"/>
          <w:b/>
          <w:bCs/>
          <w:color w:val="000000" w:themeColor="text1"/>
          <w:szCs w:val="28"/>
          <w14:textFill>
            <w14:solidFill>
              <w14:schemeClr w14:val="tx1"/>
            </w14:solidFill>
          </w14:textFill>
        </w:rPr>
        <w:t>（</w:t>
      </w:r>
      <w:r>
        <w:rPr>
          <w:rFonts w:hint="eastAsia"/>
          <w:b/>
          <w:bCs/>
          <w:color w:val="000000" w:themeColor="text1"/>
          <w:szCs w:val="28"/>
          <w:lang w:val="en-US" w:eastAsia="zh-CN"/>
          <w14:textFill>
            <w14:solidFill>
              <w14:schemeClr w14:val="tx1"/>
            </w14:solidFill>
          </w14:textFill>
        </w:rPr>
        <w:t>毛</w:t>
      </w:r>
      <w:r>
        <w:rPr>
          <w:rFonts w:hint="eastAsia"/>
          <w:b/>
          <w:bCs/>
          <w:color w:val="000000" w:themeColor="text1"/>
          <w:szCs w:val="28"/>
          <w14:textFill>
            <w14:solidFill>
              <w14:schemeClr w14:val="tx1"/>
            </w14:solidFill>
          </w14:textFill>
        </w:rPr>
        <w:t>竹林）</w:t>
      </w:r>
    </w:p>
    <w:tbl>
      <w:tblPr>
        <w:tblStyle w:val="26"/>
        <w:tblW w:w="851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89"/>
        <w:gridCol w:w="932"/>
        <w:gridCol w:w="1540"/>
        <w:gridCol w:w="274"/>
        <w:gridCol w:w="1369"/>
        <w:gridCol w:w="823"/>
        <w:gridCol w:w="410"/>
        <w:gridCol w:w="959"/>
        <w:gridCol w:w="1117"/>
      </w:tblGrid>
      <w:tr w14:paraId="3C669C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9" w:type="dxa"/>
            <w:vMerge w:val="restart"/>
            <w:noWrap w:val="0"/>
            <w:vAlign w:val="center"/>
          </w:tcPr>
          <w:p w14:paraId="7B2727E7">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植被类型</w:t>
            </w:r>
          </w:p>
        </w:tc>
        <w:tc>
          <w:tcPr>
            <w:tcW w:w="2746" w:type="dxa"/>
            <w:gridSpan w:val="3"/>
            <w:vMerge w:val="restart"/>
            <w:noWrap w:val="0"/>
            <w:vAlign w:val="center"/>
          </w:tcPr>
          <w:p w14:paraId="5FAD0ED5">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毛竹林（Form. Phyllostachys heterocycla cv. Pubescens）</w:t>
            </w:r>
          </w:p>
        </w:tc>
        <w:tc>
          <w:tcPr>
            <w:tcW w:w="4678" w:type="dxa"/>
            <w:gridSpan w:val="5"/>
            <w:noWrap w:val="0"/>
            <w:vAlign w:val="center"/>
          </w:tcPr>
          <w:p w14:paraId="36958B0C">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环境特征</w:t>
            </w:r>
          </w:p>
        </w:tc>
      </w:tr>
      <w:tr w14:paraId="494E8F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9" w:type="dxa"/>
            <w:vMerge w:val="continue"/>
            <w:noWrap w:val="0"/>
            <w:vAlign w:val="center"/>
          </w:tcPr>
          <w:p w14:paraId="6FF0D51C">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p>
        </w:tc>
        <w:tc>
          <w:tcPr>
            <w:tcW w:w="2746" w:type="dxa"/>
            <w:gridSpan w:val="3"/>
            <w:vMerge w:val="continue"/>
            <w:noWrap w:val="0"/>
            <w:vAlign w:val="center"/>
          </w:tcPr>
          <w:p w14:paraId="5CF50771">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p>
        </w:tc>
        <w:tc>
          <w:tcPr>
            <w:tcW w:w="1369" w:type="dxa"/>
            <w:noWrap w:val="0"/>
            <w:vAlign w:val="center"/>
          </w:tcPr>
          <w:p w14:paraId="7E22FCA1">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地形</w:t>
            </w:r>
          </w:p>
        </w:tc>
        <w:tc>
          <w:tcPr>
            <w:tcW w:w="1233" w:type="dxa"/>
            <w:gridSpan w:val="2"/>
            <w:noWrap w:val="0"/>
            <w:vAlign w:val="center"/>
          </w:tcPr>
          <w:p w14:paraId="125AF0DB">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海拔(m)</w:t>
            </w:r>
          </w:p>
        </w:tc>
        <w:tc>
          <w:tcPr>
            <w:tcW w:w="959" w:type="dxa"/>
            <w:noWrap w:val="0"/>
            <w:vAlign w:val="center"/>
          </w:tcPr>
          <w:p w14:paraId="6EE443E9">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坡向</w:t>
            </w:r>
          </w:p>
        </w:tc>
        <w:tc>
          <w:tcPr>
            <w:tcW w:w="1117" w:type="dxa"/>
            <w:noWrap w:val="0"/>
            <w:vAlign w:val="center"/>
          </w:tcPr>
          <w:p w14:paraId="36EC07F6">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坡度(°)</w:t>
            </w:r>
          </w:p>
        </w:tc>
      </w:tr>
      <w:tr w14:paraId="03BFD6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9" w:type="dxa"/>
            <w:noWrap w:val="0"/>
            <w:vAlign w:val="center"/>
          </w:tcPr>
          <w:p w14:paraId="4DF5D837">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地点</w:t>
            </w:r>
          </w:p>
        </w:tc>
        <w:tc>
          <w:tcPr>
            <w:tcW w:w="2746" w:type="dxa"/>
            <w:gridSpan w:val="3"/>
            <w:noWrap w:val="0"/>
            <w:vAlign w:val="center"/>
          </w:tcPr>
          <w:p w14:paraId="648126AD">
            <w:pPr>
              <w:spacing w:line="240" w:lineRule="auto"/>
              <w:jc w:val="center"/>
              <w:rPr>
                <w:rFonts w:hint="default" w:ascii="Times New Roman" w:hAnsi="Times New Roman" w:eastAsia="宋体" w:cs="Times New Roman"/>
                <w:color w:val="000000" w:themeColor="text1"/>
                <w:kern w:val="0"/>
                <w:sz w:val="20"/>
                <w:szCs w:val="20"/>
                <w:lang w:val="en-US"/>
                <w14:textFill>
                  <w14:solidFill>
                    <w14:schemeClr w14:val="tx1"/>
                  </w14:solidFill>
                </w14:textFill>
              </w:rPr>
            </w:pPr>
            <w:r>
              <w:rPr>
                <w:rFonts w:hint="eastAsia" w:cs="Times New Roman"/>
                <w:color w:val="000000" w:themeColor="text1"/>
                <w:kern w:val="0"/>
                <w:sz w:val="20"/>
                <w:szCs w:val="20"/>
                <w:lang w:val="en-US" w:eastAsia="zh-CN"/>
                <w14:textFill>
                  <w14:solidFill>
                    <w14:schemeClr w14:val="tx1"/>
                  </w14:solidFill>
                </w14:textFill>
              </w:rPr>
              <w:t>升压站附近</w:t>
            </w:r>
          </w:p>
        </w:tc>
        <w:tc>
          <w:tcPr>
            <w:tcW w:w="1369" w:type="dxa"/>
            <w:noWrap w:val="0"/>
            <w:vAlign w:val="center"/>
          </w:tcPr>
          <w:p w14:paraId="628D3ADD">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坡地</w:t>
            </w:r>
          </w:p>
        </w:tc>
        <w:tc>
          <w:tcPr>
            <w:tcW w:w="1233" w:type="dxa"/>
            <w:gridSpan w:val="2"/>
            <w:noWrap w:val="0"/>
            <w:vAlign w:val="center"/>
          </w:tcPr>
          <w:p w14:paraId="40E3DB27">
            <w:pPr>
              <w:spacing w:line="240" w:lineRule="auto"/>
              <w:jc w:val="center"/>
              <w:rPr>
                <w:rFonts w:hint="default" w:ascii="Times New Roman" w:hAnsi="Times New Roman" w:eastAsia="宋体" w:cs="Times New Roman"/>
                <w:color w:val="000000" w:themeColor="text1"/>
                <w:kern w:val="0"/>
                <w:sz w:val="20"/>
                <w:szCs w:val="20"/>
                <w:lang w:val="en-US" w:eastAsia="zh-CN"/>
                <w14:textFill>
                  <w14:solidFill>
                    <w14:schemeClr w14:val="tx1"/>
                  </w14:solidFill>
                </w14:textFill>
              </w:rPr>
            </w:pPr>
            <w:r>
              <w:rPr>
                <w:rFonts w:hint="eastAsia" w:cs="Times New Roman"/>
                <w:color w:val="000000" w:themeColor="text1"/>
                <w:kern w:val="0"/>
                <w:sz w:val="20"/>
                <w:szCs w:val="20"/>
                <w:lang w:val="en-US" w:eastAsia="zh-CN"/>
                <w14:textFill>
                  <w14:solidFill>
                    <w14:schemeClr w14:val="tx1"/>
                  </w14:solidFill>
                </w14:textFill>
              </w:rPr>
              <w:t>710</w:t>
            </w:r>
          </w:p>
        </w:tc>
        <w:tc>
          <w:tcPr>
            <w:tcW w:w="959" w:type="dxa"/>
            <w:noWrap w:val="0"/>
            <w:vAlign w:val="center"/>
          </w:tcPr>
          <w:p w14:paraId="2D0A4591">
            <w:pPr>
              <w:spacing w:line="240" w:lineRule="auto"/>
              <w:jc w:val="center"/>
              <w:rPr>
                <w:rFonts w:hint="eastAsia" w:ascii="Times New Roman" w:hAnsi="Times New Roman" w:eastAsia="宋体" w:cs="Times New Roman"/>
                <w:color w:val="000000" w:themeColor="text1"/>
                <w:kern w:val="0"/>
                <w:sz w:val="20"/>
                <w:szCs w:val="20"/>
                <w:lang w:eastAsia="zh-CN"/>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西</w:t>
            </w:r>
            <w:r>
              <w:rPr>
                <w:rFonts w:hint="eastAsia" w:cs="Times New Roman"/>
                <w:color w:val="000000" w:themeColor="text1"/>
                <w:kern w:val="0"/>
                <w:sz w:val="20"/>
                <w:szCs w:val="20"/>
                <w:lang w:val="en-US" w:eastAsia="zh-CN"/>
                <w14:textFill>
                  <w14:solidFill>
                    <w14:schemeClr w14:val="tx1"/>
                  </w14:solidFill>
                </w14:textFill>
              </w:rPr>
              <w:t>北</w:t>
            </w:r>
          </w:p>
        </w:tc>
        <w:tc>
          <w:tcPr>
            <w:tcW w:w="1117" w:type="dxa"/>
            <w:noWrap w:val="0"/>
            <w:vAlign w:val="center"/>
          </w:tcPr>
          <w:p w14:paraId="7A543F63">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45</w:t>
            </w:r>
          </w:p>
        </w:tc>
      </w:tr>
      <w:tr w14:paraId="3F3038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9" w:type="dxa"/>
            <w:noWrap w:val="0"/>
            <w:vAlign w:val="center"/>
          </w:tcPr>
          <w:p w14:paraId="183BD030">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经纬度</w:t>
            </w:r>
          </w:p>
        </w:tc>
        <w:tc>
          <w:tcPr>
            <w:tcW w:w="7424" w:type="dxa"/>
            <w:gridSpan w:val="8"/>
            <w:noWrap w:val="0"/>
            <w:vAlign w:val="center"/>
          </w:tcPr>
          <w:p w14:paraId="7E13311D">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 xml:space="preserve">E：109°72′12.743″，N：26°17′51.204″ </w:t>
            </w:r>
          </w:p>
        </w:tc>
      </w:tr>
      <w:tr w14:paraId="570813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9" w:type="dxa"/>
            <w:noWrap w:val="0"/>
            <w:vAlign w:val="center"/>
          </w:tcPr>
          <w:p w14:paraId="1EDC2827">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样方编号</w:t>
            </w:r>
          </w:p>
        </w:tc>
        <w:tc>
          <w:tcPr>
            <w:tcW w:w="2472" w:type="dxa"/>
            <w:gridSpan w:val="2"/>
            <w:noWrap w:val="0"/>
            <w:vAlign w:val="center"/>
          </w:tcPr>
          <w:p w14:paraId="2174B3CF">
            <w:pPr>
              <w:spacing w:line="240" w:lineRule="auto"/>
              <w:jc w:val="center"/>
              <w:rPr>
                <w:rFonts w:hint="eastAsia" w:ascii="Times New Roman" w:hAnsi="Times New Roman" w:eastAsia="宋体" w:cs="Times New Roman"/>
                <w:color w:val="000000" w:themeColor="text1"/>
                <w:kern w:val="0"/>
                <w:sz w:val="20"/>
                <w:szCs w:val="20"/>
                <w:lang w:eastAsia="zh-CN"/>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w:t>
            </w:r>
            <w:r>
              <w:rPr>
                <w:rFonts w:hint="eastAsia" w:cs="Times New Roman"/>
                <w:color w:val="000000" w:themeColor="text1"/>
                <w:kern w:val="0"/>
                <w:sz w:val="20"/>
                <w:szCs w:val="20"/>
                <w:lang w:val="en-US" w:eastAsia="zh-CN"/>
                <w14:textFill>
                  <w14:solidFill>
                    <w14:schemeClr w14:val="tx1"/>
                  </w14:solidFill>
                </w14:textFill>
              </w:rPr>
              <w:t>4</w:t>
            </w:r>
          </w:p>
        </w:tc>
        <w:tc>
          <w:tcPr>
            <w:tcW w:w="2466" w:type="dxa"/>
            <w:gridSpan w:val="3"/>
            <w:noWrap w:val="0"/>
            <w:vAlign w:val="center"/>
          </w:tcPr>
          <w:p w14:paraId="29D275B0">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样方大小</w:t>
            </w:r>
          </w:p>
        </w:tc>
        <w:tc>
          <w:tcPr>
            <w:tcW w:w="2486" w:type="dxa"/>
            <w:gridSpan w:val="3"/>
            <w:noWrap w:val="0"/>
            <w:vAlign w:val="center"/>
          </w:tcPr>
          <w:p w14:paraId="7048CC62">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20m×20m</w:t>
            </w:r>
          </w:p>
        </w:tc>
      </w:tr>
      <w:tr w14:paraId="32F6B0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9" w:type="dxa"/>
            <w:noWrap w:val="0"/>
            <w:vAlign w:val="center"/>
          </w:tcPr>
          <w:p w14:paraId="5FDC9E0F">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层次</w:t>
            </w:r>
          </w:p>
        </w:tc>
        <w:tc>
          <w:tcPr>
            <w:tcW w:w="7424" w:type="dxa"/>
            <w:gridSpan w:val="8"/>
            <w:noWrap w:val="0"/>
            <w:vAlign w:val="center"/>
          </w:tcPr>
          <w:p w14:paraId="74C8DA1B">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三层</w:t>
            </w:r>
          </w:p>
        </w:tc>
      </w:tr>
      <w:tr w14:paraId="00CF01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9" w:type="dxa"/>
            <w:noWrap w:val="0"/>
            <w:vAlign w:val="center"/>
          </w:tcPr>
          <w:p w14:paraId="000A49F7">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分层</w:t>
            </w:r>
          </w:p>
        </w:tc>
        <w:tc>
          <w:tcPr>
            <w:tcW w:w="932" w:type="dxa"/>
            <w:noWrap w:val="0"/>
            <w:vAlign w:val="center"/>
          </w:tcPr>
          <w:p w14:paraId="4DDF6F43">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层盖度</w:t>
            </w:r>
          </w:p>
        </w:tc>
        <w:tc>
          <w:tcPr>
            <w:tcW w:w="6492" w:type="dxa"/>
            <w:gridSpan w:val="7"/>
            <w:noWrap w:val="0"/>
            <w:vAlign w:val="center"/>
          </w:tcPr>
          <w:p w14:paraId="5F0691EE">
            <w:pPr>
              <w:jc w:val="center"/>
              <w:rPr>
                <w:b/>
                <w:color w:val="000000"/>
                <w:szCs w:val="21"/>
                <w:highlight w:val="none"/>
              </w:rPr>
            </w:pPr>
            <w:r>
              <w:rPr>
                <w:rFonts w:hint="eastAsia" w:ascii="Times New Roman" w:hAnsi="Times New Roman" w:eastAsia="宋体" w:cs="Times New Roman"/>
                <w:color w:val="000000" w:themeColor="text1"/>
                <w:kern w:val="0"/>
                <w:sz w:val="20"/>
                <w:szCs w:val="20"/>
                <w14:textFill>
                  <w14:solidFill>
                    <w14:schemeClr w14:val="tx1"/>
                  </w14:solidFill>
                </w14:textFill>
              </w:rPr>
              <w:t>种类组成与生长状况</w:t>
            </w:r>
          </w:p>
        </w:tc>
      </w:tr>
      <w:tr w14:paraId="3314F6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9" w:type="dxa"/>
            <w:noWrap w:val="0"/>
            <w:vAlign w:val="center"/>
          </w:tcPr>
          <w:p w14:paraId="592C1CCA">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乔木层</w:t>
            </w:r>
          </w:p>
        </w:tc>
        <w:tc>
          <w:tcPr>
            <w:tcW w:w="932" w:type="dxa"/>
            <w:noWrap w:val="0"/>
            <w:vAlign w:val="center"/>
          </w:tcPr>
          <w:p w14:paraId="58B9AE63">
            <w:pPr>
              <w:spacing w:line="240" w:lineRule="auto"/>
              <w:jc w:val="center"/>
              <w:rPr>
                <w:rFonts w:hint="eastAsia" w:ascii="Times New Roman" w:hAnsi="Times New Roman" w:eastAsia="宋体" w:cs="Times New Roman"/>
                <w:color w:val="000000" w:themeColor="text1"/>
                <w:kern w:val="0"/>
                <w:sz w:val="20"/>
                <w:szCs w:val="20"/>
                <w:lang w:eastAsia="zh-CN"/>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郁闭度0.</w:t>
            </w:r>
            <w:r>
              <w:rPr>
                <w:rFonts w:hint="eastAsia" w:ascii="Times New Roman" w:hAnsi="Times New Roman" w:eastAsia="宋体" w:cs="Times New Roman"/>
                <w:color w:val="000000" w:themeColor="text1"/>
                <w:kern w:val="0"/>
                <w:sz w:val="20"/>
                <w:szCs w:val="20"/>
                <w:lang w:val="en-US" w:eastAsia="zh-CN"/>
                <w14:textFill>
                  <w14:solidFill>
                    <w14:schemeClr w14:val="tx1"/>
                  </w14:solidFill>
                </w14:textFill>
              </w:rPr>
              <w:t>7</w:t>
            </w:r>
          </w:p>
        </w:tc>
        <w:tc>
          <w:tcPr>
            <w:tcW w:w="6492" w:type="dxa"/>
            <w:gridSpan w:val="7"/>
            <w:noWrap w:val="0"/>
            <w:vAlign w:val="center"/>
          </w:tcPr>
          <w:p w14:paraId="0DEA1C04">
            <w:pPr>
              <w:spacing w:line="240" w:lineRule="auto"/>
              <w:jc w:val="center"/>
              <w:rPr>
                <w:b/>
                <w:color w:val="000000"/>
                <w:szCs w:val="21"/>
                <w:highlight w:val="none"/>
              </w:rPr>
            </w:pPr>
            <w:r>
              <w:rPr>
                <w:rFonts w:hint="eastAsia" w:ascii="Times New Roman" w:hAnsi="Times New Roman" w:eastAsia="宋体" w:cs="Times New Roman"/>
                <w:color w:val="000000" w:themeColor="text1"/>
                <w:kern w:val="0"/>
                <w:sz w:val="20"/>
                <w:szCs w:val="20"/>
                <w14:textFill>
                  <w14:solidFill>
                    <w14:schemeClr w14:val="tx1"/>
                  </w14:solidFill>
                </w14:textFill>
              </w:rPr>
              <w:t>层均高6m。优势种为毛竹（Phyllostachys heterocycla cv. Pubescens），盖度80%，高约4~5m，伴生种为杉木等。</w:t>
            </w:r>
          </w:p>
        </w:tc>
      </w:tr>
      <w:tr w14:paraId="40E18F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9" w:type="dxa"/>
            <w:noWrap w:val="0"/>
            <w:vAlign w:val="center"/>
          </w:tcPr>
          <w:p w14:paraId="7394ADF1">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灌木层</w:t>
            </w:r>
          </w:p>
        </w:tc>
        <w:tc>
          <w:tcPr>
            <w:tcW w:w="932" w:type="dxa"/>
            <w:noWrap w:val="0"/>
            <w:vAlign w:val="center"/>
          </w:tcPr>
          <w:p w14:paraId="7115CA66">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盖度</w:t>
            </w:r>
            <w:r>
              <w:rPr>
                <w:rFonts w:hint="eastAsia" w:ascii="Times New Roman" w:hAnsi="Times New Roman" w:eastAsia="宋体" w:cs="Times New Roman"/>
                <w:color w:val="000000" w:themeColor="text1"/>
                <w:kern w:val="0"/>
                <w:sz w:val="20"/>
                <w:szCs w:val="20"/>
                <w:lang w:val="en-US" w:eastAsia="zh-CN"/>
                <w14:textFill>
                  <w14:solidFill>
                    <w14:schemeClr w14:val="tx1"/>
                  </w14:solidFill>
                </w14:textFill>
              </w:rPr>
              <w:t>35</w:t>
            </w:r>
            <w:r>
              <w:rPr>
                <w:rFonts w:hint="eastAsia" w:ascii="Times New Roman" w:hAnsi="Times New Roman" w:eastAsia="宋体" w:cs="Times New Roman"/>
                <w:color w:val="000000" w:themeColor="text1"/>
                <w:kern w:val="0"/>
                <w:sz w:val="20"/>
                <w:szCs w:val="20"/>
                <w14:textFill>
                  <w14:solidFill>
                    <w14:schemeClr w14:val="tx1"/>
                  </w14:solidFill>
                </w14:textFill>
              </w:rPr>
              <w:t>%</w:t>
            </w:r>
          </w:p>
        </w:tc>
        <w:tc>
          <w:tcPr>
            <w:tcW w:w="6492" w:type="dxa"/>
            <w:gridSpan w:val="7"/>
            <w:noWrap w:val="0"/>
            <w:vAlign w:val="center"/>
          </w:tcPr>
          <w:p w14:paraId="187AE6DF">
            <w:pPr>
              <w:spacing w:line="240" w:lineRule="auto"/>
              <w:jc w:val="center"/>
              <w:rPr>
                <w:b/>
                <w:color w:val="000000"/>
                <w:szCs w:val="21"/>
                <w:highlight w:val="none"/>
              </w:rPr>
            </w:pPr>
            <w:r>
              <w:rPr>
                <w:rFonts w:hint="eastAsia" w:ascii="Times New Roman" w:hAnsi="Times New Roman" w:eastAsia="宋体" w:cs="Times New Roman"/>
                <w:color w:val="000000" w:themeColor="text1"/>
                <w:kern w:val="0"/>
                <w:sz w:val="20"/>
                <w:szCs w:val="20"/>
                <w14:textFill>
                  <w14:solidFill>
                    <w14:schemeClr w14:val="tx1"/>
                  </w14:solidFill>
                </w14:textFill>
              </w:rPr>
              <w:t>层均高1.5m。优势种不明显，散生有红果山胡椒（Lindera erythrocarpa）、火棘、檵木等。</w:t>
            </w:r>
          </w:p>
        </w:tc>
      </w:tr>
      <w:tr w14:paraId="79CA6A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9" w:type="dxa"/>
            <w:noWrap w:val="0"/>
            <w:vAlign w:val="center"/>
          </w:tcPr>
          <w:p w14:paraId="5DC3F70B">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草本层</w:t>
            </w:r>
          </w:p>
        </w:tc>
        <w:tc>
          <w:tcPr>
            <w:tcW w:w="932" w:type="dxa"/>
            <w:noWrap w:val="0"/>
            <w:vAlign w:val="center"/>
          </w:tcPr>
          <w:p w14:paraId="60FD11D6">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盖度21%</w:t>
            </w:r>
          </w:p>
        </w:tc>
        <w:tc>
          <w:tcPr>
            <w:tcW w:w="6492" w:type="dxa"/>
            <w:gridSpan w:val="7"/>
            <w:noWrap w:val="0"/>
            <w:vAlign w:val="center"/>
          </w:tcPr>
          <w:p w14:paraId="29591871">
            <w:pPr>
              <w:spacing w:line="240" w:lineRule="auto"/>
              <w:jc w:val="center"/>
              <w:rPr>
                <w:color w:val="000000"/>
                <w:szCs w:val="21"/>
                <w:highlight w:val="none"/>
              </w:rPr>
            </w:pPr>
            <w:r>
              <w:rPr>
                <w:rFonts w:hint="eastAsia" w:ascii="Times New Roman" w:hAnsi="Times New Roman" w:eastAsia="宋体" w:cs="Times New Roman"/>
                <w:color w:val="000000" w:themeColor="text1"/>
                <w:kern w:val="0"/>
                <w:sz w:val="20"/>
                <w:szCs w:val="20"/>
                <w14:textFill>
                  <w14:solidFill>
                    <w14:schemeClr w14:val="tx1"/>
                  </w14:solidFill>
                </w14:textFill>
              </w:rPr>
              <w:t>层均高0.3m。优势种为野古草（Arundinella anomala），盖度30%，高约0.2~0.3m。伴生种主要有荩草（Arthraxon hispidus）、画眉草（Eragrostis pilosa）、牛筋草（Eleusine indica）、千金子（Leptochloa chinensis）等。</w:t>
            </w:r>
          </w:p>
        </w:tc>
      </w:tr>
    </w:tbl>
    <w:p w14:paraId="5652339B">
      <w:pPr>
        <w:spacing w:before="120" w:beforeLines="50"/>
        <w:rPr>
          <w:color w:val="FF0000"/>
        </w:rPr>
      </w:pPr>
    </w:p>
    <w:p w14:paraId="59C2E4B2">
      <w:pPr>
        <w:spacing w:before="120" w:beforeLines="50"/>
        <w:rPr>
          <w:color w:val="FF0000"/>
        </w:rPr>
      </w:pPr>
    </w:p>
    <w:p w14:paraId="0ACBE63E">
      <w:pPr>
        <w:spacing w:before="120" w:beforeLines="50"/>
        <w:rPr>
          <w:color w:val="FF0000"/>
        </w:rPr>
      </w:pPr>
    </w:p>
    <w:p w14:paraId="59ACA0BD">
      <w:pPr>
        <w:spacing w:before="120" w:beforeLines="50"/>
        <w:rPr>
          <w:color w:val="FF0000"/>
        </w:rPr>
      </w:pPr>
    </w:p>
    <w:p w14:paraId="58256D29">
      <w:pPr>
        <w:spacing w:before="120" w:beforeLines="50"/>
        <w:rPr>
          <w:color w:val="FF0000"/>
        </w:rPr>
      </w:pPr>
    </w:p>
    <w:p w14:paraId="675D6345">
      <w:pPr>
        <w:spacing w:before="120" w:beforeLines="50" w:line="240" w:lineRule="auto"/>
        <w:ind w:firstLine="2409" w:firstLineChars="1000"/>
        <w:rPr>
          <w:b/>
          <w:bCs/>
          <w:color w:val="000000" w:themeColor="text1"/>
          <w:szCs w:val="28"/>
          <w14:textFill>
            <w14:solidFill>
              <w14:schemeClr w14:val="tx1"/>
            </w14:solidFill>
          </w14:textFill>
        </w:rPr>
      </w:pPr>
      <w:r>
        <w:rPr>
          <w:rFonts w:hint="eastAsia"/>
          <w:b/>
          <w:bCs/>
          <w:color w:val="000000" w:themeColor="text1"/>
          <w:szCs w:val="28"/>
          <w14:textFill>
            <w14:solidFill>
              <w14:schemeClr w14:val="tx1"/>
            </w14:solidFill>
          </w14:textFill>
        </w:rPr>
        <w:t>植物群落样方调查表</w:t>
      </w:r>
      <w:r>
        <w:rPr>
          <w:rFonts w:hint="eastAsia"/>
          <w:b/>
          <w:bCs/>
          <w:color w:val="000000" w:themeColor="text1"/>
          <w:szCs w:val="28"/>
          <w:lang w:val="en-US" w:eastAsia="zh-CN"/>
          <w14:textFill>
            <w14:solidFill>
              <w14:schemeClr w14:val="tx1"/>
            </w14:solidFill>
          </w14:textFill>
        </w:rPr>
        <w:t>5</w:t>
      </w:r>
      <w:r>
        <w:rPr>
          <w:rFonts w:hint="eastAsia"/>
          <w:b/>
          <w:bCs/>
          <w:color w:val="000000" w:themeColor="text1"/>
          <w:szCs w:val="28"/>
          <w14:textFill>
            <w14:solidFill>
              <w14:schemeClr w14:val="tx1"/>
            </w14:solidFill>
          </w14:textFill>
        </w:rPr>
        <w:t>（盐肤木灌丛）</w:t>
      </w:r>
    </w:p>
    <w:tbl>
      <w:tblPr>
        <w:tblStyle w:val="26"/>
        <w:tblW w:w="851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94"/>
        <w:gridCol w:w="932"/>
        <w:gridCol w:w="1540"/>
        <w:gridCol w:w="274"/>
        <w:gridCol w:w="1369"/>
        <w:gridCol w:w="824"/>
        <w:gridCol w:w="409"/>
        <w:gridCol w:w="959"/>
        <w:gridCol w:w="1112"/>
      </w:tblGrid>
      <w:tr w14:paraId="056BC6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4" w:type="dxa"/>
            <w:vMerge w:val="restart"/>
            <w:noWrap w:val="0"/>
            <w:vAlign w:val="center"/>
          </w:tcPr>
          <w:p w14:paraId="78EE6A1B">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植被类型</w:t>
            </w:r>
          </w:p>
        </w:tc>
        <w:tc>
          <w:tcPr>
            <w:tcW w:w="2746" w:type="dxa"/>
            <w:gridSpan w:val="3"/>
            <w:vMerge w:val="restart"/>
            <w:noWrap w:val="0"/>
            <w:vAlign w:val="center"/>
          </w:tcPr>
          <w:p w14:paraId="46E07ABD">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盐肤木灌丛（Form. Rhus chinensis）</w:t>
            </w:r>
          </w:p>
        </w:tc>
        <w:tc>
          <w:tcPr>
            <w:tcW w:w="4673" w:type="dxa"/>
            <w:gridSpan w:val="5"/>
            <w:noWrap w:val="0"/>
            <w:vAlign w:val="center"/>
          </w:tcPr>
          <w:p w14:paraId="75960833">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环境特征</w:t>
            </w:r>
          </w:p>
        </w:tc>
      </w:tr>
      <w:tr w14:paraId="340F4D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4" w:type="dxa"/>
            <w:vMerge w:val="continue"/>
            <w:noWrap w:val="0"/>
            <w:vAlign w:val="center"/>
          </w:tcPr>
          <w:p w14:paraId="76C5F525">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p>
        </w:tc>
        <w:tc>
          <w:tcPr>
            <w:tcW w:w="2746" w:type="dxa"/>
            <w:gridSpan w:val="3"/>
            <w:vMerge w:val="continue"/>
            <w:noWrap w:val="0"/>
            <w:vAlign w:val="center"/>
          </w:tcPr>
          <w:p w14:paraId="62407A57">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p>
        </w:tc>
        <w:tc>
          <w:tcPr>
            <w:tcW w:w="1369" w:type="dxa"/>
            <w:noWrap w:val="0"/>
            <w:vAlign w:val="center"/>
          </w:tcPr>
          <w:p w14:paraId="5731FC1A">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地形</w:t>
            </w:r>
          </w:p>
        </w:tc>
        <w:tc>
          <w:tcPr>
            <w:tcW w:w="1233" w:type="dxa"/>
            <w:gridSpan w:val="2"/>
            <w:noWrap w:val="0"/>
            <w:vAlign w:val="center"/>
          </w:tcPr>
          <w:p w14:paraId="7DB19364">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海拔(m)</w:t>
            </w:r>
          </w:p>
        </w:tc>
        <w:tc>
          <w:tcPr>
            <w:tcW w:w="959" w:type="dxa"/>
            <w:noWrap w:val="0"/>
            <w:vAlign w:val="center"/>
          </w:tcPr>
          <w:p w14:paraId="4588DF9A">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坡向</w:t>
            </w:r>
          </w:p>
        </w:tc>
        <w:tc>
          <w:tcPr>
            <w:tcW w:w="1112" w:type="dxa"/>
            <w:noWrap w:val="0"/>
            <w:vAlign w:val="center"/>
          </w:tcPr>
          <w:p w14:paraId="1B366386">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坡度(°)</w:t>
            </w:r>
          </w:p>
        </w:tc>
      </w:tr>
      <w:tr w14:paraId="4E8E67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4" w:type="dxa"/>
            <w:noWrap w:val="0"/>
            <w:vAlign w:val="center"/>
          </w:tcPr>
          <w:p w14:paraId="0ED430C6">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地点</w:t>
            </w:r>
          </w:p>
        </w:tc>
        <w:tc>
          <w:tcPr>
            <w:tcW w:w="2746" w:type="dxa"/>
            <w:gridSpan w:val="3"/>
            <w:noWrap w:val="0"/>
            <w:vAlign w:val="center"/>
          </w:tcPr>
          <w:p w14:paraId="19820A4B">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cs="Times New Roman"/>
                <w:color w:val="000000" w:themeColor="text1"/>
                <w:kern w:val="0"/>
                <w:sz w:val="20"/>
                <w:szCs w:val="20"/>
                <w:lang w:val="en-US" w:eastAsia="zh-CN"/>
                <w14:textFill>
                  <w14:solidFill>
                    <w14:schemeClr w14:val="tx1"/>
                  </w14:solidFill>
                </w14:textFill>
              </w:rPr>
              <w:t>1号弃渣场</w:t>
            </w:r>
          </w:p>
        </w:tc>
        <w:tc>
          <w:tcPr>
            <w:tcW w:w="1369" w:type="dxa"/>
            <w:noWrap w:val="0"/>
            <w:vAlign w:val="center"/>
          </w:tcPr>
          <w:p w14:paraId="08446A41">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山谷</w:t>
            </w:r>
          </w:p>
        </w:tc>
        <w:tc>
          <w:tcPr>
            <w:tcW w:w="1233" w:type="dxa"/>
            <w:gridSpan w:val="2"/>
            <w:noWrap w:val="0"/>
            <w:vAlign w:val="center"/>
          </w:tcPr>
          <w:p w14:paraId="67A9B6C7">
            <w:pPr>
              <w:spacing w:line="240" w:lineRule="auto"/>
              <w:jc w:val="center"/>
              <w:rPr>
                <w:rFonts w:hint="default" w:ascii="Times New Roman" w:hAnsi="Times New Roman" w:eastAsia="宋体" w:cs="Times New Roman"/>
                <w:color w:val="000000" w:themeColor="text1"/>
                <w:kern w:val="0"/>
                <w:sz w:val="20"/>
                <w:szCs w:val="20"/>
                <w:lang w:val="en-US" w:eastAsia="zh-CN"/>
                <w14:textFill>
                  <w14:solidFill>
                    <w14:schemeClr w14:val="tx1"/>
                  </w14:solidFill>
                </w14:textFill>
              </w:rPr>
            </w:pPr>
            <w:r>
              <w:rPr>
                <w:rFonts w:hint="eastAsia" w:cs="Times New Roman"/>
                <w:color w:val="000000" w:themeColor="text1"/>
                <w:kern w:val="0"/>
                <w:sz w:val="20"/>
                <w:szCs w:val="20"/>
                <w:lang w:val="en-US" w:eastAsia="zh-CN"/>
                <w14:textFill>
                  <w14:solidFill>
                    <w14:schemeClr w14:val="tx1"/>
                  </w14:solidFill>
                </w14:textFill>
              </w:rPr>
              <w:t>480</w:t>
            </w:r>
          </w:p>
        </w:tc>
        <w:tc>
          <w:tcPr>
            <w:tcW w:w="959" w:type="dxa"/>
            <w:noWrap w:val="0"/>
            <w:vAlign w:val="center"/>
          </w:tcPr>
          <w:p w14:paraId="48D255C6">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w:t>
            </w:r>
          </w:p>
        </w:tc>
        <w:tc>
          <w:tcPr>
            <w:tcW w:w="1112" w:type="dxa"/>
            <w:noWrap w:val="0"/>
            <w:vAlign w:val="center"/>
          </w:tcPr>
          <w:p w14:paraId="707247ED">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w:t>
            </w:r>
          </w:p>
        </w:tc>
      </w:tr>
      <w:tr w14:paraId="09C314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4" w:type="dxa"/>
            <w:noWrap w:val="0"/>
            <w:vAlign w:val="center"/>
          </w:tcPr>
          <w:p w14:paraId="3402C616">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经纬度</w:t>
            </w:r>
          </w:p>
        </w:tc>
        <w:tc>
          <w:tcPr>
            <w:tcW w:w="7419" w:type="dxa"/>
            <w:gridSpan w:val="8"/>
            <w:noWrap w:val="0"/>
            <w:vAlign w:val="center"/>
          </w:tcPr>
          <w:p w14:paraId="5C87E72E">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E：109°76′51.767″、N：26°17′26.940″</w:t>
            </w:r>
          </w:p>
        </w:tc>
      </w:tr>
      <w:tr w14:paraId="0A8E49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4" w:type="dxa"/>
            <w:noWrap w:val="0"/>
            <w:vAlign w:val="center"/>
          </w:tcPr>
          <w:p w14:paraId="49E9DC4B">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样方编号</w:t>
            </w:r>
          </w:p>
        </w:tc>
        <w:tc>
          <w:tcPr>
            <w:tcW w:w="2472" w:type="dxa"/>
            <w:gridSpan w:val="2"/>
            <w:noWrap w:val="0"/>
            <w:vAlign w:val="center"/>
          </w:tcPr>
          <w:p w14:paraId="3D60FD0F">
            <w:pPr>
              <w:spacing w:line="240" w:lineRule="auto"/>
              <w:jc w:val="center"/>
              <w:rPr>
                <w:rFonts w:hint="eastAsia" w:ascii="Times New Roman" w:hAnsi="Times New Roman" w:eastAsia="宋体" w:cs="Times New Roman"/>
                <w:color w:val="000000" w:themeColor="text1"/>
                <w:kern w:val="0"/>
                <w:sz w:val="20"/>
                <w:szCs w:val="20"/>
                <w:lang w:eastAsia="zh-CN"/>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w:t>
            </w:r>
            <w:r>
              <w:rPr>
                <w:rFonts w:hint="eastAsia" w:cs="Times New Roman"/>
                <w:color w:val="000000" w:themeColor="text1"/>
                <w:kern w:val="0"/>
                <w:sz w:val="20"/>
                <w:szCs w:val="20"/>
                <w:lang w:val="en-US" w:eastAsia="zh-CN"/>
                <w14:textFill>
                  <w14:solidFill>
                    <w14:schemeClr w14:val="tx1"/>
                  </w14:solidFill>
                </w14:textFill>
              </w:rPr>
              <w:t>5</w:t>
            </w:r>
          </w:p>
        </w:tc>
        <w:tc>
          <w:tcPr>
            <w:tcW w:w="2467" w:type="dxa"/>
            <w:gridSpan w:val="3"/>
            <w:noWrap w:val="0"/>
            <w:vAlign w:val="center"/>
          </w:tcPr>
          <w:p w14:paraId="1063443E">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样方大小</w:t>
            </w:r>
          </w:p>
        </w:tc>
        <w:tc>
          <w:tcPr>
            <w:tcW w:w="2480" w:type="dxa"/>
            <w:gridSpan w:val="3"/>
            <w:noWrap w:val="0"/>
            <w:vAlign w:val="center"/>
          </w:tcPr>
          <w:p w14:paraId="73F8215B">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1m×1m</w:t>
            </w:r>
          </w:p>
        </w:tc>
      </w:tr>
      <w:tr w14:paraId="745C50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4" w:type="dxa"/>
            <w:noWrap w:val="0"/>
            <w:vAlign w:val="center"/>
          </w:tcPr>
          <w:p w14:paraId="5839CC07">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层次</w:t>
            </w:r>
          </w:p>
        </w:tc>
        <w:tc>
          <w:tcPr>
            <w:tcW w:w="7419" w:type="dxa"/>
            <w:gridSpan w:val="8"/>
            <w:noWrap w:val="0"/>
            <w:vAlign w:val="center"/>
          </w:tcPr>
          <w:p w14:paraId="0ED53EF1">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一层</w:t>
            </w:r>
          </w:p>
        </w:tc>
      </w:tr>
      <w:tr w14:paraId="248CFB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4" w:type="dxa"/>
            <w:noWrap w:val="0"/>
            <w:vAlign w:val="center"/>
          </w:tcPr>
          <w:p w14:paraId="54B495E3">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分层</w:t>
            </w:r>
          </w:p>
        </w:tc>
        <w:tc>
          <w:tcPr>
            <w:tcW w:w="932" w:type="dxa"/>
            <w:noWrap w:val="0"/>
            <w:vAlign w:val="center"/>
          </w:tcPr>
          <w:p w14:paraId="452C66C1">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层盖度</w:t>
            </w:r>
          </w:p>
        </w:tc>
        <w:tc>
          <w:tcPr>
            <w:tcW w:w="6487" w:type="dxa"/>
            <w:gridSpan w:val="7"/>
            <w:noWrap w:val="0"/>
            <w:vAlign w:val="center"/>
          </w:tcPr>
          <w:p w14:paraId="13DE0BA2">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种类组成与生长状况</w:t>
            </w:r>
          </w:p>
        </w:tc>
      </w:tr>
      <w:tr w14:paraId="044A90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4" w:type="dxa"/>
            <w:noWrap w:val="0"/>
            <w:vAlign w:val="center"/>
          </w:tcPr>
          <w:p w14:paraId="7655F0FB">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草本层</w:t>
            </w:r>
          </w:p>
        </w:tc>
        <w:tc>
          <w:tcPr>
            <w:tcW w:w="932" w:type="dxa"/>
            <w:noWrap w:val="0"/>
            <w:vAlign w:val="center"/>
          </w:tcPr>
          <w:p w14:paraId="5D54BEDC">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盖度90%</w:t>
            </w:r>
          </w:p>
        </w:tc>
        <w:tc>
          <w:tcPr>
            <w:tcW w:w="6487" w:type="dxa"/>
            <w:gridSpan w:val="7"/>
            <w:noWrap w:val="0"/>
            <w:vAlign w:val="center"/>
          </w:tcPr>
          <w:p w14:paraId="47454D7F">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层平均高度为2.0m，优势种为盐肤木，此外还有山胡椒等（图3.2-6）。草本层盖度为15%，层平均高度为0.2m，分布有少量酢浆草（Oxalis corniculata）、堇菜、蕨、车前草等。层间层物种主要是络石（Trachelospermum jasminoides）。</w:t>
            </w:r>
          </w:p>
        </w:tc>
      </w:tr>
    </w:tbl>
    <w:p w14:paraId="76F04DCF">
      <w:pPr>
        <w:keepNext/>
        <w:keepLines/>
        <w:spacing w:before="120" w:beforeLines="50" w:after="120" w:afterLines="50" w:line="240" w:lineRule="auto"/>
        <w:jc w:val="center"/>
        <w:outlineLvl w:val="3"/>
        <w:rPr>
          <w:b/>
          <w:bCs/>
          <w:color w:val="000000" w:themeColor="text1"/>
          <w:szCs w:val="28"/>
          <w14:textFill>
            <w14:solidFill>
              <w14:schemeClr w14:val="tx1"/>
            </w14:solidFill>
          </w14:textFill>
        </w:rPr>
      </w:pPr>
      <w:r>
        <w:rPr>
          <w:rFonts w:hint="eastAsia"/>
          <w:b/>
          <w:bCs/>
          <w:color w:val="000000" w:themeColor="text1"/>
          <w:szCs w:val="28"/>
          <w14:textFill>
            <w14:solidFill>
              <w14:schemeClr w14:val="tx1"/>
            </w14:solidFill>
          </w14:textFill>
        </w:rPr>
        <w:t>植物群落样方调查表</w:t>
      </w:r>
      <w:r>
        <w:rPr>
          <w:rFonts w:hint="eastAsia"/>
          <w:b/>
          <w:bCs/>
          <w:color w:val="000000" w:themeColor="text1"/>
          <w:szCs w:val="28"/>
          <w:lang w:val="en-US" w:eastAsia="zh-CN"/>
          <w14:textFill>
            <w14:solidFill>
              <w14:schemeClr w14:val="tx1"/>
            </w14:solidFill>
          </w14:textFill>
        </w:rPr>
        <w:t>6</w:t>
      </w:r>
      <w:r>
        <w:rPr>
          <w:rFonts w:hint="eastAsia"/>
          <w:b/>
          <w:bCs/>
          <w:color w:val="000000" w:themeColor="text1"/>
          <w:szCs w:val="28"/>
          <w14:textFill>
            <w14:solidFill>
              <w14:schemeClr w14:val="tx1"/>
            </w14:solidFill>
          </w14:textFill>
        </w:rPr>
        <w:t>（五节芒灌草丛）</w:t>
      </w:r>
    </w:p>
    <w:tbl>
      <w:tblPr>
        <w:tblStyle w:val="26"/>
        <w:tblW w:w="851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94"/>
        <w:gridCol w:w="932"/>
        <w:gridCol w:w="1540"/>
        <w:gridCol w:w="274"/>
        <w:gridCol w:w="1369"/>
        <w:gridCol w:w="824"/>
        <w:gridCol w:w="409"/>
        <w:gridCol w:w="959"/>
        <w:gridCol w:w="1112"/>
      </w:tblGrid>
      <w:tr w14:paraId="264D5D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4" w:type="dxa"/>
            <w:vMerge w:val="restart"/>
            <w:noWrap w:val="0"/>
            <w:vAlign w:val="center"/>
          </w:tcPr>
          <w:p w14:paraId="1C10CBF2">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植被类型</w:t>
            </w:r>
          </w:p>
        </w:tc>
        <w:tc>
          <w:tcPr>
            <w:tcW w:w="2746" w:type="dxa"/>
            <w:gridSpan w:val="3"/>
            <w:vMerge w:val="restart"/>
            <w:noWrap w:val="0"/>
            <w:vAlign w:val="center"/>
          </w:tcPr>
          <w:p w14:paraId="2D3674DA">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五节芒灌草丛(Form. Miscanthus floridulus)</w:t>
            </w:r>
          </w:p>
        </w:tc>
        <w:tc>
          <w:tcPr>
            <w:tcW w:w="4673" w:type="dxa"/>
            <w:gridSpan w:val="5"/>
            <w:noWrap w:val="0"/>
            <w:vAlign w:val="center"/>
          </w:tcPr>
          <w:p w14:paraId="5D93E224">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环境特征</w:t>
            </w:r>
          </w:p>
        </w:tc>
      </w:tr>
      <w:tr w14:paraId="352F6E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4" w:type="dxa"/>
            <w:vMerge w:val="continue"/>
            <w:noWrap w:val="0"/>
            <w:vAlign w:val="center"/>
          </w:tcPr>
          <w:p w14:paraId="1FEDF268">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p>
        </w:tc>
        <w:tc>
          <w:tcPr>
            <w:tcW w:w="2746" w:type="dxa"/>
            <w:gridSpan w:val="3"/>
            <w:vMerge w:val="continue"/>
            <w:noWrap w:val="0"/>
            <w:vAlign w:val="center"/>
          </w:tcPr>
          <w:p w14:paraId="07EAA57A">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p>
        </w:tc>
        <w:tc>
          <w:tcPr>
            <w:tcW w:w="1369" w:type="dxa"/>
            <w:noWrap w:val="0"/>
            <w:vAlign w:val="center"/>
          </w:tcPr>
          <w:p w14:paraId="7D10AC1E">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地形</w:t>
            </w:r>
          </w:p>
        </w:tc>
        <w:tc>
          <w:tcPr>
            <w:tcW w:w="1233" w:type="dxa"/>
            <w:gridSpan w:val="2"/>
            <w:noWrap w:val="0"/>
            <w:vAlign w:val="center"/>
          </w:tcPr>
          <w:p w14:paraId="7F60D43B">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海拔(m)</w:t>
            </w:r>
          </w:p>
        </w:tc>
        <w:tc>
          <w:tcPr>
            <w:tcW w:w="959" w:type="dxa"/>
            <w:noWrap w:val="0"/>
            <w:vAlign w:val="center"/>
          </w:tcPr>
          <w:p w14:paraId="42586D11">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坡向</w:t>
            </w:r>
          </w:p>
        </w:tc>
        <w:tc>
          <w:tcPr>
            <w:tcW w:w="1112" w:type="dxa"/>
            <w:noWrap w:val="0"/>
            <w:vAlign w:val="center"/>
          </w:tcPr>
          <w:p w14:paraId="607B5BA1">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坡度(°)</w:t>
            </w:r>
          </w:p>
        </w:tc>
      </w:tr>
      <w:tr w14:paraId="011CF2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4" w:type="dxa"/>
            <w:noWrap w:val="0"/>
            <w:vAlign w:val="center"/>
          </w:tcPr>
          <w:p w14:paraId="6A15460C">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地点</w:t>
            </w:r>
          </w:p>
        </w:tc>
        <w:tc>
          <w:tcPr>
            <w:tcW w:w="2746" w:type="dxa"/>
            <w:gridSpan w:val="3"/>
            <w:noWrap w:val="0"/>
            <w:vAlign w:val="center"/>
          </w:tcPr>
          <w:p w14:paraId="147240DE">
            <w:pPr>
              <w:spacing w:line="240" w:lineRule="auto"/>
              <w:jc w:val="center"/>
              <w:rPr>
                <w:rFonts w:hint="default" w:ascii="Times New Roman" w:hAnsi="Times New Roman" w:eastAsia="宋体" w:cs="Times New Roman"/>
                <w:color w:val="000000" w:themeColor="text1"/>
                <w:kern w:val="0"/>
                <w:sz w:val="20"/>
                <w:szCs w:val="20"/>
                <w:lang w:val="en-US" w:eastAsia="zh-CN"/>
                <w14:textFill>
                  <w14:solidFill>
                    <w14:schemeClr w14:val="tx1"/>
                  </w14:solidFill>
                </w14:textFill>
              </w:rPr>
            </w:pPr>
            <w:r>
              <w:rPr>
                <w:rFonts w:hint="eastAsia" w:cs="Times New Roman"/>
                <w:color w:val="000000" w:themeColor="text1"/>
                <w:kern w:val="0"/>
                <w:sz w:val="20"/>
                <w:szCs w:val="20"/>
                <w:lang w:val="en-US" w:eastAsia="zh-CN"/>
                <w14:textFill>
                  <w14:solidFill>
                    <w14:schemeClr w14:val="tx1"/>
                  </w14:solidFill>
                </w14:textFill>
              </w:rPr>
              <w:t>进场道路</w:t>
            </w:r>
          </w:p>
        </w:tc>
        <w:tc>
          <w:tcPr>
            <w:tcW w:w="1369" w:type="dxa"/>
            <w:noWrap w:val="0"/>
            <w:vAlign w:val="center"/>
          </w:tcPr>
          <w:p w14:paraId="27B15D9A">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山谷</w:t>
            </w:r>
          </w:p>
        </w:tc>
        <w:tc>
          <w:tcPr>
            <w:tcW w:w="1233" w:type="dxa"/>
            <w:gridSpan w:val="2"/>
            <w:noWrap w:val="0"/>
            <w:vAlign w:val="center"/>
          </w:tcPr>
          <w:p w14:paraId="2A555D48">
            <w:pPr>
              <w:spacing w:line="240" w:lineRule="auto"/>
              <w:jc w:val="center"/>
              <w:rPr>
                <w:rFonts w:hint="default" w:ascii="Times New Roman" w:hAnsi="Times New Roman" w:eastAsia="宋体" w:cs="Times New Roman"/>
                <w:color w:val="000000" w:themeColor="text1"/>
                <w:kern w:val="0"/>
                <w:sz w:val="20"/>
                <w:szCs w:val="20"/>
                <w:lang w:val="en-US" w:eastAsia="zh-CN"/>
                <w14:textFill>
                  <w14:solidFill>
                    <w14:schemeClr w14:val="tx1"/>
                  </w14:solidFill>
                </w14:textFill>
              </w:rPr>
            </w:pPr>
            <w:r>
              <w:rPr>
                <w:rFonts w:hint="eastAsia" w:cs="Times New Roman"/>
                <w:color w:val="000000" w:themeColor="text1"/>
                <w:kern w:val="0"/>
                <w:sz w:val="20"/>
                <w:szCs w:val="20"/>
                <w:lang w:val="en-US" w:eastAsia="zh-CN"/>
                <w14:textFill>
                  <w14:solidFill>
                    <w14:schemeClr w14:val="tx1"/>
                  </w14:solidFill>
                </w14:textFill>
              </w:rPr>
              <w:t>520</w:t>
            </w:r>
          </w:p>
        </w:tc>
        <w:tc>
          <w:tcPr>
            <w:tcW w:w="959" w:type="dxa"/>
            <w:noWrap w:val="0"/>
            <w:vAlign w:val="center"/>
          </w:tcPr>
          <w:p w14:paraId="3F1CA77A">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w:t>
            </w:r>
          </w:p>
        </w:tc>
        <w:tc>
          <w:tcPr>
            <w:tcW w:w="1112" w:type="dxa"/>
            <w:noWrap w:val="0"/>
            <w:vAlign w:val="center"/>
          </w:tcPr>
          <w:p w14:paraId="37D93094">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w:t>
            </w:r>
          </w:p>
        </w:tc>
      </w:tr>
      <w:tr w14:paraId="134784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4" w:type="dxa"/>
            <w:noWrap w:val="0"/>
            <w:vAlign w:val="center"/>
          </w:tcPr>
          <w:p w14:paraId="04418EEA">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经纬度</w:t>
            </w:r>
          </w:p>
        </w:tc>
        <w:tc>
          <w:tcPr>
            <w:tcW w:w="7419" w:type="dxa"/>
            <w:gridSpan w:val="8"/>
            <w:noWrap w:val="0"/>
            <w:vAlign w:val="center"/>
          </w:tcPr>
          <w:p w14:paraId="0F81A21B">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E：109°74′75.532″、N：26°17′05.593″</w:t>
            </w:r>
          </w:p>
        </w:tc>
      </w:tr>
      <w:tr w14:paraId="548A6D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4" w:type="dxa"/>
            <w:noWrap w:val="0"/>
            <w:vAlign w:val="center"/>
          </w:tcPr>
          <w:p w14:paraId="6A893177">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样方编号</w:t>
            </w:r>
          </w:p>
        </w:tc>
        <w:tc>
          <w:tcPr>
            <w:tcW w:w="2472" w:type="dxa"/>
            <w:gridSpan w:val="2"/>
            <w:noWrap w:val="0"/>
            <w:vAlign w:val="center"/>
          </w:tcPr>
          <w:p w14:paraId="4ED74AB0">
            <w:pPr>
              <w:spacing w:line="240" w:lineRule="auto"/>
              <w:jc w:val="center"/>
              <w:rPr>
                <w:rFonts w:hint="eastAsia" w:ascii="Times New Roman" w:hAnsi="Times New Roman" w:eastAsia="宋体" w:cs="Times New Roman"/>
                <w:color w:val="000000" w:themeColor="text1"/>
                <w:kern w:val="0"/>
                <w:sz w:val="20"/>
                <w:szCs w:val="20"/>
                <w:lang w:eastAsia="zh-CN"/>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w:t>
            </w:r>
            <w:r>
              <w:rPr>
                <w:rFonts w:hint="eastAsia" w:cs="Times New Roman"/>
                <w:color w:val="000000" w:themeColor="text1"/>
                <w:kern w:val="0"/>
                <w:sz w:val="20"/>
                <w:szCs w:val="20"/>
                <w:lang w:val="en-US" w:eastAsia="zh-CN"/>
                <w14:textFill>
                  <w14:solidFill>
                    <w14:schemeClr w14:val="tx1"/>
                  </w14:solidFill>
                </w14:textFill>
              </w:rPr>
              <w:t>6</w:t>
            </w:r>
          </w:p>
        </w:tc>
        <w:tc>
          <w:tcPr>
            <w:tcW w:w="2467" w:type="dxa"/>
            <w:gridSpan w:val="3"/>
            <w:noWrap w:val="0"/>
            <w:vAlign w:val="center"/>
          </w:tcPr>
          <w:p w14:paraId="505E95E1">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样方大小</w:t>
            </w:r>
          </w:p>
        </w:tc>
        <w:tc>
          <w:tcPr>
            <w:tcW w:w="2480" w:type="dxa"/>
            <w:gridSpan w:val="3"/>
            <w:noWrap w:val="0"/>
            <w:vAlign w:val="center"/>
          </w:tcPr>
          <w:p w14:paraId="386F0808">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1m×1m</w:t>
            </w:r>
          </w:p>
        </w:tc>
      </w:tr>
      <w:tr w14:paraId="7B70A1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4" w:type="dxa"/>
            <w:noWrap w:val="0"/>
            <w:vAlign w:val="center"/>
          </w:tcPr>
          <w:p w14:paraId="76FFB6C0">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层次</w:t>
            </w:r>
          </w:p>
        </w:tc>
        <w:tc>
          <w:tcPr>
            <w:tcW w:w="7419" w:type="dxa"/>
            <w:gridSpan w:val="8"/>
            <w:noWrap w:val="0"/>
            <w:vAlign w:val="center"/>
          </w:tcPr>
          <w:p w14:paraId="784F2F42">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一层</w:t>
            </w:r>
          </w:p>
        </w:tc>
      </w:tr>
      <w:tr w14:paraId="76EAE4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4" w:type="dxa"/>
            <w:noWrap w:val="0"/>
            <w:vAlign w:val="center"/>
          </w:tcPr>
          <w:p w14:paraId="33C44CED">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分层</w:t>
            </w:r>
          </w:p>
        </w:tc>
        <w:tc>
          <w:tcPr>
            <w:tcW w:w="932" w:type="dxa"/>
            <w:noWrap w:val="0"/>
            <w:vAlign w:val="center"/>
          </w:tcPr>
          <w:p w14:paraId="1E2284E6">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层盖度</w:t>
            </w:r>
          </w:p>
        </w:tc>
        <w:tc>
          <w:tcPr>
            <w:tcW w:w="6487" w:type="dxa"/>
            <w:gridSpan w:val="7"/>
            <w:noWrap w:val="0"/>
            <w:vAlign w:val="center"/>
          </w:tcPr>
          <w:p w14:paraId="382A551A">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种类组成与生长状况</w:t>
            </w:r>
          </w:p>
        </w:tc>
      </w:tr>
      <w:tr w14:paraId="410CA7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4" w:type="dxa"/>
            <w:noWrap w:val="0"/>
            <w:vAlign w:val="center"/>
          </w:tcPr>
          <w:p w14:paraId="3B859D48">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草本层</w:t>
            </w:r>
          </w:p>
        </w:tc>
        <w:tc>
          <w:tcPr>
            <w:tcW w:w="932" w:type="dxa"/>
            <w:noWrap w:val="0"/>
            <w:vAlign w:val="center"/>
          </w:tcPr>
          <w:p w14:paraId="70D27320">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盖度</w:t>
            </w:r>
            <w:r>
              <w:rPr>
                <w:rFonts w:hint="eastAsia" w:ascii="Times New Roman" w:hAnsi="Times New Roman" w:eastAsia="宋体" w:cs="Times New Roman"/>
                <w:color w:val="000000" w:themeColor="text1"/>
                <w:kern w:val="0"/>
                <w:sz w:val="20"/>
                <w:szCs w:val="20"/>
                <w:lang w:val="en-US" w:eastAsia="zh-CN"/>
                <w14:textFill>
                  <w14:solidFill>
                    <w14:schemeClr w14:val="tx1"/>
                  </w14:solidFill>
                </w14:textFill>
              </w:rPr>
              <w:t>85</w:t>
            </w:r>
            <w:r>
              <w:rPr>
                <w:rFonts w:hint="eastAsia" w:ascii="Times New Roman" w:hAnsi="Times New Roman" w:eastAsia="宋体" w:cs="Times New Roman"/>
                <w:color w:val="000000" w:themeColor="text1"/>
                <w:kern w:val="0"/>
                <w:sz w:val="20"/>
                <w:szCs w:val="20"/>
                <w14:textFill>
                  <w14:solidFill>
                    <w14:schemeClr w14:val="tx1"/>
                  </w14:solidFill>
                </w14:textFill>
              </w:rPr>
              <w:t>%</w:t>
            </w:r>
          </w:p>
        </w:tc>
        <w:tc>
          <w:tcPr>
            <w:tcW w:w="6487" w:type="dxa"/>
            <w:gridSpan w:val="7"/>
            <w:noWrap w:val="0"/>
            <w:vAlign w:val="center"/>
          </w:tcPr>
          <w:p w14:paraId="5A91B401">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层均高1.2m，优势种为五节芒(Miscanthus floridulus)，高约1.2m，盖度85%，主要伴生种为蕨(Pteridium aquilinum var. latiusculum)、黄背草(Themeda japonica)、狗牙根(Cynodon dactylon)、白茅(Imperata cylindrica)、全叶马兰(Kalimeris integrifolia)等。</w:t>
            </w:r>
          </w:p>
        </w:tc>
      </w:tr>
    </w:tbl>
    <w:p w14:paraId="5EBD5672">
      <w:pPr>
        <w:spacing w:before="120" w:beforeLines="50"/>
        <w:rPr>
          <w:color w:val="FF0000"/>
          <w:sz w:val="21"/>
        </w:rPr>
      </w:pPr>
    </w:p>
    <w:p w14:paraId="66555A11">
      <w:pPr>
        <w:keepNext/>
        <w:keepLines/>
        <w:spacing w:before="120" w:beforeLines="50" w:after="120" w:afterLines="50" w:line="240" w:lineRule="auto"/>
        <w:ind w:firstLine="2409" w:firstLineChars="1000"/>
        <w:jc w:val="both"/>
        <w:outlineLvl w:val="3"/>
        <w:rPr>
          <w:b/>
          <w:bCs/>
          <w:color w:val="000000" w:themeColor="text1"/>
          <w:szCs w:val="28"/>
          <w14:textFill>
            <w14:solidFill>
              <w14:schemeClr w14:val="tx1"/>
            </w14:solidFill>
          </w14:textFill>
        </w:rPr>
      </w:pPr>
      <w:r>
        <w:rPr>
          <w:rFonts w:hint="eastAsia"/>
          <w:b/>
          <w:bCs/>
          <w:color w:val="000000" w:themeColor="text1"/>
          <w:szCs w:val="28"/>
          <w14:textFill>
            <w14:solidFill>
              <w14:schemeClr w14:val="tx1"/>
            </w14:solidFill>
          </w14:textFill>
        </w:rPr>
        <w:t>植物群落样方调查表</w:t>
      </w:r>
      <w:r>
        <w:rPr>
          <w:rFonts w:hint="eastAsia"/>
          <w:b/>
          <w:bCs/>
          <w:color w:val="000000" w:themeColor="text1"/>
          <w:szCs w:val="28"/>
          <w:lang w:val="en-US" w:eastAsia="zh-CN"/>
          <w14:textFill>
            <w14:solidFill>
              <w14:schemeClr w14:val="tx1"/>
            </w14:solidFill>
          </w14:textFill>
        </w:rPr>
        <w:t>7</w:t>
      </w:r>
      <w:r>
        <w:rPr>
          <w:rFonts w:hint="eastAsia"/>
          <w:b/>
          <w:bCs/>
          <w:color w:val="000000" w:themeColor="text1"/>
          <w:szCs w:val="28"/>
          <w14:textFill>
            <w14:solidFill>
              <w14:schemeClr w14:val="tx1"/>
            </w14:solidFill>
          </w14:textFill>
        </w:rPr>
        <w:t>（紫萁灌丛）</w:t>
      </w:r>
    </w:p>
    <w:tbl>
      <w:tblPr>
        <w:tblStyle w:val="26"/>
        <w:tblW w:w="851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94"/>
        <w:gridCol w:w="932"/>
        <w:gridCol w:w="1540"/>
        <w:gridCol w:w="274"/>
        <w:gridCol w:w="1369"/>
        <w:gridCol w:w="824"/>
        <w:gridCol w:w="409"/>
        <w:gridCol w:w="959"/>
        <w:gridCol w:w="1112"/>
      </w:tblGrid>
      <w:tr w14:paraId="15912E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4" w:type="dxa"/>
            <w:vMerge w:val="restart"/>
            <w:noWrap w:val="0"/>
            <w:vAlign w:val="center"/>
          </w:tcPr>
          <w:p w14:paraId="2F7A0D43">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植被类型</w:t>
            </w:r>
          </w:p>
        </w:tc>
        <w:tc>
          <w:tcPr>
            <w:tcW w:w="2746" w:type="dxa"/>
            <w:gridSpan w:val="3"/>
            <w:vMerge w:val="restart"/>
            <w:noWrap w:val="0"/>
            <w:vAlign w:val="center"/>
          </w:tcPr>
          <w:p w14:paraId="6EBD0091">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紫萁灌丛（Form. Osmunda japonica Thunb.）</w:t>
            </w:r>
          </w:p>
        </w:tc>
        <w:tc>
          <w:tcPr>
            <w:tcW w:w="4673" w:type="dxa"/>
            <w:gridSpan w:val="5"/>
            <w:noWrap w:val="0"/>
            <w:vAlign w:val="center"/>
          </w:tcPr>
          <w:p w14:paraId="7F082147">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环境特征</w:t>
            </w:r>
          </w:p>
        </w:tc>
      </w:tr>
      <w:tr w14:paraId="13DF92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4" w:type="dxa"/>
            <w:vMerge w:val="continue"/>
            <w:noWrap w:val="0"/>
            <w:vAlign w:val="center"/>
          </w:tcPr>
          <w:p w14:paraId="432BD5AF">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p>
        </w:tc>
        <w:tc>
          <w:tcPr>
            <w:tcW w:w="2746" w:type="dxa"/>
            <w:gridSpan w:val="3"/>
            <w:vMerge w:val="continue"/>
            <w:noWrap w:val="0"/>
            <w:vAlign w:val="center"/>
          </w:tcPr>
          <w:p w14:paraId="34FC8ABB">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p>
        </w:tc>
        <w:tc>
          <w:tcPr>
            <w:tcW w:w="1369" w:type="dxa"/>
            <w:noWrap w:val="0"/>
            <w:vAlign w:val="center"/>
          </w:tcPr>
          <w:p w14:paraId="56C03F79">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地形</w:t>
            </w:r>
          </w:p>
        </w:tc>
        <w:tc>
          <w:tcPr>
            <w:tcW w:w="1233" w:type="dxa"/>
            <w:gridSpan w:val="2"/>
            <w:noWrap w:val="0"/>
            <w:vAlign w:val="center"/>
          </w:tcPr>
          <w:p w14:paraId="4302B36A">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海拔(m)</w:t>
            </w:r>
          </w:p>
        </w:tc>
        <w:tc>
          <w:tcPr>
            <w:tcW w:w="959" w:type="dxa"/>
            <w:noWrap w:val="0"/>
            <w:vAlign w:val="center"/>
          </w:tcPr>
          <w:p w14:paraId="4D51E209">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坡向</w:t>
            </w:r>
          </w:p>
        </w:tc>
        <w:tc>
          <w:tcPr>
            <w:tcW w:w="1112" w:type="dxa"/>
            <w:noWrap w:val="0"/>
            <w:vAlign w:val="center"/>
          </w:tcPr>
          <w:p w14:paraId="58A08222">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坡度(°)</w:t>
            </w:r>
          </w:p>
        </w:tc>
      </w:tr>
      <w:tr w14:paraId="55A099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4" w:type="dxa"/>
            <w:noWrap w:val="0"/>
            <w:vAlign w:val="center"/>
          </w:tcPr>
          <w:p w14:paraId="6815105E">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地点</w:t>
            </w:r>
          </w:p>
        </w:tc>
        <w:tc>
          <w:tcPr>
            <w:tcW w:w="2746" w:type="dxa"/>
            <w:gridSpan w:val="3"/>
            <w:noWrap w:val="0"/>
            <w:vAlign w:val="center"/>
          </w:tcPr>
          <w:p w14:paraId="031CCDFF">
            <w:pPr>
              <w:spacing w:line="240" w:lineRule="auto"/>
              <w:jc w:val="center"/>
              <w:rPr>
                <w:rFonts w:hint="default" w:ascii="Times New Roman" w:hAnsi="Times New Roman" w:eastAsia="宋体" w:cs="Times New Roman"/>
                <w:color w:val="000000" w:themeColor="text1"/>
                <w:kern w:val="0"/>
                <w:sz w:val="20"/>
                <w:szCs w:val="20"/>
                <w:lang w:val="en-US"/>
                <w14:textFill>
                  <w14:solidFill>
                    <w14:schemeClr w14:val="tx1"/>
                  </w14:solidFill>
                </w14:textFill>
              </w:rPr>
            </w:pPr>
            <w:r>
              <w:rPr>
                <w:rFonts w:hint="eastAsia" w:cs="Times New Roman"/>
                <w:color w:val="000000" w:themeColor="text1"/>
                <w:kern w:val="0"/>
                <w:sz w:val="20"/>
                <w:szCs w:val="20"/>
                <w:lang w:val="en-US" w:eastAsia="zh-CN"/>
                <w14:textFill>
                  <w14:solidFill>
                    <w14:schemeClr w14:val="tx1"/>
                  </w14:solidFill>
                </w14:textFill>
              </w:rPr>
              <w:t>10号风机位附近</w:t>
            </w:r>
          </w:p>
        </w:tc>
        <w:tc>
          <w:tcPr>
            <w:tcW w:w="1369" w:type="dxa"/>
            <w:noWrap w:val="0"/>
            <w:vAlign w:val="center"/>
          </w:tcPr>
          <w:p w14:paraId="468705B6">
            <w:pPr>
              <w:spacing w:line="240" w:lineRule="auto"/>
              <w:jc w:val="center"/>
              <w:rPr>
                <w:rFonts w:hint="default" w:ascii="Times New Roman" w:hAnsi="Times New Roman" w:eastAsia="宋体" w:cs="Times New Roman"/>
                <w:color w:val="000000" w:themeColor="text1"/>
                <w:kern w:val="0"/>
                <w:sz w:val="20"/>
                <w:szCs w:val="20"/>
                <w:lang w:val="en-US" w:eastAsia="zh-CN"/>
                <w14:textFill>
                  <w14:solidFill>
                    <w14:schemeClr w14:val="tx1"/>
                  </w14:solidFill>
                </w14:textFill>
              </w:rPr>
            </w:pPr>
            <w:r>
              <w:rPr>
                <w:rFonts w:hint="eastAsia" w:cs="Times New Roman"/>
                <w:color w:val="000000" w:themeColor="text1"/>
                <w:kern w:val="0"/>
                <w:sz w:val="20"/>
                <w:szCs w:val="20"/>
                <w:lang w:val="en-US" w:eastAsia="zh-CN"/>
                <w14:textFill>
                  <w14:solidFill>
                    <w14:schemeClr w14:val="tx1"/>
                  </w14:solidFill>
                </w14:textFill>
              </w:rPr>
              <w:t>坡地</w:t>
            </w:r>
          </w:p>
        </w:tc>
        <w:tc>
          <w:tcPr>
            <w:tcW w:w="1233" w:type="dxa"/>
            <w:gridSpan w:val="2"/>
            <w:noWrap w:val="0"/>
            <w:vAlign w:val="center"/>
          </w:tcPr>
          <w:p w14:paraId="1648C0A3">
            <w:pPr>
              <w:spacing w:line="240" w:lineRule="auto"/>
              <w:jc w:val="center"/>
              <w:rPr>
                <w:rFonts w:hint="default" w:ascii="Times New Roman" w:hAnsi="Times New Roman" w:eastAsia="宋体" w:cs="Times New Roman"/>
                <w:color w:val="000000" w:themeColor="text1"/>
                <w:kern w:val="0"/>
                <w:sz w:val="20"/>
                <w:szCs w:val="20"/>
                <w:lang w:val="en-US" w:eastAsia="zh-CN"/>
                <w14:textFill>
                  <w14:solidFill>
                    <w14:schemeClr w14:val="tx1"/>
                  </w14:solidFill>
                </w14:textFill>
              </w:rPr>
            </w:pPr>
            <w:r>
              <w:rPr>
                <w:rFonts w:hint="eastAsia" w:cs="Times New Roman"/>
                <w:color w:val="000000" w:themeColor="text1"/>
                <w:kern w:val="0"/>
                <w:sz w:val="20"/>
                <w:szCs w:val="20"/>
                <w:lang w:val="en-US" w:eastAsia="zh-CN"/>
                <w14:textFill>
                  <w14:solidFill>
                    <w14:schemeClr w14:val="tx1"/>
                  </w14:solidFill>
                </w14:textFill>
              </w:rPr>
              <w:t>950</w:t>
            </w:r>
          </w:p>
        </w:tc>
        <w:tc>
          <w:tcPr>
            <w:tcW w:w="959" w:type="dxa"/>
            <w:noWrap w:val="0"/>
            <w:vAlign w:val="center"/>
          </w:tcPr>
          <w:p w14:paraId="2A887685">
            <w:pPr>
              <w:spacing w:line="240" w:lineRule="auto"/>
              <w:jc w:val="center"/>
              <w:rPr>
                <w:rFonts w:hint="default" w:ascii="Times New Roman" w:hAnsi="Times New Roman" w:eastAsia="宋体" w:cs="Times New Roman"/>
                <w:color w:val="000000" w:themeColor="text1"/>
                <w:kern w:val="0"/>
                <w:sz w:val="20"/>
                <w:szCs w:val="20"/>
                <w:lang w:val="en-US" w:eastAsia="zh-CN"/>
                <w14:textFill>
                  <w14:solidFill>
                    <w14:schemeClr w14:val="tx1"/>
                  </w14:solidFill>
                </w14:textFill>
              </w:rPr>
            </w:pPr>
            <w:r>
              <w:rPr>
                <w:rFonts w:hint="eastAsia" w:cs="Times New Roman"/>
                <w:color w:val="000000" w:themeColor="text1"/>
                <w:kern w:val="0"/>
                <w:sz w:val="20"/>
                <w:szCs w:val="20"/>
                <w:lang w:val="en-US" w:eastAsia="zh-CN"/>
                <w14:textFill>
                  <w14:solidFill>
                    <w14:schemeClr w14:val="tx1"/>
                  </w14:solidFill>
                </w14:textFill>
              </w:rPr>
              <w:t>西北</w:t>
            </w:r>
          </w:p>
        </w:tc>
        <w:tc>
          <w:tcPr>
            <w:tcW w:w="1112" w:type="dxa"/>
            <w:noWrap w:val="0"/>
            <w:vAlign w:val="center"/>
          </w:tcPr>
          <w:p w14:paraId="09D8B356">
            <w:pPr>
              <w:spacing w:line="240" w:lineRule="auto"/>
              <w:jc w:val="center"/>
              <w:rPr>
                <w:rFonts w:hint="default" w:ascii="Times New Roman" w:hAnsi="Times New Roman" w:eastAsia="宋体" w:cs="Times New Roman"/>
                <w:color w:val="000000" w:themeColor="text1"/>
                <w:kern w:val="0"/>
                <w:sz w:val="20"/>
                <w:szCs w:val="20"/>
                <w:lang w:val="en-US" w:eastAsia="zh-CN"/>
                <w14:textFill>
                  <w14:solidFill>
                    <w14:schemeClr w14:val="tx1"/>
                  </w14:solidFill>
                </w14:textFill>
              </w:rPr>
            </w:pPr>
            <w:r>
              <w:rPr>
                <w:rFonts w:hint="eastAsia" w:cs="Times New Roman"/>
                <w:color w:val="000000" w:themeColor="text1"/>
                <w:kern w:val="0"/>
                <w:sz w:val="20"/>
                <w:szCs w:val="20"/>
                <w:lang w:val="en-US" w:eastAsia="zh-CN"/>
                <w14:textFill>
                  <w14:solidFill>
                    <w14:schemeClr w14:val="tx1"/>
                  </w14:solidFill>
                </w14:textFill>
              </w:rPr>
              <w:t>30</w:t>
            </w:r>
          </w:p>
        </w:tc>
      </w:tr>
      <w:tr w14:paraId="675968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4" w:type="dxa"/>
            <w:noWrap w:val="0"/>
            <w:vAlign w:val="center"/>
          </w:tcPr>
          <w:p w14:paraId="488F5263">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经纬度</w:t>
            </w:r>
          </w:p>
        </w:tc>
        <w:tc>
          <w:tcPr>
            <w:tcW w:w="7419" w:type="dxa"/>
            <w:gridSpan w:val="8"/>
            <w:noWrap w:val="0"/>
            <w:vAlign w:val="center"/>
          </w:tcPr>
          <w:p w14:paraId="3FAB9E85">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E：109°68′03.593″、N：26°44′82.785″</w:t>
            </w:r>
          </w:p>
        </w:tc>
      </w:tr>
      <w:tr w14:paraId="426599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4" w:type="dxa"/>
            <w:noWrap w:val="0"/>
            <w:vAlign w:val="center"/>
          </w:tcPr>
          <w:p w14:paraId="475D8C88">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样方编号</w:t>
            </w:r>
          </w:p>
        </w:tc>
        <w:tc>
          <w:tcPr>
            <w:tcW w:w="2472" w:type="dxa"/>
            <w:gridSpan w:val="2"/>
            <w:noWrap w:val="0"/>
            <w:vAlign w:val="center"/>
          </w:tcPr>
          <w:p w14:paraId="2B92A8CF">
            <w:pPr>
              <w:spacing w:line="240" w:lineRule="auto"/>
              <w:jc w:val="center"/>
              <w:rPr>
                <w:rFonts w:hint="eastAsia" w:ascii="Times New Roman" w:hAnsi="Times New Roman" w:eastAsia="宋体" w:cs="Times New Roman"/>
                <w:color w:val="000000" w:themeColor="text1"/>
                <w:kern w:val="0"/>
                <w:sz w:val="20"/>
                <w:szCs w:val="20"/>
                <w:lang w:eastAsia="zh-CN"/>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w:t>
            </w:r>
            <w:r>
              <w:rPr>
                <w:rFonts w:hint="eastAsia" w:cs="Times New Roman"/>
                <w:color w:val="000000" w:themeColor="text1"/>
                <w:kern w:val="0"/>
                <w:sz w:val="20"/>
                <w:szCs w:val="20"/>
                <w:lang w:val="en-US" w:eastAsia="zh-CN"/>
                <w14:textFill>
                  <w14:solidFill>
                    <w14:schemeClr w14:val="tx1"/>
                  </w14:solidFill>
                </w14:textFill>
              </w:rPr>
              <w:t>7</w:t>
            </w:r>
          </w:p>
        </w:tc>
        <w:tc>
          <w:tcPr>
            <w:tcW w:w="2467" w:type="dxa"/>
            <w:gridSpan w:val="3"/>
            <w:noWrap w:val="0"/>
            <w:vAlign w:val="center"/>
          </w:tcPr>
          <w:p w14:paraId="4E7565DB">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样方大小</w:t>
            </w:r>
          </w:p>
        </w:tc>
        <w:tc>
          <w:tcPr>
            <w:tcW w:w="2480" w:type="dxa"/>
            <w:gridSpan w:val="3"/>
            <w:noWrap w:val="0"/>
            <w:vAlign w:val="center"/>
          </w:tcPr>
          <w:p w14:paraId="5BC679AE">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1m×1m</w:t>
            </w:r>
          </w:p>
        </w:tc>
      </w:tr>
      <w:tr w14:paraId="3EAA97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4" w:type="dxa"/>
            <w:noWrap w:val="0"/>
            <w:vAlign w:val="center"/>
          </w:tcPr>
          <w:p w14:paraId="15D29A07">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层次</w:t>
            </w:r>
          </w:p>
        </w:tc>
        <w:tc>
          <w:tcPr>
            <w:tcW w:w="7419" w:type="dxa"/>
            <w:gridSpan w:val="8"/>
            <w:noWrap w:val="0"/>
            <w:vAlign w:val="center"/>
          </w:tcPr>
          <w:p w14:paraId="7AF2AFC0">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一层</w:t>
            </w:r>
          </w:p>
        </w:tc>
      </w:tr>
      <w:tr w14:paraId="442178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4" w:type="dxa"/>
            <w:noWrap w:val="0"/>
            <w:vAlign w:val="center"/>
          </w:tcPr>
          <w:p w14:paraId="3E1C1F73">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分层</w:t>
            </w:r>
          </w:p>
        </w:tc>
        <w:tc>
          <w:tcPr>
            <w:tcW w:w="932" w:type="dxa"/>
            <w:noWrap w:val="0"/>
            <w:vAlign w:val="center"/>
          </w:tcPr>
          <w:p w14:paraId="794CBE05">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层盖度</w:t>
            </w:r>
          </w:p>
        </w:tc>
        <w:tc>
          <w:tcPr>
            <w:tcW w:w="6487" w:type="dxa"/>
            <w:gridSpan w:val="7"/>
            <w:noWrap w:val="0"/>
            <w:vAlign w:val="center"/>
          </w:tcPr>
          <w:p w14:paraId="1E6417B3">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种类组成与生长状况</w:t>
            </w:r>
          </w:p>
        </w:tc>
      </w:tr>
      <w:tr w14:paraId="269A83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4" w:type="dxa"/>
            <w:noWrap w:val="0"/>
            <w:vAlign w:val="center"/>
          </w:tcPr>
          <w:p w14:paraId="1C8CE48A">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草本层</w:t>
            </w:r>
          </w:p>
        </w:tc>
        <w:tc>
          <w:tcPr>
            <w:tcW w:w="932" w:type="dxa"/>
            <w:noWrap w:val="0"/>
            <w:vAlign w:val="center"/>
          </w:tcPr>
          <w:p w14:paraId="638DC088">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盖度</w:t>
            </w:r>
            <w:r>
              <w:rPr>
                <w:rFonts w:hint="eastAsia" w:ascii="Times New Roman" w:hAnsi="Times New Roman" w:eastAsia="宋体" w:cs="Times New Roman"/>
                <w:color w:val="000000" w:themeColor="text1"/>
                <w:kern w:val="0"/>
                <w:sz w:val="20"/>
                <w:szCs w:val="20"/>
                <w:lang w:val="en-US" w:eastAsia="zh-CN"/>
                <w14:textFill>
                  <w14:solidFill>
                    <w14:schemeClr w14:val="tx1"/>
                  </w14:solidFill>
                </w14:textFill>
              </w:rPr>
              <w:t>8</w:t>
            </w:r>
            <w:r>
              <w:rPr>
                <w:rFonts w:hint="eastAsia" w:ascii="Times New Roman" w:hAnsi="Times New Roman" w:eastAsia="宋体" w:cs="Times New Roman"/>
                <w:color w:val="000000" w:themeColor="text1"/>
                <w:kern w:val="0"/>
                <w:sz w:val="20"/>
                <w:szCs w:val="20"/>
                <w14:textFill>
                  <w14:solidFill>
                    <w14:schemeClr w14:val="tx1"/>
                  </w14:solidFill>
                </w14:textFill>
              </w:rPr>
              <w:t>0%</w:t>
            </w:r>
          </w:p>
        </w:tc>
        <w:tc>
          <w:tcPr>
            <w:tcW w:w="6487" w:type="dxa"/>
            <w:gridSpan w:val="7"/>
            <w:noWrap w:val="0"/>
            <w:vAlign w:val="center"/>
          </w:tcPr>
          <w:p w14:paraId="4DB2F81C">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层平均高度为1.3m，优势种为紫萁（Osmunda japonica Thunb），此外还有山胡椒、盐肤木等；草本层盖度为10%，层平均高度为0.2m，分布有酢浆草、荩草等</w:t>
            </w:r>
          </w:p>
        </w:tc>
      </w:tr>
    </w:tbl>
    <w:p w14:paraId="7AC41541">
      <w:pPr>
        <w:keepNext/>
        <w:keepLines/>
        <w:spacing w:before="120" w:beforeLines="50" w:after="120" w:afterLines="50" w:line="240" w:lineRule="auto"/>
        <w:ind w:firstLine="2409" w:firstLineChars="1000"/>
        <w:jc w:val="both"/>
        <w:outlineLvl w:val="3"/>
        <w:rPr>
          <w:b/>
          <w:bCs/>
          <w:color w:val="000000" w:themeColor="text1"/>
          <w:szCs w:val="28"/>
          <w14:textFill>
            <w14:solidFill>
              <w14:schemeClr w14:val="tx1"/>
            </w14:solidFill>
          </w14:textFill>
        </w:rPr>
      </w:pPr>
      <w:r>
        <w:rPr>
          <w:rFonts w:hint="eastAsia"/>
          <w:b/>
          <w:bCs/>
          <w:color w:val="000000" w:themeColor="text1"/>
          <w:szCs w:val="28"/>
          <w14:textFill>
            <w14:solidFill>
              <w14:schemeClr w14:val="tx1"/>
            </w14:solidFill>
          </w14:textFill>
        </w:rPr>
        <w:t>植物群落样方调查表</w:t>
      </w:r>
      <w:r>
        <w:rPr>
          <w:rFonts w:hint="eastAsia"/>
          <w:b/>
          <w:bCs/>
          <w:color w:val="000000" w:themeColor="text1"/>
          <w:szCs w:val="28"/>
          <w:lang w:val="en-US" w:eastAsia="zh-CN"/>
          <w14:textFill>
            <w14:solidFill>
              <w14:schemeClr w14:val="tx1"/>
            </w14:solidFill>
          </w14:textFill>
        </w:rPr>
        <w:t>8</w:t>
      </w:r>
      <w:r>
        <w:rPr>
          <w:rFonts w:hint="eastAsia"/>
          <w:b/>
          <w:bCs/>
          <w:color w:val="000000" w:themeColor="text1"/>
          <w:szCs w:val="28"/>
          <w14:textFill>
            <w14:solidFill>
              <w14:schemeClr w14:val="tx1"/>
            </w14:solidFill>
          </w14:textFill>
        </w:rPr>
        <w:t>（卫矛灌丛）</w:t>
      </w:r>
    </w:p>
    <w:tbl>
      <w:tblPr>
        <w:tblStyle w:val="26"/>
        <w:tblW w:w="851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94"/>
        <w:gridCol w:w="932"/>
        <w:gridCol w:w="1540"/>
        <w:gridCol w:w="274"/>
        <w:gridCol w:w="1369"/>
        <w:gridCol w:w="824"/>
        <w:gridCol w:w="409"/>
        <w:gridCol w:w="959"/>
        <w:gridCol w:w="1112"/>
      </w:tblGrid>
      <w:tr w14:paraId="1BD3CB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4" w:type="dxa"/>
            <w:vMerge w:val="restart"/>
            <w:noWrap w:val="0"/>
            <w:vAlign w:val="center"/>
          </w:tcPr>
          <w:p w14:paraId="0DACFF6F">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植被类型</w:t>
            </w:r>
          </w:p>
        </w:tc>
        <w:tc>
          <w:tcPr>
            <w:tcW w:w="2746" w:type="dxa"/>
            <w:gridSpan w:val="3"/>
            <w:vMerge w:val="restart"/>
            <w:noWrap w:val="0"/>
            <w:vAlign w:val="center"/>
          </w:tcPr>
          <w:p w14:paraId="4D9AB5AB">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卫矛灌丛（Form. Euonymus alatus）</w:t>
            </w:r>
          </w:p>
        </w:tc>
        <w:tc>
          <w:tcPr>
            <w:tcW w:w="4673" w:type="dxa"/>
            <w:gridSpan w:val="5"/>
            <w:noWrap w:val="0"/>
            <w:vAlign w:val="center"/>
          </w:tcPr>
          <w:p w14:paraId="0D66B724">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环境特征</w:t>
            </w:r>
          </w:p>
        </w:tc>
      </w:tr>
      <w:tr w14:paraId="45965C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4" w:type="dxa"/>
            <w:vMerge w:val="continue"/>
            <w:noWrap w:val="0"/>
            <w:vAlign w:val="center"/>
          </w:tcPr>
          <w:p w14:paraId="4B006A14">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p>
        </w:tc>
        <w:tc>
          <w:tcPr>
            <w:tcW w:w="2746" w:type="dxa"/>
            <w:gridSpan w:val="3"/>
            <w:vMerge w:val="continue"/>
            <w:noWrap w:val="0"/>
            <w:vAlign w:val="center"/>
          </w:tcPr>
          <w:p w14:paraId="614F6121">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p>
        </w:tc>
        <w:tc>
          <w:tcPr>
            <w:tcW w:w="1369" w:type="dxa"/>
            <w:noWrap w:val="0"/>
            <w:vAlign w:val="center"/>
          </w:tcPr>
          <w:p w14:paraId="2DBCA557">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地形</w:t>
            </w:r>
          </w:p>
        </w:tc>
        <w:tc>
          <w:tcPr>
            <w:tcW w:w="1233" w:type="dxa"/>
            <w:gridSpan w:val="2"/>
            <w:noWrap w:val="0"/>
            <w:vAlign w:val="center"/>
          </w:tcPr>
          <w:p w14:paraId="6EDC623D">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海拔(m)</w:t>
            </w:r>
          </w:p>
        </w:tc>
        <w:tc>
          <w:tcPr>
            <w:tcW w:w="959" w:type="dxa"/>
            <w:noWrap w:val="0"/>
            <w:vAlign w:val="center"/>
          </w:tcPr>
          <w:p w14:paraId="5187BA0D">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坡向</w:t>
            </w:r>
          </w:p>
        </w:tc>
        <w:tc>
          <w:tcPr>
            <w:tcW w:w="1112" w:type="dxa"/>
            <w:noWrap w:val="0"/>
            <w:vAlign w:val="center"/>
          </w:tcPr>
          <w:p w14:paraId="4DC08367">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坡度(°)</w:t>
            </w:r>
          </w:p>
        </w:tc>
      </w:tr>
      <w:tr w14:paraId="7ECFCD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4" w:type="dxa"/>
            <w:noWrap w:val="0"/>
            <w:vAlign w:val="center"/>
          </w:tcPr>
          <w:p w14:paraId="3CB08476">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地点</w:t>
            </w:r>
          </w:p>
        </w:tc>
        <w:tc>
          <w:tcPr>
            <w:tcW w:w="2746" w:type="dxa"/>
            <w:gridSpan w:val="3"/>
            <w:noWrap w:val="0"/>
            <w:vAlign w:val="center"/>
          </w:tcPr>
          <w:p w14:paraId="10E5B343">
            <w:pPr>
              <w:spacing w:line="240" w:lineRule="auto"/>
              <w:jc w:val="center"/>
              <w:rPr>
                <w:rFonts w:hint="default" w:ascii="Times New Roman" w:hAnsi="Times New Roman" w:eastAsia="宋体" w:cs="Times New Roman"/>
                <w:color w:val="000000" w:themeColor="text1"/>
                <w:kern w:val="0"/>
                <w:sz w:val="20"/>
                <w:szCs w:val="20"/>
                <w:lang w:val="en-US"/>
                <w14:textFill>
                  <w14:solidFill>
                    <w14:schemeClr w14:val="tx1"/>
                  </w14:solidFill>
                </w14:textFill>
              </w:rPr>
            </w:pPr>
            <w:r>
              <w:rPr>
                <w:rFonts w:hint="eastAsia" w:cs="Times New Roman"/>
                <w:color w:val="000000" w:themeColor="text1"/>
                <w:kern w:val="0"/>
                <w:sz w:val="20"/>
                <w:szCs w:val="20"/>
                <w:lang w:val="en-US" w:eastAsia="zh-CN"/>
                <w14:textFill>
                  <w14:solidFill>
                    <w14:schemeClr w14:val="tx1"/>
                  </w14:solidFill>
                </w14:textFill>
              </w:rPr>
              <w:t>7号弃渣场</w:t>
            </w:r>
          </w:p>
        </w:tc>
        <w:tc>
          <w:tcPr>
            <w:tcW w:w="1369" w:type="dxa"/>
            <w:noWrap w:val="0"/>
            <w:vAlign w:val="center"/>
          </w:tcPr>
          <w:p w14:paraId="0A30C025">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坡地</w:t>
            </w:r>
          </w:p>
        </w:tc>
        <w:tc>
          <w:tcPr>
            <w:tcW w:w="1233" w:type="dxa"/>
            <w:gridSpan w:val="2"/>
            <w:noWrap w:val="0"/>
            <w:vAlign w:val="center"/>
          </w:tcPr>
          <w:p w14:paraId="71191F3C">
            <w:pPr>
              <w:spacing w:line="240" w:lineRule="auto"/>
              <w:jc w:val="center"/>
              <w:rPr>
                <w:rFonts w:hint="default" w:ascii="Times New Roman" w:hAnsi="Times New Roman" w:eastAsia="宋体" w:cs="Times New Roman"/>
                <w:color w:val="000000" w:themeColor="text1"/>
                <w:kern w:val="0"/>
                <w:sz w:val="20"/>
                <w:szCs w:val="20"/>
                <w:lang w:val="en-US" w:eastAsia="zh-CN"/>
                <w14:textFill>
                  <w14:solidFill>
                    <w14:schemeClr w14:val="tx1"/>
                  </w14:solidFill>
                </w14:textFill>
              </w:rPr>
            </w:pPr>
            <w:r>
              <w:rPr>
                <w:rFonts w:hint="eastAsia" w:cs="Times New Roman"/>
                <w:color w:val="000000" w:themeColor="text1"/>
                <w:kern w:val="0"/>
                <w:sz w:val="20"/>
                <w:szCs w:val="20"/>
                <w:lang w:val="en-US" w:eastAsia="zh-CN"/>
                <w14:textFill>
                  <w14:solidFill>
                    <w14:schemeClr w14:val="tx1"/>
                  </w14:solidFill>
                </w14:textFill>
              </w:rPr>
              <w:t>720</w:t>
            </w:r>
          </w:p>
        </w:tc>
        <w:tc>
          <w:tcPr>
            <w:tcW w:w="959" w:type="dxa"/>
            <w:noWrap w:val="0"/>
            <w:vAlign w:val="center"/>
          </w:tcPr>
          <w:p w14:paraId="3441AA9E">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cs="Times New Roman"/>
                <w:color w:val="000000" w:themeColor="text1"/>
                <w:kern w:val="0"/>
                <w:sz w:val="20"/>
                <w:szCs w:val="20"/>
                <w:lang w:val="en-US" w:eastAsia="zh-CN"/>
                <w14:textFill>
                  <w14:solidFill>
                    <w14:schemeClr w14:val="tx1"/>
                  </w14:solidFill>
                </w14:textFill>
              </w:rPr>
              <w:t>东</w:t>
            </w:r>
            <w:r>
              <w:rPr>
                <w:rFonts w:hint="eastAsia" w:ascii="Times New Roman" w:hAnsi="Times New Roman" w:eastAsia="宋体" w:cs="Times New Roman"/>
                <w:color w:val="000000" w:themeColor="text1"/>
                <w:kern w:val="0"/>
                <w:sz w:val="20"/>
                <w:szCs w:val="20"/>
                <w14:textFill>
                  <w14:solidFill>
                    <w14:schemeClr w14:val="tx1"/>
                  </w14:solidFill>
                </w14:textFill>
              </w:rPr>
              <w:t>北</w:t>
            </w:r>
          </w:p>
        </w:tc>
        <w:tc>
          <w:tcPr>
            <w:tcW w:w="1112" w:type="dxa"/>
            <w:noWrap w:val="0"/>
            <w:vAlign w:val="center"/>
          </w:tcPr>
          <w:p w14:paraId="0E9D868E">
            <w:pPr>
              <w:spacing w:line="240" w:lineRule="auto"/>
              <w:jc w:val="center"/>
              <w:rPr>
                <w:rFonts w:hint="default" w:ascii="Times New Roman" w:hAnsi="Times New Roman" w:eastAsia="宋体" w:cs="Times New Roman"/>
                <w:color w:val="000000" w:themeColor="text1"/>
                <w:kern w:val="0"/>
                <w:sz w:val="20"/>
                <w:szCs w:val="20"/>
                <w:lang w:val="en-US" w:eastAsia="zh-CN"/>
                <w14:textFill>
                  <w14:solidFill>
                    <w14:schemeClr w14:val="tx1"/>
                  </w14:solidFill>
                </w14:textFill>
              </w:rPr>
            </w:pPr>
            <w:r>
              <w:rPr>
                <w:rFonts w:hint="eastAsia" w:cs="Times New Roman"/>
                <w:color w:val="000000" w:themeColor="text1"/>
                <w:kern w:val="0"/>
                <w:sz w:val="20"/>
                <w:szCs w:val="20"/>
                <w:lang w:val="en-US" w:eastAsia="zh-CN"/>
                <w14:textFill>
                  <w14:solidFill>
                    <w14:schemeClr w14:val="tx1"/>
                  </w14:solidFill>
                </w14:textFill>
              </w:rPr>
              <w:t>20</w:t>
            </w:r>
          </w:p>
        </w:tc>
      </w:tr>
      <w:tr w14:paraId="4D3968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4" w:type="dxa"/>
            <w:noWrap w:val="0"/>
            <w:vAlign w:val="center"/>
          </w:tcPr>
          <w:p w14:paraId="6429EE0C">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经纬度</w:t>
            </w:r>
          </w:p>
        </w:tc>
        <w:tc>
          <w:tcPr>
            <w:tcW w:w="7419" w:type="dxa"/>
            <w:gridSpan w:val="8"/>
            <w:noWrap w:val="0"/>
            <w:vAlign w:val="center"/>
          </w:tcPr>
          <w:p w14:paraId="3A62BA19">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E：109°67′15.174″、N：26°09′92.714″</w:t>
            </w:r>
          </w:p>
        </w:tc>
      </w:tr>
      <w:tr w14:paraId="11F556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4" w:type="dxa"/>
            <w:noWrap w:val="0"/>
            <w:vAlign w:val="center"/>
          </w:tcPr>
          <w:p w14:paraId="366BE81C">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样方编号</w:t>
            </w:r>
          </w:p>
        </w:tc>
        <w:tc>
          <w:tcPr>
            <w:tcW w:w="2472" w:type="dxa"/>
            <w:gridSpan w:val="2"/>
            <w:noWrap w:val="0"/>
            <w:vAlign w:val="center"/>
          </w:tcPr>
          <w:p w14:paraId="4E2A1A4C">
            <w:pPr>
              <w:spacing w:line="240" w:lineRule="auto"/>
              <w:jc w:val="center"/>
              <w:rPr>
                <w:rFonts w:hint="eastAsia" w:ascii="Times New Roman" w:hAnsi="Times New Roman" w:eastAsia="宋体" w:cs="Times New Roman"/>
                <w:color w:val="000000" w:themeColor="text1"/>
                <w:kern w:val="0"/>
                <w:sz w:val="20"/>
                <w:szCs w:val="20"/>
                <w:lang w:eastAsia="zh-CN"/>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w:t>
            </w:r>
            <w:r>
              <w:rPr>
                <w:rFonts w:hint="eastAsia" w:cs="Times New Roman"/>
                <w:color w:val="000000" w:themeColor="text1"/>
                <w:kern w:val="0"/>
                <w:sz w:val="20"/>
                <w:szCs w:val="20"/>
                <w:lang w:val="en-US" w:eastAsia="zh-CN"/>
                <w14:textFill>
                  <w14:solidFill>
                    <w14:schemeClr w14:val="tx1"/>
                  </w14:solidFill>
                </w14:textFill>
              </w:rPr>
              <w:t>8</w:t>
            </w:r>
          </w:p>
        </w:tc>
        <w:tc>
          <w:tcPr>
            <w:tcW w:w="2467" w:type="dxa"/>
            <w:gridSpan w:val="3"/>
            <w:noWrap w:val="0"/>
            <w:vAlign w:val="center"/>
          </w:tcPr>
          <w:p w14:paraId="5B58BA0D">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样方大小</w:t>
            </w:r>
          </w:p>
        </w:tc>
        <w:tc>
          <w:tcPr>
            <w:tcW w:w="2480" w:type="dxa"/>
            <w:gridSpan w:val="3"/>
            <w:noWrap w:val="0"/>
            <w:vAlign w:val="center"/>
          </w:tcPr>
          <w:p w14:paraId="56666499">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1m×1m</w:t>
            </w:r>
          </w:p>
        </w:tc>
      </w:tr>
      <w:tr w14:paraId="1304E7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4" w:type="dxa"/>
            <w:noWrap w:val="0"/>
            <w:vAlign w:val="center"/>
          </w:tcPr>
          <w:p w14:paraId="167183D7">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层次</w:t>
            </w:r>
          </w:p>
        </w:tc>
        <w:tc>
          <w:tcPr>
            <w:tcW w:w="7419" w:type="dxa"/>
            <w:gridSpan w:val="8"/>
            <w:noWrap w:val="0"/>
            <w:vAlign w:val="center"/>
          </w:tcPr>
          <w:p w14:paraId="7242CCC9">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一层</w:t>
            </w:r>
          </w:p>
        </w:tc>
      </w:tr>
      <w:tr w14:paraId="066012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4" w:type="dxa"/>
            <w:noWrap w:val="0"/>
            <w:vAlign w:val="center"/>
          </w:tcPr>
          <w:p w14:paraId="4C9BC9B1">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分层</w:t>
            </w:r>
          </w:p>
        </w:tc>
        <w:tc>
          <w:tcPr>
            <w:tcW w:w="932" w:type="dxa"/>
            <w:noWrap w:val="0"/>
            <w:vAlign w:val="center"/>
          </w:tcPr>
          <w:p w14:paraId="76D64B75">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层盖度</w:t>
            </w:r>
          </w:p>
        </w:tc>
        <w:tc>
          <w:tcPr>
            <w:tcW w:w="6487" w:type="dxa"/>
            <w:gridSpan w:val="7"/>
            <w:noWrap w:val="0"/>
            <w:vAlign w:val="center"/>
          </w:tcPr>
          <w:p w14:paraId="3D44573F">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种类组成与生长状况</w:t>
            </w:r>
          </w:p>
        </w:tc>
      </w:tr>
      <w:tr w14:paraId="5295A5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4" w:type="dxa"/>
            <w:noWrap w:val="0"/>
            <w:vAlign w:val="center"/>
          </w:tcPr>
          <w:p w14:paraId="478EDB13">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草本层</w:t>
            </w:r>
          </w:p>
        </w:tc>
        <w:tc>
          <w:tcPr>
            <w:tcW w:w="932" w:type="dxa"/>
            <w:noWrap w:val="0"/>
            <w:vAlign w:val="center"/>
          </w:tcPr>
          <w:p w14:paraId="43B6CC1A">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盖度90%</w:t>
            </w:r>
          </w:p>
        </w:tc>
        <w:tc>
          <w:tcPr>
            <w:tcW w:w="6487" w:type="dxa"/>
            <w:gridSpan w:val="7"/>
            <w:noWrap w:val="0"/>
            <w:vAlign w:val="center"/>
          </w:tcPr>
          <w:p w14:paraId="710B003F">
            <w:pPr>
              <w:spacing w:line="240" w:lineRule="auto"/>
              <w:jc w:val="center"/>
              <w:rPr>
                <w:rFonts w:hint="eastAsia" w:ascii="Times New Roman" w:hAnsi="Times New Roman" w:eastAsia="宋体" w:cs="Times New Roman"/>
                <w:color w:val="000000" w:themeColor="text1"/>
                <w:kern w:val="0"/>
                <w:sz w:val="20"/>
                <w:szCs w:val="20"/>
                <w:lang w:eastAsia="zh-CN"/>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层平均高度为3.5m，优势种为卫矛（Euonymus alatus），此外还有山樱桃（Cerasus tomentosa）、湖北海棠等；草本层盖度为15%，层平均高度为0.25m，分布有鸢尾、淫羊藿（Epimedium fargesii ）、荩草、蕨</w:t>
            </w:r>
            <w:r>
              <w:rPr>
                <w:rFonts w:hint="eastAsia" w:ascii="Times New Roman" w:hAnsi="Times New Roman" w:eastAsia="宋体" w:cs="Times New Roman"/>
                <w:color w:val="000000" w:themeColor="text1"/>
                <w:kern w:val="0"/>
                <w:sz w:val="20"/>
                <w:szCs w:val="20"/>
                <w:lang w:eastAsia="zh-CN"/>
                <w14:textFill>
                  <w14:solidFill>
                    <w14:schemeClr w14:val="tx1"/>
                  </w14:solidFill>
                </w14:textFill>
              </w:rPr>
              <w:t>。</w:t>
            </w:r>
          </w:p>
        </w:tc>
      </w:tr>
    </w:tbl>
    <w:p w14:paraId="6BBBACD6">
      <w:pPr>
        <w:keepNext/>
        <w:keepLines/>
        <w:spacing w:before="120" w:beforeLines="50" w:after="120" w:afterLines="50" w:line="240" w:lineRule="auto"/>
        <w:ind w:firstLine="2168" w:firstLineChars="900"/>
        <w:jc w:val="both"/>
        <w:outlineLvl w:val="3"/>
        <w:rPr>
          <w:b/>
          <w:bCs/>
          <w:color w:val="FF0000"/>
          <w:szCs w:val="28"/>
        </w:rPr>
      </w:pPr>
    </w:p>
    <w:p w14:paraId="5AF60F60">
      <w:pPr>
        <w:keepNext/>
        <w:keepLines/>
        <w:spacing w:before="120" w:beforeLines="50" w:after="120" w:afterLines="50" w:line="240" w:lineRule="auto"/>
        <w:ind w:firstLine="2168" w:firstLineChars="900"/>
        <w:jc w:val="both"/>
        <w:outlineLvl w:val="3"/>
        <w:rPr>
          <w:b/>
          <w:bCs/>
          <w:color w:val="000000" w:themeColor="text1"/>
          <w:szCs w:val="28"/>
          <w14:textFill>
            <w14:solidFill>
              <w14:schemeClr w14:val="tx1"/>
            </w14:solidFill>
          </w14:textFill>
        </w:rPr>
      </w:pPr>
      <w:r>
        <w:rPr>
          <w:b/>
          <w:bCs/>
          <w:color w:val="000000" w:themeColor="text1"/>
          <w:szCs w:val="28"/>
          <w14:textFill>
            <w14:solidFill>
              <w14:schemeClr w14:val="tx1"/>
            </w14:solidFill>
          </w14:textFill>
        </w:rPr>
        <w:t>植物群落样方调查表</w:t>
      </w:r>
      <w:r>
        <w:rPr>
          <w:rFonts w:hint="eastAsia"/>
          <w:b/>
          <w:bCs/>
          <w:color w:val="000000" w:themeColor="text1"/>
          <w:szCs w:val="28"/>
          <w:lang w:val="en-US" w:eastAsia="zh-CN"/>
          <w14:textFill>
            <w14:solidFill>
              <w14:schemeClr w14:val="tx1"/>
            </w14:solidFill>
          </w14:textFill>
        </w:rPr>
        <w:t>9</w:t>
      </w:r>
      <w:r>
        <w:rPr>
          <w:b/>
          <w:bCs/>
          <w:color w:val="000000" w:themeColor="text1"/>
          <w:szCs w:val="28"/>
          <w14:textFill>
            <w14:solidFill>
              <w14:schemeClr w14:val="tx1"/>
            </w14:solidFill>
          </w14:textFill>
        </w:rPr>
        <w:t>（白茅灌草丛）</w:t>
      </w:r>
    </w:p>
    <w:tbl>
      <w:tblPr>
        <w:tblStyle w:val="26"/>
        <w:tblW w:w="851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94"/>
        <w:gridCol w:w="932"/>
        <w:gridCol w:w="1540"/>
        <w:gridCol w:w="274"/>
        <w:gridCol w:w="1369"/>
        <w:gridCol w:w="824"/>
        <w:gridCol w:w="409"/>
        <w:gridCol w:w="959"/>
        <w:gridCol w:w="1112"/>
      </w:tblGrid>
      <w:tr w14:paraId="1EE86E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4" w:type="dxa"/>
            <w:vMerge w:val="restart"/>
            <w:noWrap w:val="0"/>
            <w:vAlign w:val="center"/>
          </w:tcPr>
          <w:p w14:paraId="0AB3A2EE">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bookmarkStart w:id="294" w:name="_Toc85103324"/>
            <w:bookmarkStart w:id="295" w:name="_Toc137134636"/>
            <w:bookmarkStart w:id="296" w:name="_Toc464734976"/>
            <w:bookmarkStart w:id="297" w:name="_Toc6270"/>
            <w:r>
              <w:rPr>
                <w:rFonts w:hint="eastAsia" w:ascii="Times New Roman" w:hAnsi="Times New Roman" w:eastAsia="宋体" w:cs="Times New Roman"/>
                <w:color w:val="000000" w:themeColor="text1"/>
                <w:kern w:val="0"/>
                <w:sz w:val="20"/>
                <w:szCs w:val="20"/>
                <w14:textFill>
                  <w14:solidFill>
                    <w14:schemeClr w14:val="tx1"/>
                  </w14:solidFill>
                </w14:textFill>
              </w:rPr>
              <w:t>植被类型</w:t>
            </w:r>
          </w:p>
        </w:tc>
        <w:tc>
          <w:tcPr>
            <w:tcW w:w="2746" w:type="dxa"/>
            <w:gridSpan w:val="3"/>
            <w:vMerge w:val="restart"/>
            <w:noWrap w:val="0"/>
            <w:vAlign w:val="center"/>
          </w:tcPr>
          <w:p w14:paraId="793082F4">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白茅灌草丛(Form.Imperata cylindrica)</w:t>
            </w:r>
          </w:p>
        </w:tc>
        <w:tc>
          <w:tcPr>
            <w:tcW w:w="4673" w:type="dxa"/>
            <w:gridSpan w:val="5"/>
            <w:noWrap w:val="0"/>
            <w:vAlign w:val="center"/>
          </w:tcPr>
          <w:p w14:paraId="4D7C78D1">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环境特征</w:t>
            </w:r>
          </w:p>
        </w:tc>
      </w:tr>
      <w:tr w14:paraId="294FC0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4" w:type="dxa"/>
            <w:vMerge w:val="continue"/>
            <w:noWrap w:val="0"/>
            <w:vAlign w:val="center"/>
          </w:tcPr>
          <w:p w14:paraId="4E680783">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p>
        </w:tc>
        <w:tc>
          <w:tcPr>
            <w:tcW w:w="2746" w:type="dxa"/>
            <w:gridSpan w:val="3"/>
            <w:vMerge w:val="continue"/>
            <w:noWrap w:val="0"/>
            <w:vAlign w:val="center"/>
          </w:tcPr>
          <w:p w14:paraId="44525A0D">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p>
        </w:tc>
        <w:tc>
          <w:tcPr>
            <w:tcW w:w="1369" w:type="dxa"/>
            <w:noWrap w:val="0"/>
            <w:vAlign w:val="center"/>
          </w:tcPr>
          <w:p w14:paraId="6CD44CA1">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地形</w:t>
            </w:r>
          </w:p>
        </w:tc>
        <w:tc>
          <w:tcPr>
            <w:tcW w:w="1233" w:type="dxa"/>
            <w:gridSpan w:val="2"/>
            <w:noWrap w:val="0"/>
            <w:vAlign w:val="center"/>
          </w:tcPr>
          <w:p w14:paraId="3D4C9453">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海拔(m)</w:t>
            </w:r>
          </w:p>
        </w:tc>
        <w:tc>
          <w:tcPr>
            <w:tcW w:w="959" w:type="dxa"/>
            <w:noWrap w:val="0"/>
            <w:vAlign w:val="center"/>
          </w:tcPr>
          <w:p w14:paraId="0B362815">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坡向</w:t>
            </w:r>
          </w:p>
        </w:tc>
        <w:tc>
          <w:tcPr>
            <w:tcW w:w="1112" w:type="dxa"/>
            <w:noWrap w:val="0"/>
            <w:vAlign w:val="center"/>
          </w:tcPr>
          <w:p w14:paraId="017342FB">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坡度(°)</w:t>
            </w:r>
          </w:p>
        </w:tc>
      </w:tr>
      <w:tr w14:paraId="52F553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4" w:type="dxa"/>
            <w:noWrap w:val="0"/>
            <w:vAlign w:val="center"/>
          </w:tcPr>
          <w:p w14:paraId="77B56681">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地点</w:t>
            </w:r>
          </w:p>
        </w:tc>
        <w:tc>
          <w:tcPr>
            <w:tcW w:w="2746" w:type="dxa"/>
            <w:gridSpan w:val="3"/>
            <w:noWrap w:val="0"/>
            <w:vAlign w:val="center"/>
          </w:tcPr>
          <w:p w14:paraId="3649BEE4">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cs="Times New Roman"/>
                <w:color w:val="000000" w:themeColor="text1"/>
                <w:kern w:val="0"/>
                <w:sz w:val="20"/>
                <w:szCs w:val="20"/>
                <w:lang w:val="en-US" w:eastAsia="zh-CN"/>
                <w14:textFill>
                  <w14:solidFill>
                    <w14:schemeClr w14:val="tx1"/>
                  </w14:solidFill>
                </w14:textFill>
              </w:rPr>
              <w:t>15号</w:t>
            </w:r>
            <w:r>
              <w:rPr>
                <w:rFonts w:hint="eastAsia" w:ascii="Times New Roman" w:hAnsi="Times New Roman" w:eastAsia="宋体" w:cs="Times New Roman"/>
                <w:color w:val="000000" w:themeColor="text1"/>
                <w:kern w:val="0"/>
                <w:sz w:val="20"/>
                <w:szCs w:val="20"/>
                <w14:textFill>
                  <w14:solidFill>
                    <w14:schemeClr w14:val="tx1"/>
                  </w14:solidFill>
                </w14:textFill>
              </w:rPr>
              <w:t>风机</w:t>
            </w:r>
          </w:p>
        </w:tc>
        <w:tc>
          <w:tcPr>
            <w:tcW w:w="1369" w:type="dxa"/>
            <w:noWrap w:val="0"/>
            <w:vAlign w:val="center"/>
          </w:tcPr>
          <w:p w14:paraId="15A8306E">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坡地</w:t>
            </w:r>
          </w:p>
        </w:tc>
        <w:tc>
          <w:tcPr>
            <w:tcW w:w="1233" w:type="dxa"/>
            <w:gridSpan w:val="2"/>
            <w:noWrap w:val="0"/>
            <w:vAlign w:val="center"/>
          </w:tcPr>
          <w:p w14:paraId="051F3A17">
            <w:pPr>
              <w:spacing w:line="240" w:lineRule="auto"/>
              <w:jc w:val="center"/>
              <w:rPr>
                <w:rFonts w:hint="default" w:ascii="Times New Roman" w:hAnsi="Times New Roman" w:eastAsia="宋体" w:cs="Times New Roman"/>
                <w:color w:val="000000" w:themeColor="text1"/>
                <w:kern w:val="0"/>
                <w:sz w:val="20"/>
                <w:szCs w:val="20"/>
                <w:lang w:val="en-US" w:eastAsia="zh-CN"/>
                <w14:textFill>
                  <w14:solidFill>
                    <w14:schemeClr w14:val="tx1"/>
                  </w14:solidFill>
                </w14:textFill>
              </w:rPr>
            </w:pPr>
            <w:r>
              <w:rPr>
                <w:rFonts w:hint="eastAsia" w:cs="Times New Roman"/>
                <w:color w:val="000000" w:themeColor="text1"/>
                <w:kern w:val="0"/>
                <w:sz w:val="20"/>
                <w:szCs w:val="20"/>
                <w:lang w:val="en-US" w:eastAsia="zh-CN"/>
                <w14:textFill>
                  <w14:solidFill>
                    <w14:schemeClr w14:val="tx1"/>
                  </w14:solidFill>
                </w14:textFill>
              </w:rPr>
              <w:t>670</w:t>
            </w:r>
          </w:p>
        </w:tc>
        <w:tc>
          <w:tcPr>
            <w:tcW w:w="959" w:type="dxa"/>
            <w:noWrap w:val="0"/>
            <w:vAlign w:val="center"/>
          </w:tcPr>
          <w:p w14:paraId="7E01A319">
            <w:pPr>
              <w:spacing w:line="240" w:lineRule="auto"/>
              <w:jc w:val="center"/>
              <w:rPr>
                <w:rFonts w:hint="eastAsia" w:ascii="Times New Roman" w:hAnsi="Times New Roman" w:eastAsia="宋体" w:cs="Times New Roman"/>
                <w:color w:val="000000" w:themeColor="text1"/>
                <w:kern w:val="0"/>
                <w:sz w:val="20"/>
                <w:szCs w:val="20"/>
                <w:lang w:eastAsia="zh-CN"/>
                <w14:textFill>
                  <w14:solidFill>
                    <w14:schemeClr w14:val="tx1"/>
                  </w14:solidFill>
                </w14:textFill>
              </w:rPr>
            </w:pPr>
            <w:r>
              <w:rPr>
                <w:rFonts w:hint="eastAsia" w:cs="Times New Roman"/>
                <w:color w:val="000000" w:themeColor="text1"/>
                <w:kern w:val="0"/>
                <w:sz w:val="20"/>
                <w:szCs w:val="20"/>
                <w:lang w:val="en-US" w:eastAsia="zh-CN"/>
                <w14:textFill>
                  <w14:solidFill>
                    <w14:schemeClr w14:val="tx1"/>
                  </w14:solidFill>
                </w14:textFill>
              </w:rPr>
              <w:t>东南</w:t>
            </w:r>
          </w:p>
        </w:tc>
        <w:tc>
          <w:tcPr>
            <w:tcW w:w="1112" w:type="dxa"/>
            <w:noWrap w:val="0"/>
            <w:vAlign w:val="center"/>
          </w:tcPr>
          <w:p w14:paraId="7E5B444F">
            <w:pPr>
              <w:spacing w:line="240" w:lineRule="auto"/>
              <w:jc w:val="center"/>
              <w:rPr>
                <w:rFonts w:hint="default" w:ascii="Times New Roman" w:hAnsi="Times New Roman" w:eastAsia="宋体" w:cs="Times New Roman"/>
                <w:color w:val="000000" w:themeColor="text1"/>
                <w:kern w:val="0"/>
                <w:sz w:val="20"/>
                <w:szCs w:val="20"/>
                <w:lang w:val="en-US" w:eastAsia="zh-CN"/>
                <w14:textFill>
                  <w14:solidFill>
                    <w14:schemeClr w14:val="tx1"/>
                  </w14:solidFill>
                </w14:textFill>
              </w:rPr>
            </w:pPr>
            <w:r>
              <w:rPr>
                <w:rFonts w:hint="eastAsia" w:cs="Times New Roman"/>
                <w:color w:val="000000" w:themeColor="text1"/>
                <w:kern w:val="0"/>
                <w:sz w:val="20"/>
                <w:szCs w:val="20"/>
                <w:lang w:val="en-US" w:eastAsia="zh-CN"/>
                <w14:textFill>
                  <w14:solidFill>
                    <w14:schemeClr w14:val="tx1"/>
                  </w14:solidFill>
                </w14:textFill>
              </w:rPr>
              <w:t>12</w:t>
            </w:r>
          </w:p>
        </w:tc>
      </w:tr>
      <w:tr w14:paraId="14F8B0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4" w:type="dxa"/>
            <w:noWrap w:val="0"/>
            <w:vAlign w:val="center"/>
          </w:tcPr>
          <w:p w14:paraId="079A5B8F">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经纬度</w:t>
            </w:r>
          </w:p>
        </w:tc>
        <w:tc>
          <w:tcPr>
            <w:tcW w:w="7419" w:type="dxa"/>
            <w:gridSpan w:val="8"/>
            <w:noWrap w:val="0"/>
            <w:vAlign w:val="center"/>
          </w:tcPr>
          <w:p w14:paraId="7EA36205">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E：109°64′11.516″，N：26°10′83.345″</w:t>
            </w:r>
          </w:p>
        </w:tc>
      </w:tr>
      <w:tr w14:paraId="350797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4" w:type="dxa"/>
            <w:noWrap w:val="0"/>
            <w:vAlign w:val="center"/>
          </w:tcPr>
          <w:p w14:paraId="5F7BB549">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样方编号</w:t>
            </w:r>
          </w:p>
        </w:tc>
        <w:tc>
          <w:tcPr>
            <w:tcW w:w="2472" w:type="dxa"/>
            <w:gridSpan w:val="2"/>
            <w:noWrap w:val="0"/>
            <w:vAlign w:val="center"/>
          </w:tcPr>
          <w:p w14:paraId="19EF3D04">
            <w:pPr>
              <w:spacing w:line="240" w:lineRule="auto"/>
              <w:jc w:val="center"/>
              <w:rPr>
                <w:rFonts w:hint="eastAsia" w:ascii="Times New Roman" w:hAnsi="Times New Roman" w:eastAsia="宋体" w:cs="Times New Roman"/>
                <w:color w:val="000000" w:themeColor="text1"/>
                <w:kern w:val="0"/>
                <w:sz w:val="20"/>
                <w:szCs w:val="20"/>
                <w:lang w:eastAsia="zh-CN"/>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w:t>
            </w:r>
            <w:r>
              <w:rPr>
                <w:rFonts w:hint="eastAsia" w:cs="Times New Roman"/>
                <w:color w:val="000000" w:themeColor="text1"/>
                <w:kern w:val="0"/>
                <w:sz w:val="20"/>
                <w:szCs w:val="20"/>
                <w:lang w:val="en-US" w:eastAsia="zh-CN"/>
                <w14:textFill>
                  <w14:solidFill>
                    <w14:schemeClr w14:val="tx1"/>
                  </w14:solidFill>
                </w14:textFill>
              </w:rPr>
              <w:t>9</w:t>
            </w:r>
          </w:p>
        </w:tc>
        <w:tc>
          <w:tcPr>
            <w:tcW w:w="2467" w:type="dxa"/>
            <w:gridSpan w:val="3"/>
            <w:noWrap w:val="0"/>
            <w:vAlign w:val="center"/>
          </w:tcPr>
          <w:p w14:paraId="39BCC0D2">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样方大小</w:t>
            </w:r>
          </w:p>
        </w:tc>
        <w:tc>
          <w:tcPr>
            <w:tcW w:w="2480" w:type="dxa"/>
            <w:gridSpan w:val="3"/>
            <w:noWrap w:val="0"/>
            <w:vAlign w:val="center"/>
          </w:tcPr>
          <w:p w14:paraId="18815179">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1m×1m</w:t>
            </w:r>
          </w:p>
        </w:tc>
      </w:tr>
      <w:tr w14:paraId="2F34BD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4" w:type="dxa"/>
            <w:noWrap w:val="0"/>
            <w:vAlign w:val="center"/>
          </w:tcPr>
          <w:p w14:paraId="4D71F4D8">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层次</w:t>
            </w:r>
          </w:p>
        </w:tc>
        <w:tc>
          <w:tcPr>
            <w:tcW w:w="7419" w:type="dxa"/>
            <w:gridSpan w:val="8"/>
            <w:noWrap w:val="0"/>
            <w:vAlign w:val="center"/>
          </w:tcPr>
          <w:p w14:paraId="03E89C32">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一层</w:t>
            </w:r>
          </w:p>
        </w:tc>
      </w:tr>
      <w:tr w14:paraId="506498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4" w:type="dxa"/>
            <w:noWrap w:val="0"/>
            <w:vAlign w:val="center"/>
          </w:tcPr>
          <w:p w14:paraId="1EA77A1C">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分层</w:t>
            </w:r>
          </w:p>
        </w:tc>
        <w:tc>
          <w:tcPr>
            <w:tcW w:w="932" w:type="dxa"/>
            <w:noWrap w:val="0"/>
            <w:vAlign w:val="center"/>
          </w:tcPr>
          <w:p w14:paraId="04D08A0D">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层盖度</w:t>
            </w:r>
          </w:p>
        </w:tc>
        <w:tc>
          <w:tcPr>
            <w:tcW w:w="6487" w:type="dxa"/>
            <w:gridSpan w:val="7"/>
            <w:noWrap w:val="0"/>
            <w:vAlign w:val="center"/>
          </w:tcPr>
          <w:p w14:paraId="7013BE20">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种类组成与生长状况</w:t>
            </w:r>
          </w:p>
        </w:tc>
      </w:tr>
      <w:tr w14:paraId="044CF1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4" w:type="dxa"/>
            <w:noWrap w:val="0"/>
            <w:vAlign w:val="center"/>
          </w:tcPr>
          <w:p w14:paraId="1E3420DB">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草本层</w:t>
            </w:r>
          </w:p>
        </w:tc>
        <w:tc>
          <w:tcPr>
            <w:tcW w:w="932" w:type="dxa"/>
            <w:noWrap w:val="0"/>
            <w:vAlign w:val="center"/>
          </w:tcPr>
          <w:p w14:paraId="585D4D97">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盖度90%</w:t>
            </w:r>
          </w:p>
        </w:tc>
        <w:tc>
          <w:tcPr>
            <w:tcW w:w="6487" w:type="dxa"/>
            <w:gridSpan w:val="7"/>
            <w:noWrap w:val="0"/>
            <w:vAlign w:val="center"/>
          </w:tcPr>
          <w:p w14:paraId="67E09002">
            <w:pPr>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层均高1.3m，优势种为白茅(Imperata cylindrica)，高1.1~1.4m，盖度约90%，伴生种较少，主要有野艾蒿(Artemisia lavandulifolia)、黄背草(Themeda japonica)、千里光(Senecio scandens)、荩草(Arthraxon hispidus)等。</w:t>
            </w:r>
          </w:p>
        </w:tc>
      </w:tr>
    </w:tbl>
    <w:p w14:paraId="0141B126">
      <w:pPr>
        <w:keepNext/>
        <w:keepLines/>
        <w:adjustRightInd w:val="0"/>
        <w:spacing w:before="240" w:beforeLines="100"/>
        <w:outlineLvl w:val="2"/>
        <w:rPr>
          <w:b/>
          <w:bCs/>
          <w:color w:val="000000" w:themeColor="text1"/>
          <w:szCs w:val="32"/>
          <w14:textFill>
            <w14:solidFill>
              <w14:schemeClr w14:val="tx1"/>
            </w14:solidFill>
          </w14:textFill>
        </w:rPr>
      </w:pPr>
      <w:r>
        <w:rPr>
          <w:rFonts w:hint="eastAsia"/>
          <w:b/>
          <w:bCs/>
          <w:color w:val="000000" w:themeColor="text1"/>
          <w:szCs w:val="32"/>
          <w14:textFill>
            <w14:solidFill>
              <w14:schemeClr w14:val="tx1"/>
            </w14:solidFill>
          </w14:textFill>
        </w:rPr>
        <w:t>附录</w:t>
      </w:r>
      <w:r>
        <w:rPr>
          <w:b/>
          <w:bCs/>
          <w:color w:val="000000" w:themeColor="text1"/>
          <w:szCs w:val="32"/>
          <w14:textFill>
            <w14:solidFill>
              <w14:schemeClr w14:val="tx1"/>
            </w14:solidFill>
          </w14:textFill>
        </w:rPr>
        <w:t>1-2</w:t>
      </w:r>
      <w:r>
        <w:rPr>
          <w:rFonts w:hint="eastAsia"/>
          <w:b/>
          <w:bCs/>
          <w:color w:val="000000" w:themeColor="text1"/>
          <w:szCs w:val="32"/>
          <w14:textFill>
            <w14:solidFill>
              <w14:schemeClr w14:val="tx1"/>
            </w14:solidFill>
          </w14:textFill>
        </w:rPr>
        <w:t>：野生动物样线调查记录表</w:t>
      </w:r>
      <w:bookmarkEnd w:id="294"/>
      <w:bookmarkEnd w:id="295"/>
      <w:bookmarkEnd w:id="296"/>
    </w:p>
    <w:bookmarkEnd w:id="297"/>
    <w:p w14:paraId="043E4F1C">
      <w:pPr>
        <w:spacing w:before="120" w:beforeLines="50" w:after="240" w:afterLines="100" w:line="240" w:lineRule="auto"/>
        <w:jc w:val="center"/>
        <w:rPr>
          <w:b/>
          <w:color w:val="000000" w:themeColor="text1"/>
          <w:szCs w:val="28"/>
          <w14:textFill>
            <w14:solidFill>
              <w14:schemeClr w14:val="tx1"/>
            </w14:solidFill>
          </w14:textFill>
        </w:rPr>
      </w:pPr>
      <w:bookmarkStart w:id="298" w:name="_Toc18432"/>
      <w:r>
        <w:rPr>
          <w:rFonts w:hint="eastAsia"/>
          <w:b/>
          <w:color w:val="000000" w:themeColor="text1"/>
          <w:szCs w:val="28"/>
          <w14:textFill>
            <w14:solidFill>
              <w14:schemeClr w14:val="tx1"/>
            </w14:solidFill>
          </w14:textFill>
        </w:rPr>
        <w:t>野生动物样线调查表</w:t>
      </w:r>
      <w:bookmarkEnd w:id="298"/>
      <w:r>
        <w:rPr>
          <w:rFonts w:hint="eastAsia"/>
          <w:b/>
          <w:color w:val="000000" w:themeColor="text1"/>
          <w:szCs w:val="28"/>
          <w14:textFill>
            <w14:solidFill>
              <w14:schemeClr w14:val="tx1"/>
            </w14:solidFill>
          </w14:textFill>
        </w:rPr>
        <w:t>1</w:t>
      </w:r>
    </w:p>
    <w:p w14:paraId="5B8D2029">
      <w:pPr>
        <w:spacing w:line="240" w:lineRule="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样线长度：</w:t>
      </w:r>
      <w:r>
        <w:rPr>
          <w:color w:val="000000" w:themeColor="text1"/>
          <w:sz w:val="21"/>
          <w:szCs w:val="21"/>
          <w:u w:val="single"/>
          <w14:textFill>
            <w14:solidFill>
              <w14:schemeClr w14:val="tx1"/>
            </w14:solidFill>
          </w14:textFill>
        </w:rPr>
        <w:t xml:space="preserve"> </w:t>
      </w:r>
      <w:r>
        <w:rPr>
          <w:rFonts w:hint="eastAsia"/>
          <w:color w:val="000000" w:themeColor="text1"/>
          <w:sz w:val="21"/>
          <w:szCs w:val="21"/>
          <w:u w:val="single"/>
          <w:lang w:val="en-US" w:eastAsia="zh-CN"/>
          <w14:textFill>
            <w14:solidFill>
              <w14:schemeClr w14:val="tx1"/>
            </w14:solidFill>
          </w14:textFill>
        </w:rPr>
        <w:t>1200</w:t>
      </w:r>
      <w:r>
        <w:rPr>
          <w:color w:val="000000" w:themeColor="text1"/>
          <w:sz w:val="21"/>
          <w:szCs w:val="21"/>
          <w14:textFill>
            <w14:solidFill>
              <w14:schemeClr w14:val="tx1"/>
            </w14:solidFill>
          </w14:textFill>
        </w:rPr>
        <w:t xml:space="preserve"> m  </w:t>
      </w:r>
      <w:r>
        <w:rPr>
          <w:rFonts w:hint="eastAsia"/>
          <w:color w:val="000000" w:themeColor="text1"/>
          <w:sz w:val="21"/>
          <w:szCs w:val="21"/>
          <w14:textFill>
            <w14:solidFill>
              <w14:schemeClr w14:val="tx1"/>
            </w14:solidFill>
          </w14:textFill>
        </w:rPr>
        <w:t xml:space="preserve">        样带面积：</w:t>
      </w:r>
      <w:r>
        <w:rPr>
          <w:rFonts w:hint="eastAsia"/>
          <w:color w:val="000000" w:themeColor="text1"/>
          <w:sz w:val="21"/>
          <w:szCs w:val="21"/>
          <w:u w:val="single"/>
          <w14:textFill>
            <w14:solidFill>
              <w14:schemeClr w14:val="tx1"/>
            </w14:solidFill>
          </w14:textFill>
        </w:rPr>
        <w:t>44</w:t>
      </w:r>
      <w:r>
        <w:rPr>
          <w:color w:val="000000" w:themeColor="text1"/>
          <w:sz w:val="21"/>
          <w:szCs w:val="21"/>
          <w:u w:val="single"/>
          <w14:textFill>
            <w14:solidFill>
              <w14:schemeClr w14:val="tx1"/>
            </w14:solidFill>
          </w14:textFill>
        </w:rPr>
        <w:t xml:space="preserve">0 </w:t>
      </w:r>
      <w:r>
        <w:rPr>
          <w:color w:val="000000" w:themeColor="text1"/>
          <w:sz w:val="21"/>
          <w:szCs w:val="21"/>
          <w14:textFill>
            <w14:solidFill>
              <w14:schemeClr w14:val="tx1"/>
            </w14:solidFill>
          </w14:textFill>
        </w:rPr>
        <w:t>m×</w:t>
      </w:r>
      <w:r>
        <w:rPr>
          <w:color w:val="000000" w:themeColor="text1"/>
          <w:sz w:val="21"/>
          <w:szCs w:val="21"/>
          <w:u w:val="single"/>
          <w14:textFill>
            <w14:solidFill>
              <w14:schemeClr w14:val="tx1"/>
            </w14:solidFill>
          </w14:textFill>
        </w:rPr>
        <w:t>600</w:t>
      </w:r>
      <w:r>
        <w:rPr>
          <w:color w:val="000000" w:themeColor="text1"/>
          <w:sz w:val="21"/>
          <w:szCs w:val="21"/>
          <w14:textFill>
            <w14:solidFill>
              <w14:schemeClr w14:val="tx1"/>
            </w14:solidFill>
          </w14:textFill>
        </w:rPr>
        <w:t xml:space="preserve">m  </w:t>
      </w:r>
      <w:r>
        <w:rPr>
          <w:rFonts w:hint="eastAsia"/>
          <w:color w:val="000000" w:themeColor="text1"/>
          <w:sz w:val="21"/>
          <w:szCs w:val="21"/>
          <w14:textFill>
            <w14:solidFill>
              <w14:schemeClr w14:val="tx1"/>
            </w14:solidFill>
          </w14:textFill>
        </w:rPr>
        <w:t xml:space="preserve">      海拔区间：</w:t>
      </w:r>
      <w:r>
        <w:rPr>
          <w:color w:val="000000" w:themeColor="text1"/>
          <w:sz w:val="21"/>
          <w:szCs w:val="21"/>
          <w:u w:val="single"/>
          <w14:textFill>
            <w14:solidFill>
              <w14:schemeClr w14:val="tx1"/>
            </w14:solidFill>
          </w14:textFill>
        </w:rPr>
        <w:t xml:space="preserve"> </w:t>
      </w:r>
      <w:r>
        <w:rPr>
          <w:rFonts w:hint="eastAsia"/>
          <w:color w:val="000000" w:themeColor="text1"/>
          <w:sz w:val="21"/>
          <w:szCs w:val="21"/>
          <w:u w:val="single"/>
          <w:lang w:val="en-US" w:eastAsia="zh-CN"/>
          <w14:textFill>
            <w14:solidFill>
              <w14:schemeClr w14:val="tx1"/>
            </w14:solidFill>
          </w14:textFill>
        </w:rPr>
        <w:t>66</w:t>
      </w:r>
      <w:r>
        <w:rPr>
          <w:color w:val="000000" w:themeColor="text1"/>
          <w:sz w:val="21"/>
          <w:szCs w:val="21"/>
          <w:u w:val="single"/>
          <w14:textFill>
            <w14:solidFill>
              <w14:schemeClr w14:val="tx1"/>
            </w14:solidFill>
          </w14:textFill>
        </w:rPr>
        <w:t xml:space="preserve">0 </w:t>
      </w:r>
      <w:r>
        <w:rPr>
          <w:color w:val="000000" w:themeColor="text1"/>
          <w:sz w:val="21"/>
          <w:szCs w:val="21"/>
          <w14:textFill>
            <w14:solidFill>
              <w14:schemeClr w14:val="tx1"/>
            </w14:solidFill>
          </w14:textFill>
        </w:rPr>
        <w:t>m~</w:t>
      </w:r>
      <w:r>
        <w:rPr>
          <w:color w:val="000000" w:themeColor="text1"/>
          <w:sz w:val="21"/>
          <w:szCs w:val="21"/>
          <w:u w:val="single"/>
          <w14:textFill>
            <w14:solidFill>
              <w14:schemeClr w14:val="tx1"/>
            </w14:solidFill>
          </w14:textFill>
        </w:rPr>
        <w:t xml:space="preserve"> </w:t>
      </w:r>
      <w:r>
        <w:rPr>
          <w:rFonts w:hint="eastAsia"/>
          <w:color w:val="000000" w:themeColor="text1"/>
          <w:sz w:val="21"/>
          <w:szCs w:val="21"/>
          <w:u w:val="single"/>
          <w:lang w:val="en-US" w:eastAsia="zh-CN"/>
          <w14:textFill>
            <w14:solidFill>
              <w14:schemeClr w14:val="tx1"/>
            </w14:solidFill>
          </w14:textFill>
        </w:rPr>
        <w:t>72</w:t>
      </w:r>
      <w:r>
        <w:rPr>
          <w:color w:val="000000" w:themeColor="text1"/>
          <w:sz w:val="21"/>
          <w:szCs w:val="21"/>
          <w:u w:val="single"/>
          <w14:textFill>
            <w14:solidFill>
              <w14:schemeClr w14:val="tx1"/>
            </w14:solidFill>
          </w14:textFill>
        </w:rPr>
        <w:t xml:space="preserve">0 </w:t>
      </w:r>
      <w:r>
        <w:rPr>
          <w:color w:val="000000" w:themeColor="text1"/>
          <w:sz w:val="21"/>
          <w:szCs w:val="21"/>
          <w14:textFill>
            <w14:solidFill>
              <w14:schemeClr w14:val="tx1"/>
            </w14:solidFill>
          </w14:textFill>
        </w:rPr>
        <w:t>m</w:t>
      </w:r>
    </w:p>
    <w:p w14:paraId="1DAF2767">
      <w:pPr>
        <w:spacing w:line="240" w:lineRule="auto"/>
        <w:rPr>
          <w:color w:val="000000" w:themeColor="text1"/>
          <w:sz w:val="21"/>
          <w:szCs w:val="21"/>
          <w:u w:val="single"/>
          <w14:textFill>
            <w14:solidFill>
              <w14:schemeClr w14:val="tx1"/>
            </w14:solidFill>
          </w14:textFill>
        </w:rPr>
      </w:pPr>
      <w:r>
        <w:rPr>
          <w:rFonts w:hint="eastAsia"/>
          <w:bCs/>
          <w:color w:val="000000" w:themeColor="text1"/>
          <w:sz w:val="21"/>
          <w:szCs w:val="21"/>
          <w14:textFill>
            <w14:solidFill>
              <w14:schemeClr w14:val="tx1"/>
            </w14:solidFill>
          </w14:textFill>
        </w:rPr>
        <w:t>坐标：</w:t>
      </w:r>
      <w:r>
        <w:rPr>
          <w:color w:val="000000" w:themeColor="text1"/>
          <w:sz w:val="21"/>
          <w:szCs w:val="21"/>
          <w14:textFill>
            <w14:solidFill>
              <w14:schemeClr w14:val="tx1"/>
            </w14:solidFill>
          </w14:textFill>
        </w:rPr>
        <w:t>N</w:t>
      </w:r>
      <w:r>
        <w:rPr>
          <w:rFonts w:hint="eastAsia"/>
          <w:color w:val="000000" w:themeColor="text1"/>
          <w:sz w:val="21"/>
          <w:szCs w:val="21"/>
          <w:u w:val="single"/>
          <w14:textFill>
            <w14:solidFill>
              <w14:schemeClr w14:val="tx1"/>
            </w14:solidFill>
          </w14:textFill>
        </w:rPr>
        <w:t>26°</w:t>
      </w:r>
      <w:r>
        <w:rPr>
          <w:rFonts w:hint="eastAsia"/>
          <w:color w:val="000000" w:themeColor="text1"/>
          <w:sz w:val="21"/>
          <w:szCs w:val="21"/>
          <w:u w:val="single"/>
          <w:lang w:val="en-US" w:eastAsia="zh-CN"/>
          <w14:textFill>
            <w14:solidFill>
              <w14:schemeClr w14:val="tx1"/>
            </w14:solidFill>
          </w14:textFill>
        </w:rPr>
        <w:t>10</w:t>
      </w:r>
      <w:r>
        <w:rPr>
          <w:rFonts w:hint="eastAsia"/>
          <w:color w:val="000000" w:themeColor="text1"/>
          <w:sz w:val="21"/>
          <w:szCs w:val="21"/>
          <w:u w:val="single"/>
          <w14:textFill>
            <w14:solidFill>
              <w14:schemeClr w14:val="tx1"/>
            </w14:solidFill>
          </w14:textFill>
        </w:rPr>
        <w:t>′</w:t>
      </w:r>
      <w:r>
        <w:rPr>
          <w:rFonts w:hint="eastAsia"/>
          <w:color w:val="000000" w:themeColor="text1"/>
          <w:sz w:val="21"/>
          <w:szCs w:val="21"/>
          <w:u w:val="single"/>
          <w:lang w:val="en-US" w:eastAsia="zh-CN"/>
          <w14:textFill>
            <w14:solidFill>
              <w14:schemeClr w14:val="tx1"/>
            </w14:solidFill>
          </w14:textFill>
        </w:rPr>
        <w:t>00.308</w:t>
      </w:r>
      <w:r>
        <w:rPr>
          <w:rFonts w:hint="eastAsia"/>
          <w:color w:val="000000" w:themeColor="text1"/>
          <w:sz w:val="21"/>
          <w:szCs w:val="21"/>
          <w:u w:val="single"/>
          <w14:textFill>
            <w14:solidFill>
              <w14:schemeClr w14:val="tx1"/>
            </w14:solidFill>
          </w14:textFill>
        </w:rPr>
        <w:t>″</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 xml:space="preserve">E </w:t>
      </w:r>
      <w:r>
        <w:rPr>
          <w:rFonts w:hint="eastAsia"/>
          <w:color w:val="000000" w:themeColor="text1"/>
          <w:sz w:val="21"/>
          <w:szCs w:val="21"/>
          <w:u w:val="single"/>
          <w14:textFill>
            <w14:solidFill>
              <w14:schemeClr w14:val="tx1"/>
            </w14:solidFill>
          </w14:textFill>
        </w:rPr>
        <w:t>109°</w:t>
      </w:r>
      <w:r>
        <w:rPr>
          <w:rFonts w:hint="eastAsia"/>
          <w:color w:val="000000" w:themeColor="text1"/>
          <w:sz w:val="21"/>
          <w:szCs w:val="21"/>
          <w:u w:val="single"/>
          <w:lang w:val="en-US" w:eastAsia="zh-CN"/>
          <w14:textFill>
            <w14:solidFill>
              <w14:schemeClr w14:val="tx1"/>
            </w14:solidFill>
          </w14:textFill>
        </w:rPr>
        <w:t>66</w:t>
      </w:r>
      <w:r>
        <w:rPr>
          <w:rFonts w:hint="eastAsia"/>
          <w:color w:val="000000" w:themeColor="text1"/>
          <w:sz w:val="21"/>
          <w:szCs w:val="21"/>
          <w:u w:val="single"/>
          <w14:textFill>
            <w14:solidFill>
              <w14:schemeClr w14:val="tx1"/>
            </w14:solidFill>
          </w14:textFill>
        </w:rPr>
        <w:t>′</w:t>
      </w:r>
      <w:r>
        <w:rPr>
          <w:rFonts w:hint="eastAsia"/>
          <w:color w:val="000000" w:themeColor="text1"/>
          <w:sz w:val="21"/>
          <w:szCs w:val="21"/>
          <w:u w:val="single"/>
          <w:lang w:val="en-US" w:eastAsia="zh-CN"/>
          <w14:textFill>
            <w14:solidFill>
              <w14:schemeClr w14:val="tx1"/>
            </w14:solidFill>
          </w14:textFill>
        </w:rPr>
        <w:t>68.620</w:t>
      </w:r>
      <w:r>
        <w:rPr>
          <w:rFonts w:hint="eastAsia"/>
          <w:color w:val="000000" w:themeColor="text1"/>
          <w:sz w:val="21"/>
          <w:szCs w:val="21"/>
          <w:u w:val="single"/>
          <w14:textFill>
            <w14:solidFill>
              <w14:schemeClr w14:val="tx1"/>
            </w14:solidFill>
          </w14:textFill>
        </w:rPr>
        <w:t>″</w:t>
      </w:r>
      <w:r>
        <w:rPr>
          <w:color w:val="000000" w:themeColor="text1"/>
          <w:sz w:val="21"/>
          <w:szCs w:val="21"/>
          <w14:textFill>
            <w14:solidFill>
              <w14:schemeClr w14:val="tx1"/>
            </w14:solidFill>
          </w14:textFill>
        </w:rPr>
        <w:t xml:space="preserve"> </w:t>
      </w:r>
      <w:r>
        <w:rPr>
          <w:rFonts w:hint="eastAsia"/>
          <w:color w:val="000000" w:themeColor="text1"/>
          <w:sz w:val="21"/>
          <w:szCs w:val="21"/>
          <w14:textFill>
            <w14:solidFill>
              <w14:schemeClr w14:val="tx1"/>
            </w14:solidFill>
          </w14:textFill>
        </w:rPr>
        <w:t>至</w:t>
      </w:r>
      <w:r>
        <w:rPr>
          <w:color w:val="000000" w:themeColor="text1"/>
          <w:sz w:val="21"/>
          <w:szCs w:val="21"/>
          <w14:textFill>
            <w14:solidFill>
              <w14:schemeClr w14:val="tx1"/>
            </w14:solidFill>
          </w14:textFill>
        </w:rPr>
        <w:t xml:space="preserve"> N </w:t>
      </w:r>
      <w:r>
        <w:rPr>
          <w:rFonts w:hint="eastAsia"/>
          <w:color w:val="000000" w:themeColor="text1"/>
          <w:sz w:val="21"/>
          <w:szCs w:val="21"/>
          <w:u w:val="single"/>
          <w14:textFill>
            <w14:solidFill>
              <w14:schemeClr w14:val="tx1"/>
            </w14:solidFill>
          </w14:textFill>
        </w:rPr>
        <w:t>26°</w:t>
      </w:r>
      <w:r>
        <w:rPr>
          <w:rFonts w:hint="eastAsia"/>
          <w:color w:val="000000" w:themeColor="text1"/>
          <w:sz w:val="21"/>
          <w:szCs w:val="21"/>
          <w:u w:val="single"/>
          <w:lang w:val="en-US" w:eastAsia="zh-CN"/>
          <w14:textFill>
            <w14:solidFill>
              <w14:schemeClr w14:val="tx1"/>
            </w14:solidFill>
          </w14:textFill>
        </w:rPr>
        <w:t>10</w:t>
      </w:r>
      <w:r>
        <w:rPr>
          <w:rFonts w:hint="eastAsia"/>
          <w:color w:val="000000" w:themeColor="text1"/>
          <w:sz w:val="21"/>
          <w:szCs w:val="21"/>
          <w:u w:val="single"/>
          <w14:textFill>
            <w14:solidFill>
              <w14:schemeClr w14:val="tx1"/>
            </w14:solidFill>
          </w14:textFill>
        </w:rPr>
        <w:t>′</w:t>
      </w:r>
      <w:r>
        <w:rPr>
          <w:rFonts w:hint="eastAsia"/>
          <w:color w:val="000000" w:themeColor="text1"/>
          <w:sz w:val="21"/>
          <w:szCs w:val="21"/>
          <w:u w:val="single"/>
          <w:lang w:val="en-US" w:eastAsia="zh-CN"/>
          <w14:textFill>
            <w14:solidFill>
              <w14:schemeClr w14:val="tx1"/>
            </w14:solidFill>
          </w14:textFill>
        </w:rPr>
        <w:t>82.027</w:t>
      </w:r>
      <w:r>
        <w:rPr>
          <w:rFonts w:hint="eastAsia"/>
          <w:color w:val="000000" w:themeColor="text1"/>
          <w:sz w:val="21"/>
          <w:szCs w:val="21"/>
          <w:u w:val="single"/>
          <w14:textFill>
            <w14:solidFill>
              <w14:schemeClr w14:val="tx1"/>
            </w14:solidFill>
          </w14:textFill>
        </w:rPr>
        <w:t>″</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 xml:space="preserve">E </w:t>
      </w:r>
      <w:r>
        <w:rPr>
          <w:rFonts w:hint="eastAsia"/>
          <w:color w:val="000000" w:themeColor="text1"/>
          <w:sz w:val="21"/>
          <w:szCs w:val="21"/>
          <w:u w:val="single"/>
          <w14:textFill>
            <w14:solidFill>
              <w14:schemeClr w14:val="tx1"/>
            </w14:solidFill>
          </w14:textFill>
        </w:rPr>
        <w:t>109°</w:t>
      </w:r>
      <w:r>
        <w:rPr>
          <w:rFonts w:hint="eastAsia"/>
          <w:color w:val="000000" w:themeColor="text1"/>
          <w:sz w:val="21"/>
          <w:szCs w:val="21"/>
          <w:u w:val="single"/>
          <w:lang w:val="en-US" w:eastAsia="zh-CN"/>
          <w14:textFill>
            <w14:solidFill>
              <w14:schemeClr w14:val="tx1"/>
            </w14:solidFill>
          </w14:textFill>
        </w:rPr>
        <w:t>66</w:t>
      </w:r>
      <w:r>
        <w:rPr>
          <w:rFonts w:hint="eastAsia"/>
          <w:color w:val="000000" w:themeColor="text1"/>
          <w:sz w:val="21"/>
          <w:szCs w:val="21"/>
          <w:u w:val="single"/>
          <w14:textFill>
            <w14:solidFill>
              <w14:schemeClr w14:val="tx1"/>
            </w14:solidFill>
          </w14:textFill>
        </w:rPr>
        <w:t>′</w:t>
      </w:r>
      <w:r>
        <w:rPr>
          <w:rFonts w:hint="eastAsia"/>
          <w:color w:val="000000" w:themeColor="text1"/>
          <w:sz w:val="21"/>
          <w:szCs w:val="21"/>
          <w:u w:val="single"/>
          <w:lang w:val="en-US" w:eastAsia="zh-CN"/>
          <w14:textFill>
            <w14:solidFill>
              <w14:schemeClr w14:val="tx1"/>
            </w14:solidFill>
          </w14:textFill>
        </w:rPr>
        <w:t>46.897</w:t>
      </w:r>
      <w:r>
        <w:rPr>
          <w:rFonts w:hint="eastAsia"/>
          <w:color w:val="000000" w:themeColor="text1"/>
          <w:sz w:val="21"/>
          <w:szCs w:val="21"/>
          <w:u w:val="single"/>
          <w14:textFill>
            <w14:solidFill>
              <w14:schemeClr w14:val="tx1"/>
            </w14:solidFill>
          </w14:textFill>
        </w:rPr>
        <w:t>″</w:t>
      </w:r>
    </w:p>
    <w:p w14:paraId="73B838BF">
      <w:pPr>
        <w:spacing w:after="120" w:afterLines="50"/>
        <w:rPr>
          <w:color w:val="000000" w:themeColor="text1"/>
          <w:sz w:val="21"/>
          <w:szCs w:val="21"/>
          <w:u w:val="single"/>
          <w14:textFill>
            <w14:solidFill>
              <w14:schemeClr w14:val="tx1"/>
            </w14:solidFill>
          </w14:textFill>
        </w:rPr>
      </w:pPr>
      <w:r>
        <w:rPr>
          <w:rFonts w:hint="eastAsia"/>
          <w:color w:val="000000" w:themeColor="text1"/>
          <w:sz w:val="21"/>
          <w:szCs w:val="21"/>
          <w14:textFill>
            <w14:solidFill>
              <w14:schemeClr w14:val="tx1"/>
            </w14:solidFill>
          </w14:textFill>
        </w:rPr>
        <w:t>天气：</w:t>
      </w:r>
      <w:r>
        <w:rPr>
          <w:color w:val="000000" w:themeColor="text1"/>
          <w:sz w:val="21"/>
          <w:szCs w:val="21"/>
          <w:u w:val="single"/>
          <w14:textFill>
            <w14:solidFill>
              <w14:schemeClr w14:val="tx1"/>
            </w14:solidFill>
          </w14:textFill>
        </w:rPr>
        <w:t xml:space="preserve"> </w:t>
      </w:r>
      <w:r>
        <w:rPr>
          <w:rFonts w:hint="eastAsia"/>
          <w:color w:val="000000" w:themeColor="text1"/>
          <w:sz w:val="21"/>
          <w:szCs w:val="21"/>
          <w:u w:val="single"/>
          <w14:textFill>
            <w14:solidFill>
              <w14:schemeClr w14:val="tx1"/>
            </w14:solidFill>
          </w14:textFill>
        </w:rPr>
        <w:t>晴</w:t>
      </w:r>
      <w:r>
        <w:rPr>
          <w:color w:val="000000" w:themeColor="text1"/>
          <w:sz w:val="21"/>
          <w:szCs w:val="21"/>
          <w:u w:val="single"/>
          <w14:textFill>
            <w14:solidFill>
              <w14:schemeClr w14:val="tx1"/>
            </w14:solidFill>
          </w14:textFill>
        </w:rPr>
        <w:t xml:space="preserve">  </w:t>
      </w:r>
      <w:r>
        <w:rPr>
          <w:color w:val="000000" w:themeColor="text1"/>
          <w:sz w:val="21"/>
          <w:szCs w:val="21"/>
          <w14:textFill>
            <w14:solidFill>
              <w14:schemeClr w14:val="tx1"/>
            </w14:solidFill>
          </w14:textFill>
        </w:rPr>
        <w:t xml:space="preserve">    </w:t>
      </w:r>
      <w:r>
        <w:rPr>
          <w:rFonts w:hint="eastAsia"/>
          <w:color w:val="000000" w:themeColor="text1"/>
          <w:sz w:val="21"/>
          <w:szCs w:val="21"/>
          <w14:textFill>
            <w14:solidFill>
              <w14:schemeClr w14:val="tx1"/>
            </w14:solidFill>
          </w14:textFill>
        </w:rPr>
        <w:t xml:space="preserve">    </w:t>
      </w:r>
      <w:r>
        <w:rPr>
          <w:color w:val="000000" w:themeColor="text1"/>
          <w:sz w:val="21"/>
          <w:szCs w:val="21"/>
          <w14:textFill>
            <w14:solidFill>
              <w14:schemeClr w14:val="tx1"/>
            </w14:solidFill>
          </w14:textFill>
        </w:rPr>
        <w:t xml:space="preserve"> </w:t>
      </w:r>
      <w:r>
        <w:rPr>
          <w:rFonts w:hint="eastAsia"/>
          <w:color w:val="000000" w:themeColor="text1"/>
          <w:sz w:val="21"/>
          <w:szCs w:val="21"/>
          <w14:textFill>
            <w14:solidFill>
              <w14:schemeClr w14:val="tx1"/>
            </w14:solidFill>
          </w14:textFill>
        </w:rPr>
        <w:t xml:space="preserve"> 生境类型：</w:t>
      </w:r>
      <w:r>
        <w:rPr>
          <w:color w:val="000000" w:themeColor="text1"/>
          <w:sz w:val="21"/>
          <w:szCs w:val="21"/>
          <w:u w:val="single"/>
          <w14:textFill>
            <w14:solidFill>
              <w14:schemeClr w14:val="tx1"/>
            </w14:solidFill>
          </w14:textFill>
        </w:rPr>
        <w:t xml:space="preserve">  </w:t>
      </w:r>
      <w:r>
        <w:rPr>
          <w:rFonts w:hint="eastAsia"/>
          <w:color w:val="000000" w:themeColor="text1"/>
          <w:sz w:val="21"/>
          <w:szCs w:val="21"/>
          <w:u w:val="single"/>
          <w14:textFill>
            <w14:solidFill>
              <w14:schemeClr w14:val="tx1"/>
            </w14:solidFill>
          </w14:textFill>
        </w:rPr>
        <w:t>灌丛、阔叶林、针叶林</w:t>
      </w:r>
      <w:r>
        <w:rPr>
          <w:color w:val="000000" w:themeColor="text1"/>
          <w:sz w:val="21"/>
          <w:szCs w:val="21"/>
          <w:u w:val="single"/>
          <w14:textFill>
            <w14:solidFill>
              <w14:schemeClr w14:val="tx1"/>
            </w14:solidFill>
          </w14:textFill>
        </w:rPr>
        <w:t xml:space="preserve">  </w:t>
      </w:r>
      <w:r>
        <w:rPr>
          <w:color w:val="000000" w:themeColor="text1"/>
          <w:sz w:val="21"/>
          <w:szCs w:val="21"/>
          <w14:textFill>
            <w14:solidFill>
              <w14:schemeClr w14:val="tx1"/>
            </w14:solidFill>
          </w14:textFill>
        </w:rPr>
        <w:t xml:space="preserve">  </w:t>
      </w:r>
      <w:r>
        <w:rPr>
          <w:rFonts w:hint="eastAsia"/>
          <w:color w:val="000000" w:themeColor="text1"/>
          <w:sz w:val="21"/>
          <w:szCs w:val="21"/>
          <w14:textFill>
            <w14:solidFill>
              <w14:schemeClr w14:val="tx1"/>
            </w14:solidFill>
          </w14:textFill>
        </w:rPr>
        <w:t xml:space="preserve">       </w:t>
      </w:r>
      <w:r>
        <w:rPr>
          <w:color w:val="000000" w:themeColor="text1"/>
          <w:sz w:val="21"/>
          <w:szCs w:val="21"/>
          <w14:textFill>
            <w14:solidFill>
              <w14:schemeClr w14:val="tx1"/>
            </w14:solidFill>
          </w14:textFill>
        </w:rPr>
        <w:t xml:space="preserve"> </w:t>
      </w:r>
      <w:r>
        <w:rPr>
          <w:rFonts w:hint="eastAsia"/>
          <w:color w:val="000000" w:themeColor="text1"/>
          <w:sz w:val="21"/>
          <w:szCs w:val="21"/>
          <w14:textFill>
            <w14:solidFill>
              <w14:schemeClr w14:val="tx1"/>
            </w14:solidFill>
          </w14:textFill>
        </w:rPr>
        <w:t>人为干扰因素：</w:t>
      </w:r>
      <w:r>
        <w:rPr>
          <w:color w:val="000000" w:themeColor="text1"/>
          <w:sz w:val="21"/>
          <w:szCs w:val="21"/>
          <w:u w:val="single"/>
          <w14:textFill>
            <w14:solidFill>
              <w14:schemeClr w14:val="tx1"/>
            </w14:solidFill>
          </w14:textFill>
        </w:rPr>
        <w:t xml:space="preserve">  </w:t>
      </w:r>
      <w:r>
        <w:rPr>
          <w:rFonts w:hint="eastAsia"/>
          <w:color w:val="000000" w:themeColor="text1"/>
          <w:sz w:val="21"/>
          <w:szCs w:val="21"/>
          <w:u w:val="single"/>
          <w14:textFill>
            <w14:solidFill>
              <w14:schemeClr w14:val="tx1"/>
            </w14:solidFill>
          </w14:textFill>
        </w:rPr>
        <w:t>无</w:t>
      </w:r>
      <w:r>
        <w:rPr>
          <w:color w:val="000000" w:themeColor="text1"/>
          <w:sz w:val="21"/>
          <w:szCs w:val="21"/>
          <w:u w:val="single"/>
          <w14:textFill>
            <w14:solidFill>
              <w14:schemeClr w14:val="tx1"/>
            </w14:solidFill>
          </w14:textFill>
        </w:rPr>
        <w:t xml:space="preserve"> </w:t>
      </w:r>
    </w:p>
    <w:tbl>
      <w:tblPr>
        <w:tblStyle w:val="26"/>
        <w:tblW w:w="826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669"/>
        <w:gridCol w:w="1332"/>
        <w:gridCol w:w="2678"/>
        <w:gridCol w:w="1104"/>
        <w:gridCol w:w="1577"/>
        <w:gridCol w:w="904"/>
      </w:tblGrid>
      <w:tr w14:paraId="1FDF633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669" w:type="dxa"/>
            <w:shd w:val="clear" w:color="auto" w:fill="auto"/>
            <w:noWrap w:val="0"/>
            <w:vAlign w:val="center"/>
          </w:tcPr>
          <w:p w14:paraId="7084413D">
            <w:pPr>
              <w:spacing w:line="240" w:lineRule="atLeast"/>
              <w:contextualSpacing/>
              <w:jc w:val="center"/>
              <w:rPr>
                <w:color w:val="000000" w:themeColor="text1"/>
                <w:kern w:val="0"/>
                <w:szCs w:val="21"/>
                <w14:textFill>
                  <w14:solidFill>
                    <w14:schemeClr w14:val="tx1"/>
                  </w14:solidFill>
                </w14:textFill>
              </w:rPr>
            </w:pPr>
            <w:r>
              <w:rPr>
                <w:rFonts w:hint="eastAsia"/>
                <w:color w:val="000000" w:themeColor="text1"/>
                <w:kern w:val="0"/>
                <w:sz w:val="20"/>
                <w:szCs w:val="21"/>
                <w14:textFill>
                  <w14:solidFill>
                    <w14:schemeClr w14:val="tx1"/>
                  </w14:solidFill>
                </w14:textFill>
              </w:rPr>
              <w:t>序号</w:t>
            </w:r>
          </w:p>
        </w:tc>
        <w:tc>
          <w:tcPr>
            <w:tcW w:w="1332" w:type="dxa"/>
            <w:shd w:val="clear" w:color="auto" w:fill="auto"/>
            <w:noWrap w:val="0"/>
            <w:vAlign w:val="center"/>
          </w:tcPr>
          <w:p w14:paraId="13F9E059">
            <w:pPr>
              <w:adjustRightInd w:val="0"/>
              <w:spacing w:line="240" w:lineRule="atLeast"/>
              <w:contextualSpacing/>
              <w:jc w:val="center"/>
              <w:textAlignment w:val="baseline"/>
              <w:rPr>
                <w:color w:val="000000" w:themeColor="text1"/>
                <w:kern w:val="0"/>
                <w:szCs w:val="21"/>
                <w14:textFill>
                  <w14:solidFill>
                    <w14:schemeClr w14:val="tx1"/>
                  </w14:solidFill>
                </w14:textFill>
              </w:rPr>
            </w:pPr>
            <w:r>
              <w:rPr>
                <w:rFonts w:hint="eastAsia"/>
                <w:color w:val="000000" w:themeColor="text1"/>
                <w:kern w:val="0"/>
                <w:sz w:val="20"/>
                <w:szCs w:val="21"/>
                <w14:textFill>
                  <w14:solidFill>
                    <w14:schemeClr w14:val="tx1"/>
                  </w14:solidFill>
                </w14:textFill>
              </w:rPr>
              <w:t>物种名</w:t>
            </w:r>
          </w:p>
        </w:tc>
        <w:tc>
          <w:tcPr>
            <w:tcW w:w="2678" w:type="dxa"/>
            <w:shd w:val="clear" w:color="auto" w:fill="auto"/>
            <w:noWrap w:val="0"/>
            <w:vAlign w:val="center"/>
          </w:tcPr>
          <w:p w14:paraId="71C5D1FB">
            <w:pPr>
              <w:adjustRightInd w:val="0"/>
              <w:spacing w:line="240" w:lineRule="atLeast"/>
              <w:contextualSpacing/>
              <w:jc w:val="center"/>
              <w:textAlignment w:val="baseline"/>
              <w:rPr>
                <w:color w:val="000000" w:themeColor="text1"/>
                <w:kern w:val="0"/>
                <w:szCs w:val="21"/>
                <w14:textFill>
                  <w14:solidFill>
                    <w14:schemeClr w14:val="tx1"/>
                  </w14:solidFill>
                </w14:textFill>
              </w:rPr>
            </w:pPr>
            <w:r>
              <w:rPr>
                <w:rFonts w:hint="eastAsia"/>
                <w:color w:val="000000" w:themeColor="text1"/>
                <w:kern w:val="0"/>
                <w:sz w:val="20"/>
                <w:szCs w:val="21"/>
                <w14:textFill>
                  <w14:solidFill>
                    <w14:schemeClr w14:val="tx1"/>
                  </w14:solidFill>
                </w14:textFill>
              </w:rPr>
              <w:t>拉丁文名</w:t>
            </w:r>
          </w:p>
        </w:tc>
        <w:tc>
          <w:tcPr>
            <w:tcW w:w="1104" w:type="dxa"/>
            <w:shd w:val="clear" w:color="auto" w:fill="auto"/>
            <w:noWrap w:val="0"/>
            <w:vAlign w:val="center"/>
          </w:tcPr>
          <w:p w14:paraId="217460D7">
            <w:pPr>
              <w:adjustRightInd w:val="0"/>
              <w:spacing w:line="240" w:lineRule="atLeast"/>
              <w:contextualSpacing/>
              <w:jc w:val="center"/>
              <w:textAlignment w:val="baseline"/>
              <w:rPr>
                <w:color w:val="000000" w:themeColor="text1"/>
                <w:kern w:val="0"/>
                <w:szCs w:val="21"/>
                <w14:textFill>
                  <w14:solidFill>
                    <w14:schemeClr w14:val="tx1"/>
                  </w14:solidFill>
                </w14:textFill>
              </w:rPr>
            </w:pPr>
            <w:r>
              <w:rPr>
                <w:rFonts w:hint="eastAsia"/>
                <w:color w:val="000000" w:themeColor="text1"/>
                <w:kern w:val="0"/>
                <w:sz w:val="20"/>
                <w:szCs w:val="21"/>
                <w14:textFill>
                  <w14:solidFill>
                    <w14:schemeClr w14:val="tx1"/>
                  </w14:solidFill>
                </w14:textFill>
              </w:rPr>
              <w:t>实体数量</w:t>
            </w:r>
          </w:p>
        </w:tc>
        <w:tc>
          <w:tcPr>
            <w:tcW w:w="1577" w:type="dxa"/>
            <w:shd w:val="clear" w:color="auto" w:fill="auto"/>
            <w:noWrap w:val="0"/>
            <w:vAlign w:val="center"/>
          </w:tcPr>
          <w:p w14:paraId="1ABC870C">
            <w:pPr>
              <w:adjustRightInd w:val="0"/>
              <w:spacing w:line="240" w:lineRule="atLeast"/>
              <w:contextualSpacing/>
              <w:jc w:val="center"/>
              <w:textAlignment w:val="baseline"/>
              <w:rPr>
                <w:color w:val="000000" w:themeColor="text1"/>
                <w:kern w:val="0"/>
                <w:szCs w:val="21"/>
                <w14:textFill>
                  <w14:solidFill>
                    <w14:schemeClr w14:val="tx1"/>
                  </w14:solidFill>
                </w14:textFill>
              </w:rPr>
            </w:pPr>
            <w:r>
              <w:rPr>
                <w:rFonts w:hint="eastAsia"/>
                <w:color w:val="000000" w:themeColor="text1"/>
                <w:kern w:val="0"/>
                <w:sz w:val="20"/>
                <w:szCs w:val="21"/>
                <w14:textFill>
                  <w14:solidFill>
                    <w14:schemeClr w14:val="tx1"/>
                  </w14:solidFill>
                </w14:textFill>
              </w:rPr>
              <w:t>痕迹类型及数量</w:t>
            </w:r>
          </w:p>
        </w:tc>
        <w:tc>
          <w:tcPr>
            <w:tcW w:w="904" w:type="dxa"/>
            <w:shd w:val="clear" w:color="auto" w:fill="auto"/>
            <w:noWrap w:val="0"/>
            <w:vAlign w:val="center"/>
          </w:tcPr>
          <w:p w14:paraId="2B2B8A44">
            <w:pPr>
              <w:adjustRightInd w:val="0"/>
              <w:spacing w:line="240" w:lineRule="atLeast"/>
              <w:contextualSpacing/>
              <w:jc w:val="center"/>
              <w:textAlignment w:val="baseline"/>
              <w:rPr>
                <w:color w:val="000000" w:themeColor="text1"/>
                <w:kern w:val="0"/>
                <w:szCs w:val="21"/>
                <w14:textFill>
                  <w14:solidFill>
                    <w14:schemeClr w14:val="tx1"/>
                  </w14:solidFill>
                </w14:textFill>
              </w:rPr>
            </w:pPr>
            <w:r>
              <w:rPr>
                <w:rFonts w:hint="eastAsia"/>
                <w:color w:val="000000" w:themeColor="text1"/>
                <w:kern w:val="0"/>
                <w:sz w:val="20"/>
                <w:szCs w:val="21"/>
                <w14:textFill>
                  <w14:solidFill>
                    <w14:schemeClr w14:val="tx1"/>
                  </w14:solidFill>
                </w14:textFill>
              </w:rPr>
              <w:t>备注</w:t>
            </w:r>
          </w:p>
        </w:tc>
      </w:tr>
      <w:tr w14:paraId="43F9DAF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669" w:type="dxa"/>
            <w:shd w:val="clear" w:color="auto" w:fill="auto"/>
            <w:noWrap w:val="0"/>
            <w:vAlign w:val="center"/>
          </w:tcPr>
          <w:p w14:paraId="5F49B232">
            <w:pPr>
              <w:pStyle w:val="87"/>
              <w:numPr>
                <w:ilvl w:val="0"/>
                <w:numId w:val="11"/>
              </w:numPr>
              <w:spacing w:line="240" w:lineRule="atLeast"/>
              <w:ind w:firstLineChars="0"/>
              <w:contextualSpacing/>
              <w:jc w:val="center"/>
              <w:rPr>
                <w:rFonts w:ascii="Times New Roman" w:hAnsi="Times New Roman"/>
                <w:color w:val="000000" w:themeColor="text1"/>
                <w:kern w:val="0"/>
                <w:sz w:val="20"/>
                <w:szCs w:val="21"/>
                <w14:textFill>
                  <w14:solidFill>
                    <w14:schemeClr w14:val="tx1"/>
                  </w14:solidFill>
                </w14:textFill>
              </w:rPr>
            </w:pPr>
          </w:p>
        </w:tc>
        <w:tc>
          <w:tcPr>
            <w:tcW w:w="1332" w:type="dxa"/>
            <w:shd w:val="clear" w:color="auto" w:fill="auto"/>
            <w:noWrap w:val="0"/>
            <w:vAlign w:val="center"/>
          </w:tcPr>
          <w:p w14:paraId="559A8294">
            <w:pPr>
              <w:spacing w:line="240" w:lineRule="atLeast"/>
              <w:contextualSpacing/>
              <w:rPr>
                <w:color w:val="000000" w:themeColor="text1"/>
                <w:szCs w:val="21"/>
                <w14:textFill>
                  <w14:solidFill>
                    <w14:schemeClr w14:val="tx1"/>
                  </w14:solidFill>
                </w14:textFill>
              </w:rPr>
            </w:pPr>
            <w:r>
              <w:rPr>
                <w:rFonts w:hint="eastAsia"/>
                <w:color w:val="000000" w:themeColor="text1"/>
                <w:kern w:val="0"/>
                <w:sz w:val="20"/>
                <w:szCs w:val="21"/>
                <w14:textFill>
                  <w14:solidFill>
                    <w14:schemeClr w14:val="tx1"/>
                  </w14:solidFill>
                </w14:textFill>
              </w:rPr>
              <w:t>雉鸡</w:t>
            </w:r>
          </w:p>
        </w:tc>
        <w:tc>
          <w:tcPr>
            <w:tcW w:w="2678" w:type="dxa"/>
            <w:shd w:val="clear" w:color="auto" w:fill="auto"/>
            <w:noWrap w:val="0"/>
            <w:vAlign w:val="center"/>
          </w:tcPr>
          <w:p w14:paraId="3D85A6F1">
            <w:pPr>
              <w:spacing w:line="240" w:lineRule="atLeast"/>
              <w:contextualSpacing/>
              <w:rPr>
                <w:color w:val="000000" w:themeColor="text1"/>
                <w:szCs w:val="21"/>
                <w14:textFill>
                  <w14:solidFill>
                    <w14:schemeClr w14:val="tx1"/>
                  </w14:solidFill>
                </w14:textFill>
              </w:rPr>
            </w:pPr>
            <w:r>
              <w:rPr>
                <w:bCs/>
                <w:i/>
                <w:iCs/>
                <w:color w:val="000000" w:themeColor="text1"/>
                <w:kern w:val="0"/>
                <w:sz w:val="20"/>
                <w:szCs w:val="21"/>
                <w14:textFill>
                  <w14:solidFill>
                    <w14:schemeClr w14:val="tx1"/>
                  </w14:solidFill>
                </w14:textFill>
              </w:rPr>
              <w:t>Phasianus colchicus</w:t>
            </w:r>
          </w:p>
        </w:tc>
        <w:tc>
          <w:tcPr>
            <w:tcW w:w="1104" w:type="dxa"/>
            <w:shd w:val="clear" w:color="auto" w:fill="auto"/>
            <w:noWrap w:val="0"/>
            <w:vAlign w:val="center"/>
          </w:tcPr>
          <w:p w14:paraId="7B0F55F1">
            <w:pPr>
              <w:spacing w:line="240" w:lineRule="atLeast"/>
              <w:contextualSpacing/>
              <w:jc w:val="center"/>
              <w:rPr>
                <w:rFonts w:hint="eastAsia" w:eastAsia="宋体"/>
                <w:color w:val="000000" w:themeColor="text1"/>
                <w:kern w:val="0"/>
                <w:szCs w:val="21"/>
                <w:lang w:eastAsia="zh-CN"/>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5</w:t>
            </w:r>
          </w:p>
        </w:tc>
        <w:tc>
          <w:tcPr>
            <w:tcW w:w="1577" w:type="dxa"/>
            <w:shd w:val="clear" w:color="auto" w:fill="auto"/>
            <w:noWrap w:val="0"/>
            <w:vAlign w:val="center"/>
          </w:tcPr>
          <w:p w14:paraId="5BB6ED42">
            <w:pPr>
              <w:spacing w:line="240" w:lineRule="atLeast"/>
              <w:contextualSpacing/>
              <w:jc w:val="center"/>
              <w:rPr>
                <w:color w:val="000000" w:themeColor="text1"/>
                <w:kern w:val="0"/>
                <w:szCs w:val="21"/>
                <w14:textFill>
                  <w14:solidFill>
                    <w14:schemeClr w14:val="tx1"/>
                  </w14:solidFill>
                </w14:textFill>
              </w:rPr>
            </w:pPr>
          </w:p>
        </w:tc>
        <w:tc>
          <w:tcPr>
            <w:tcW w:w="904" w:type="dxa"/>
            <w:shd w:val="clear" w:color="auto" w:fill="auto"/>
            <w:noWrap w:val="0"/>
            <w:vAlign w:val="center"/>
          </w:tcPr>
          <w:p w14:paraId="59F202CE">
            <w:pPr>
              <w:spacing w:line="240" w:lineRule="atLeast"/>
              <w:contextualSpacing/>
              <w:jc w:val="center"/>
              <w:rPr>
                <w:color w:val="000000" w:themeColor="text1"/>
                <w:kern w:val="0"/>
                <w:szCs w:val="21"/>
                <w14:textFill>
                  <w14:solidFill>
                    <w14:schemeClr w14:val="tx1"/>
                  </w14:solidFill>
                </w14:textFill>
              </w:rPr>
            </w:pPr>
          </w:p>
        </w:tc>
      </w:tr>
      <w:tr w14:paraId="68001E8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669" w:type="dxa"/>
            <w:shd w:val="clear" w:color="auto" w:fill="auto"/>
            <w:noWrap w:val="0"/>
            <w:vAlign w:val="center"/>
          </w:tcPr>
          <w:p w14:paraId="7AD0B397">
            <w:pPr>
              <w:pStyle w:val="87"/>
              <w:numPr>
                <w:ilvl w:val="0"/>
                <w:numId w:val="11"/>
              </w:numPr>
              <w:spacing w:line="240" w:lineRule="atLeast"/>
              <w:ind w:firstLineChars="0"/>
              <w:contextualSpacing/>
              <w:jc w:val="center"/>
              <w:rPr>
                <w:rFonts w:ascii="Times New Roman" w:hAnsi="Times New Roman"/>
                <w:color w:val="000000" w:themeColor="text1"/>
                <w:kern w:val="0"/>
                <w:sz w:val="20"/>
                <w:szCs w:val="21"/>
                <w14:textFill>
                  <w14:solidFill>
                    <w14:schemeClr w14:val="tx1"/>
                  </w14:solidFill>
                </w14:textFill>
              </w:rPr>
            </w:pPr>
          </w:p>
        </w:tc>
        <w:tc>
          <w:tcPr>
            <w:tcW w:w="1332" w:type="dxa"/>
            <w:shd w:val="clear" w:color="auto" w:fill="auto"/>
            <w:noWrap w:val="0"/>
            <w:vAlign w:val="center"/>
          </w:tcPr>
          <w:p w14:paraId="5A6B43EC">
            <w:pPr>
              <w:spacing w:line="240" w:lineRule="atLeast"/>
              <w:contextualSpacing/>
              <w:rPr>
                <w:color w:val="000000" w:themeColor="text1"/>
                <w:kern w:val="0"/>
                <w:szCs w:val="21"/>
                <w14:textFill>
                  <w14:solidFill>
                    <w14:schemeClr w14:val="tx1"/>
                  </w14:solidFill>
                </w14:textFill>
              </w:rPr>
            </w:pPr>
            <w:r>
              <w:rPr>
                <w:rFonts w:hint="eastAsia"/>
                <w:bCs/>
                <w:color w:val="000000" w:themeColor="text1"/>
                <w:kern w:val="0"/>
                <w:sz w:val="20"/>
                <w:szCs w:val="21"/>
                <w14:textFill>
                  <w14:solidFill>
                    <w14:schemeClr w14:val="tx1"/>
                  </w14:solidFill>
                </w14:textFill>
              </w:rPr>
              <w:t>树麻雀</w:t>
            </w:r>
          </w:p>
        </w:tc>
        <w:tc>
          <w:tcPr>
            <w:tcW w:w="2678" w:type="dxa"/>
            <w:shd w:val="clear" w:color="auto" w:fill="auto"/>
            <w:noWrap w:val="0"/>
            <w:vAlign w:val="center"/>
          </w:tcPr>
          <w:p w14:paraId="0C9022C9">
            <w:pPr>
              <w:spacing w:line="240" w:lineRule="atLeast"/>
              <w:contextualSpacing/>
              <w:rPr>
                <w:color w:val="000000" w:themeColor="text1"/>
                <w:kern w:val="0"/>
                <w:szCs w:val="21"/>
                <w14:textFill>
                  <w14:solidFill>
                    <w14:schemeClr w14:val="tx1"/>
                  </w14:solidFill>
                </w14:textFill>
              </w:rPr>
            </w:pPr>
            <w:r>
              <w:rPr>
                <w:i/>
                <w:iCs/>
                <w:color w:val="000000" w:themeColor="text1"/>
                <w:kern w:val="0"/>
                <w:sz w:val="20"/>
                <w:szCs w:val="21"/>
                <w14:textFill>
                  <w14:solidFill>
                    <w14:schemeClr w14:val="tx1"/>
                  </w14:solidFill>
                </w14:textFill>
              </w:rPr>
              <w:t>Passer montanus</w:t>
            </w:r>
          </w:p>
        </w:tc>
        <w:tc>
          <w:tcPr>
            <w:tcW w:w="1104" w:type="dxa"/>
            <w:shd w:val="clear" w:color="auto" w:fill="auto"/>
            <w:noWrap w:val="0"/>
            <w:vAlign w:val="center"/>
          </w:tcPr>
          <w:p w14:paraId="76739201">
            <w:pPr>
              <w:spacing w:line="240" w:lineRule="atLeast"/>
              <w:contextualSpacing/>
              <w:jc w:val="center"/>
              <w:rPr>
                <w:color w:val="000000" w:themeColor="text1"/>
                <w:kern w:val="0"/>
                <w:sz w:val="20"/>
                <w:szCs w:val="21"/>
                <w14:textFill>
                  <w14:solidFill>
                    <w14:schemeClr w14:val="tx1"/>
                  </w14:solidFill>
                </w14:textFill>
              </w:rPr>
            </w:pPr>
            <w:r>
              <w:rPr>
                <w:rFonts w:hint="eastAsia"/>
                <w:color w:val="000000" w:themeColor="text1"/>
                <w:kern w:val="0"/>
                <w:sz w:val="20"/>
                <w:szCs w:val="21"/>
                <w14:textFill>
                  <w14:solidFill>
                    <w14:schemeClr w14:val="tx1"/>
                  </w14:solidFill>
                </w14:textFill>
              </w:rPr>
              <w:t>3</w:t>
            </w:r>
          </w:p>
        </w:tc>
        <w:tc>
          <w:tcPr>
            <w:tcW w:w="1577" w:type="dxa"/>
            <w:shd w:val="clear" w:color="auto" w:fill="auto"/>
            <w:noWrap w:val="0"/>
            <w:vAlign w:val="center"/>
          </w:tcPr>
          <w:p w14:paraId="049A7700">
            <w:pPr>
              <w:spacing w:line="240" w:lineRule="atLeast"/>
              <w:contextualSpacing/>
              <w:jc w:val="center"/>
              <w:rPr>
                <w:color w:val="000000" w:themeColor="text1"/>
                <w:kern w:val="0"/>
                <w:szCs w:val="21"/>
                <w14:textFill>
                  <w14:solidFill>
                    <w14:schemeClr w14:val="tx1"/>
                  </w14:solidFill>
                </w14:textFill>
              </w:rPr>
            </w:pPr>
          </w:p>
        </w:tc>
        <w:tc>
          <w:tcPr>
            <w:tcW w:w="904" w:type="dxa"/>
            <w:shd w:val="clear" w:color="auto" w:fill="auto"/>
            <w:noWrap w:val="0"/>
            <w:vAlign w:val="center"/>
          </w:tcPr>
          <w:p w14:paraId="75C9CE31">
            <w:pPr>
              <w:spacing w:line="240" w:lineRule="atLeast"/>
              <w:contextualSpacing/>
              <w:jc w:val="center"/>
              <w:rPr>
                <w:color w:val="000000" w:themeColor="text1"/>
                <w:kern w:val="0"/>
                <w:szCs w:val="21"/>
                <w14:textFill>
                  <w14:solidFill>
                    <w14:schemeClr w14:val="tx1"/>
                  </w14:solidFill>
                </w14:textFill>
              </w:rPr>
            </w:pPr>
          </w:p>
        </w:tc>
      </w:tr>
      <w:tr w14:paraId="55BA7A8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669" w:type="dxa"/>
            <w:shd w:val="clear" w:color="auto" w:fill="auto"/>
            <w:noWrap w:val="0"/>
            <w:vAlign w:val="center"/>
          </w:tcPr>
          <w:p w14:paraId="35C483E2">
            <w:pPr>
              <w:pStyle w:val="87"/>
              <w:numPr>
                <w:ilvl w:val="0"/>
                <w:numId w:val="11"/>
              </w:numPr>
              <w:spacing w:line="240" w:lineRule="atLeast"/>
              <w:ind w:firstLineChars="0"/>
              <w:contextualSpacing/>
              <w:jc w:val="center"/>
              <w:rPr>
                <w:rFonts w:ascii="Times New Roman" w:hAnsi="Times New Roman"/>
                <w:color w:val="000000" w:themeColor="text1"/>
                <w:kern w:val="0"/>
                <w:sz w:val="20"/>
                <w:szCs w:val="21"/>
                <w14:textFill>
                  <w14:solidFill>
                    <w14:schemeClr w14:val="tx1"/>
                  </w14:solidFill>
                </w14:textFill>
              </w:rPr>
            </w:pPr>
          </w:p>
        </w:tc>
        <w:tc>
          <w:tcPr>
            <w:tcW w:w="1332" w:type="dxa"/>
            <w:shd w:val="clear" w:color="auto" w:fill="auto"/>
            <w:noWrap w:val="0"/>
            <w:vAlign w:val="center"/>
          </w:tcPr>
          <w:p w14:paraId="4B5D03E3">
            <w:pPr>
              <w:spacing w:line="240" w:lineRule="atLeast"/>
              <w:contextualSpacing/>
              <w:rPr>
                <w:color w:val="000000" w:themeColor="text1"/>
                <w:szCs w:val="21"/>
                <w14:textFill>
                  <w14:solidFill>
                    <w14:schemeClr w14:val="tx1"/>
                  </w14:solidFill>
                </w14:textFill>
              </w:rPr>
            </w:pPr>
            <w:r>
              <w:rPr>
                <w:rFonts w:hint="eastAsia"/>
                <w:color w:val="000000" w:themeColor="text1"/>
                <w:kern w:val="0"/>
                <w:sz w:val="20"/>
                <w:szCs w:val="21"/>
                <w14:textFill>
                  <w14:solidFill>
                    <w14:schemeClr w14:val="tx1"/>
                  </w14:solidFill>
                </w14:textFill>
              </w:rPr>
              <w:t>珠颈斑鸠</w:t>
            </w:r>
          </w:p>
        </w:tc>
        <w:tc>
          <w:tcPr>
            <w:tcW w:w="2678" w:type="dxa"/>
            <w:shd w:val="clear" w:color="auto" w:fill="auto"/>
            <w:noWrap w:val="0"/>
            <w:vAlign w:val="center"/>
          </w:tcPr>
          <w:p w14:paraId="5CE79172">
            <w:pPr>
              <w:spacing w:line="240" w:lineRule="atLeast"/>
              <w:contextualSpacing/>
              <w:rPr>
                <w:color w:val="000000" w:themeColor="text1"/>
                <w:szCs w:val="21"/>
                <w14:textFill>
                  <w14:solidFill>
                    <w14:schemeClr w14:val="tx1"/>
                  </w14:solidFill>
                </w14:textFill>
              </w:rPr>
            </w:pPr>
            <w:r>
              <w:rPr>
                <w:i/>
                <w:iCs/>
                <w:color w:val="000000" w:themeColor="text1"/>
                <w:kern w:val="0"/>
                <w:sz w:val="20"/>
                <w:szCs w:val="21"/>
                <w14:textFill>
                  <w14:solidFill>
                    <w14:schemeClr w14:val="tx1"/>
                  </w14:solidFill>
                </w14:textFill>
              </w:rPr>
              <w:t>Streptopelia chinensis</w:t>
            </w:r>
          </w:p>
        </w:tc>
        <w:tc>
          <w:tcPr>
            <w:tcW w:w="1104" w:type="dxa"/>
            <w:shd w:val="clear" w:color="auto" w:fill="auto"/>
            <w:noWrap w:val="0"/>
            <w:vAlign w:val="center"/>
          </w:tcPr>
          <w:p w14:paraId="4BF4D7A5">
            <w:pPr>
              <w:spacing w:line="240" w:lineRule="atLeast"/>
              <w:contextualSpacing/>
              <w:jc w:val="center"/>
              <w:rPr>
                <w:rFonts w:hint="eastAsia" w:eastAsia="宋体"/>
                <w:color w:val="000000" w:themeColor="text1"/>
                <w:kern w:val="0"/>
                <w:szCs w:val="21"/>
                <w:lang w:eastAsia="zh-CN"/>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1</w:t>
            </w:r>
          </w:p>
        </w:tc>
        <w:tc>
          <w:tcPr>
            <w:tcW w:w="1577" w:type="dxa"/>
            <w:shd w:val="clear" w:color="auto" w:fill="auto"/>
            <w:noWrap w:val="0"/>
            <w:vAlign w:val="center"/>
          </w:tcPr>
          <w:p w14:paraId="42147CD9">
            <w:pPr>
              <w:spacing w:line="240" w:lineRule="atLeast"/>
              <w:contextualSpacing/>
              <w:jc w:val="center"/>
              <w:rPr>
                <w:color w:val="000000" w:themeColor="text1"/>
                <w:kern w:val="0"/>
                <w:szCs w:val="21"/>
                <w14:textFill>
                  <w14:solidFill>
                    <w14:schemeClr w14:val="tx1"/>
                  </w14:solidFill>
                </w14:textFill>
              </w:rPr>
            </w:pPr>
          </w:p>
        </w:tc>
        <w:tc>
          <w:tcPr>
            <w:tcW w:w="904" w:type="dxa"/>
            <w:shd w:val="clear" w:color="auto" w:fill="auto"/>
            <w:noWrap w:val="0"/>
            <w:vAlign w:val="center"/>
          </w:tcPr>
          <w:p w14:paraId="01B2A839">
            <w:pPr>
              <w:spacing w:line="240" w:lineRule="atLeast"/>
              <w:contextualSpacing/>
              <w:jc w:val="center"/>
              <w:rPr>
                <w:color w:val="000000" w:themeColor="text1"/>
                <w:kern w:val="0"/>
                <w:szCs w:val="21"/>
                <w14:textFill>
                  <w14:solidFill>
                    <w14:schemeClr w14:val="tx1"/>
                  </w14:solidFill>
                </w14:textFill>
              </w:rPr>
            </w:pPr>
          </w:p>
        </w:tc>
      </w:tr>
      <w:tr w14:paraId="24BD0A3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669" w:type="dxa"/>
            <w:shd w:val="clear" w:color="auto" w:fill="auto"/>
            <w:noWrap w:val="0"/>
            <w:vAlign w:val="center"/>
          </w:tcPr>
          <w:p w14:paraId="1BBD478D">
            <w:pPr>
              <w:pStyle w:val="87"/>
              <w:numPr>
                <w:ilvl w:val="0"/>
                <w:numId w:val="11"/>
              </w:numPr>
              <w:spacing w:line="240" w:lineRule="atLeast"/>
              <w:ind w:firstLineChars="0"/>
              <w:contextualSpacing/>
              <w:jc w:val="center"/>
              <w:rPr>
                <w:rFonts w:ascii="Times New Roman" w:hAnsi="Times New Roman"/>
                <w:color w:val="000000" w:themeColor="text1"/>
                <w:kern w:val="0"/>
                <w:sz w:val="20"/>
                <w:szCs w:val="21"/>
                <w14:textFill>
                  <w14:solidFill>
                    <w14:schemeClr w14:val="tx1"/>
                  </w14:solidFill>
                </w14:textFill>
              </w:rPr>
            </w:pPr>
          </w:p>
        </w:tc>
        <w:tc>
          <w:tcPr>
            <w:tcW w:w="1332" w:type="dxa"/>
            <w:shd w:val="clear" w:color="auto" w:fill="auto"/>
            <w:noWrap w:val="0"/>
            <w:vAlign w:val="center"/>
          </w:tcPr>
          <w:p w14:paraId="7A69CB80">
            <w:pPr>
              <w:spacing w:line="240" w:lineRule="atLeast"/>
              <w:contextualSpacing/>
              <w:rPr>
                <w:color w:val="000000" w:themeColor="text1"/>
                <w:szCs w:val="21"/>
                <w14:textFill>
                  <w14:solidFill>
                    <w14:schemeClr w14:val="tx1"/>
                  </w14:solidFill>
                </w14:textFill>
              </w:rPr>
            </w:pPr>
            <w:r>
              <w:rPr>
                <w:rFonts w:hint="eastAsia"/>
                <w:color w:val="000000" w:themeColor="text1"/>
                <w:kern w:val="0"/>
                <w:sz w:val="20"/>
                <w:szCs w:val="21"/>
                <w14:textFill>
                  <w14:solidFill>
                    <w14:schemeClr w14:val="tx1"/>
                  </w14:solidFill>
                </w14:textFill>
              </w:rPr>
              <w:t>山麻雀</w:t>
            </w:r>
          </w:p>
        </w:tc>
        <w:tc>
          <w:tcPr>
            <w:tcW w:w="2678" w:type="dxa"/>
            <w:shd w:val="clear" w:color="auto" w:fill="auto"/>
            <w:noWrap w:val="0"/>
            <w:vAlign w:val="center"/>
          </w:tcPr>
          <w:p w14:paraId="222F2658">
            <w:pPr>
              <w:spacing w:line="240" w:lineRule="atLeast"/>
              <w:contextualSpacing/>
              <w:rPr>
                <w:color w:val="000000" w:themeColor="text1"/>
                <w:szCs w:val="21"/>
                <w14:textFill>
                  <w14:solidFill>
                    <w14:schemeClr w14:val="tx1"/>
                  </w14:solidFill>
                </w14:textFill>
              </w:rPr>
            </w:pPr>
            <w:r>
              <w:rPr>
                <w:i/>
                <w:iCs/>
                <w:color w:val="000000" w:themeColor="text1"/>
                <w:kern w:val="0"/>
                <w:sz w:val="20"/>
                <w:szCs w:val="21"/>
                <w14:textFill>
                  <w14:solidFill>
                    <w14:schemeClr w14:val="tx1"/>
                  </w14:solidFill>
                </w14:textFill>
              </w:rPr>
              <w:t>Passer rutilans</w:t>
            </w:r>
          </w:p>
        </w:tc>
        <w:tc>
          <w:tcPr>
            <w:tcW w:w="1104" w:type="dxa"/>
            <w:shd w:val="clear" w:color="auto" w:fill="auto"/>
            <w:noWrap w:val="0"/>
            <w:vAlign w:val="center"/>
          </w:tcPr>
          <w:p w14:paraId="39D7EC2F">
            <w:pPr>
              <w:spacing w:line="240" w:lineRule="atLeast"/>
              <w:contextualSpacing/>
              <w:jc w:val="center"/>
              <w:rPr>
                <w:color w:val="000000" w:themeColor="text1"/>
                <w:kern w:val="0"/>
                <w:szCs w:val="21"/>
                <w14:textFill>
                  <w14:solidFill>
                    <w14:schemeClr w14:val="tx1"/>
                  </w14:solidFill>
                </w14:textFill>
              </w:rPr>
            </w:pPr>
            <w:r>
              <w:rPr>
                <w:color w:val="000000" w:themeColor="text1"/>
                <w:kern w:val="0"/>
                <w:sz w:val="20"/>
                <w:szCs w:val="21"/>
                <w14:textFill>
                  <w14:solidFill>
                    <w14:schemeClr w14:val="tx1"/>
                  </w14:solidFill>
                </w14:textFill>
              </w:rPr>
              <w:t>2</w:t>
            </w:r>
          </w:p>
        </w:tc>
        <w:tc>
          <w:tcPr>
            <w:tcW w:w="1577" w:type="dxa"/>
            <w:shd w:val="clear" w:color="auto" w:fill="auto"/>
            <w:noWrap w:val="0"/>
            <w:vAlign w:val="center"/>
          </w:tcPr>
          <w:p w14:paraId="5EAB99BD">
            <w:pPr>
              <w:spacing w:line="240" w:lineRule="atLeast"/>
              <w:contextualSpacing/>
              <w:jc w:val="center"/>
              <w:rPr>
                <w:color w:val="000000" w:themeColor="text1"/>
                <w:kern w:val="0"/>
                <w:szCs w:val="21"/>
                <w14:textFill>
                  <w14:solidFill>
                    <w14:schemeClr w14:val="tx1"/>
                  </w14:solidFill>
                </w14:textFill>
              </w:rPr>
            </w:pPr>
          </w:p>
        </w:tc>
        <w:tc>
          <w:tcPr>
            <w:tcW w:w="904" w:type="dxa"/>
            <w:shd w:val="clear" w:color="auto" w:fill="auto"/>
            <w:noWrap w:val="0"/>
            <w:vAlign w:val="center"/>
          </w:tcPr>
          <w:p w14:paraId="7AEBA372">
            <w:pPr>
              <w:spacing w:line="240" w:lineRule="atLeast"/>
              <w:contextualSpacing/>
              <w:jc w:val="center"/>
              <w:rPr>
                <w:color w:val="000000" w:themeColor="text1"/>
                <w:kern w:val="0"/>
                <w:szCs w:val="21"/>
                <w14:textFill>
                  <w14:solidFill>
                    <w14:schemeClr w14:val="tx1"/>
                  </w14:solidFill>
                </w14:textFill>
              </w:rPr>
            </w:pPr>
          </w:p>
        </w:tc>
      </w:tr>
    </w:tbl>
    <w:p w14:paraId="783E44F0">
      <w:pPr>
        <w:spacing w:line="240" w:lineRule="auto"/>
        <w:rPr>
          <w:color w:val="000000" w:themeColor="text1"/>
          <w:szCs w:val="24"/>
          <w14:textFill>
            <w14:solidFill>
              <w14:schemeClr w14:val="tx1"/>
            </w14:solidFill>
          </w14:textFill>
        </w:rPr>
      </w:pPr>
    </w:p>
    <w:p w14:paraId="736FD002">
      <w:pPr>
        <w:spacing w:before="120" w:beforeLines="50" w:after="240" w:afterLines="100" w:line="240" w:lineRule="auto"/>
        <w:jc w:val="center"/>
        <w:rPr>
          <w:rFonts w:hint="eastAsia"/>
          <w:b/>
          <w:color w:val="000000" w:themeColor="text1"/>
          <w:szCs w:val="28"/>
          <w14:textFill>
            <w14:solidFill>
              <w14:schemeClr w14:val="tx1"/>
            </w14:solidFill>
          </w14:textFill>
        </w:rPr>
      </w:pPr>
    </w:p>
    <w:p w14:paraId="11D83EEE">
      <w:pPr>
        <w:spacing w:before="120" w:beforeLines="50" w:after="240" w:afterLines="100" w:line="240" w:lineRule="auto"/>
        <w:jc w:val="center"/>
        <w:rPr>
          <w:b/>
          <w:color w:val="000000" w:themeColor="text1"/>
          <w:szCs w:val="28"/>
          <w14:textFill>
            <w14:solidFill>
              <w14:schemeClr w14:val="tx1"/>
            </w14:solidFill>
          </w14:textFill>
        </w:rPr>
      </w:pPr>
      <w:r>
        <w:rPr>
          <w:rFonts w:hint="eastAsia"/>
          <w:b/>
          <w:color w:val="000000" w:themeColor="text1"/>
          <w:szCs w:val="28"/>
          <w14:textFill>
            <w14:solidFill>
              <w14:schemeClr w14:val="tx1"/>
            </w14:solidFill>
          </w14:textFill>
        </w:rPr>
        <w:t>野生动物样线调查表2</w:t>
      </w:r>
    </w:p>
    <w:p w14:paraId="7FE15E8F">
      <w:pPr>
        <w:spacing w:line="240" w:lineRule="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样线长度：</w:t>
      </w:r>
      <w:r>
        <w:rPr>
          <w:color w:val="000000" w:themeColor="text1"/>
          <w:sz w:val="21"/>
          <w:szCs w:val="21"/>
          <w:u w:val="single"/>
          <w14:textFill>
            <w14:solidFill>
              <w14:schemeClr w14:val="tx1"/>
            </w14:solidFill>
          </w14:textFill>
        </w:rPr>
        <w:t xml:space="preserve"> </w:t>
      </w:r>
      <w:r>
        <w:rPr>
          <w:rFonts w:hint="eastAsia"/>
          <w:color w:val="000000" w:themeColor="text1"/>
          <w:sz w:val="21"/>
          <w:szCs w:val="21"/>
          <w:u w:val="single"/>
          <w:lang w:val="en-US" w:eastAsia="zh-CN"/>
          <w14:textFill>
            <w14:solidFill>
              <w14:schemeClr w14:val="tx1"/>
            </w14:solidFill>
          </w14:textFill>
        </w:rPr>
        <w:t>1500</w:t>
      </w:r>
      <w:r>
        <w:rPr>
          <w:color w:val="000000" w:themeColor="text1"/>
          <w:sz w:val="21"/>
          <w:szCs w:val="21"/>
          <w:u w:val="single"/>
          <w14:textFill>
            <w14:solidFill>
              <w14:schemeClr w14:val="tx1"/>
            </w14:solidFill>
          </w14:textFill>
        </w:rPr>
        <w:t xml:space="preserve"> </w:t>
      </w:r>
      <w:r>
        <w:rPr>
          <w:color w:val="000000" w:themeColor="text1"/>
          <w:sz w:val="21"/>
          <w:szCs w:val="21"/>
          <w14:textFill>
            <w14:solidFill>
              <w14:schemeClr w14:val="tx1"/>
            </w14:solidFill>
          </w14:textFill>
        </w:rPr>
        <w:t xml:space="preserve"> m  </w:t>
      </w:r>
      <w:r>
        <w:rPr>
          <w:rFonts w:hint="eastAsia"/>
          <w:color w:val="000000" w:themeColor="text1"/>
          <w:sz w:val="21"/>
          <w:szCs w:val="21"/>
          <w14:textFill>
            <w14:solidFill>
              <w14:schemeClr w14:val="tx1"/>
            </w14:solidFill>
          </w14:textFill>
        </w:rPr>
        <w:t xml:space="preserve">      样带面积：</w:t>
      </w:r>
      <w:r>
        <w:rPr>
          <w:rFonts w:hint="eastAsia"/>
          <w:color w:val="000000" w:themeColor="text1"/>
          <w:sz w:val="21"/>
          <w:szCs w:val="21"/>
          <w:u w:val="single"/>
          <w:lang w:val="en-US" w:eastAsia="zh-CN"/>
          <w14:textFill>
            <w14:solidFill>
              <w14:schemeClr w14:val="tx1"/>
            </w14:solidFill>
          </w14:textFill>
        </w:rPr>
        <w:t>8</w:t>
      </w:r>
      <w:r>
        <w:rPr>
          <w:rFonts w:hint="eastAsia"/>
          <w:color w:val="000000" w:themeColor="text1"/>
          <w:sz w:val="21"/>
          <w:szCs w:val="21"/>
          <w:u w:val="single"/>
          <w14:textFill>
            <w14:solidFill>
              <w14:schemeClr w14:val="tx1"/>
            </w14:solidFill>
          </w14:textFill>
        </w:rPr>
        <w:t>0</w:t>
      </w:r>
      <w:r>
        <w:rPr>
          <w:rFonts w:hint="eastAsia"/>
          <w:color w:val="000000" w:themeColor="text1"/>
          <w:sz w:val="21"/>
          <w:szCs w:val="21"/>
          <w:u w:val="single"/>
          <w:lang w:val="en-US" w:eastAsia="zh-CN"/>
          <w14:textFill>
            <w14:solidFill>
              <w14:schemeClr w14:val="tx1"/>
            </w14:solidFill>
          </w14:textFill>
        </w:rPr>
        <w:t>0</w:t>
      </w:r>
      <w:r>
        <w:rPr>
          <w:color w:val="000000" w:themeColor="text1"/>
          <w:sz w:val="21"/>
          <w:szCs w:val="21"/>
          <w:u w:val="single"/>
          <w14:textFill>
            <w14:solidFill>
              <w14:schemeClr w14:val="tx1"/>
            </w14:solidFill>
          </w14:textFill>
        </w:rPr>
        <w:t xml:space="preserve"> </w:t>
      </w:r>
      <w:r>
        <w:rPr>
          <w:color w:val="000000" w:themeColor="text1"/>
          <w:sz w:val="21"/>
          <w:szCs w:val="21"/>
          <w14:textFill>
            <w14:solidFill>
              <w14:schemeClr w14:val="tx1"/>
            </w14:solidFill>
          </w14:textFill>
        </w:rPr>
        <w:t>m×</w:t>
      </w:r>
      <w:r>
        <w:rPr>
          <w:color w:val="000000" w:themeColor="text1"/>
          <w:sz w:val="21"/>
          <w:szCs w:val="21"/>
          <w:u w:val="single"/>
          <w14:textFill>
            <w14:solidFill>
              <w14:schemeClr w14:val="tx1"/>
            </w14:solidFill>
          </w14:textFill>
        </w:rPr>
        <w:t>600</w:t>
      </w:r>
      <w:r>
        <w:rPr>
          <w:color w:val="000000" w:themeColor="text1"/>
          <w:sz w:val="21"/>
          <w:szCs w:val="21"/>
          <w14:textFill>
            <w14:solidFill>
              <w14:schemeClr w14:val="tx1"/>
            </w14:solidFill>
          </w14:textFill>
        </w:rPr>
        <w:t xml:space="preserve">m     </w:t>
      </w:r>
      <w:r>
        <w:rPr>
          <w:rFonts w:hint="eastAsia"/>
          <w:color w:val="000000" w:themeColor="text1"/>
          <w:sz w:val="21"/>
          <w:szCs w:val="21"/>
          <w14:textFill>
            <w14:solidFill>
              <w14:schemeClr w14:val="tx1"/>
            </w14:solidFill>
          </w14:textFill>
        </w:rPr>
        <w:t xml:space="preserve"> </w:t>
      </w:r>
      <w:r>
        <w:rPr>
          <w:color w:val="000000" w:themeColor="text1"/>
          <w:sz w:val="21"/>
          <w:szCs w:val="21"/>
          <w14:textFill>
            <w14:solidFill>
              <w14:schemeClr w14:val="tx1"/>
            </w14:solidFill>
          </w14:textFill>
        </w:rPr>
        <w:t xml:space="preserve"> </w:t>
      </w:r>
      <w:r>
        <w:rPr>
          <w:rFonts w:hint="eastAsia"/>
          <w:color w:val="000000" w:themeColor="text1"/>
          <w:sz w:val="21"/>
          <w:szCs w:val="21"/>
          <w14:textFill>
            <w14:solidFill>
              <w14:schemeClr w14:val="tx1"/>
            </w14:solidFill>
          </w14:textFill>
        </w:rPr>
        <w:t>海拔区间：</w:t>
      </w:r>
      <w:r>
        <w:rPr>
          <w:color w:val="000000" w:themeColor="text1"/>
          <w:sz w:val="21"/>
          <w:szCs w:val="21"/>
          <w:u w:val="single"/>
          <w14:textFill>
            <w14:solidFill>
              <w14:schemeClr w14:val="tx1"/>
            </w14:solidFill>
          </w14:textFill>
        </w:rPr>
        <w:t xml:space="preserve"> </w:t>
      </w:r>
      <w:r>
        <w:rPr>
          <w:rFonts w:hint="eastAsia"/>
          <w:color w:val="000000" w:themeColor="text1"/>
          <w:sz w:val="21"/>
          <w:szCs w:val="21"/>
          <w:u w:val="single"/>
          <w:lang w:val="en-US" w:eastAsia="zh-CN"/>
          <w14:textFill>
            <w14:solidFill>
              <w14:schemeClr w14:val="tx1"/>
            </w14:solidFill>
          </w14:textFill>
        </w:rPr>
        <w:t>870</w:t>
      </w:r>
      <w:r>
        <w:rPr>
          <w:color w:val="000000" w:themeColor="text1"/>
          <w:sz w:val="21"/>
          <w:szCs w:val="21"/>
          <w:u w:val="single"/>
          <w14:textFill>
            <w14:solidFill>
              <w14:schemeClr w14:val="tx1"/>
            </w14:solidFill>
          </w14:textFill>
        </w:rPr>
        <w:t xml:space="preserve"> </w:t>
      </w:r>
      <w:r>
        <w:rPr>
          <w:color w:val="000000" w:themeColor="text1"/>
          <w:sz w:val="21"/>
          <w:szCs w:val="21"/>
          <w14:textFill>
            <w14:solidFill>
              <w14:schemeClr w14:val="tx1"/>
            </w14:solidFill>
          </w14:textFill>
        </w:rPr>
        <w:t>m~</w:t>
      </w:r>
      <w:r>
        <w:rPr>
          <w:color w:val="000000" w:themeColor="text1"/>
          <w:sz w:val="21"/>
          <w:szCs w:val="21"/>
          <w:u w:val="single"/>
          <w14:textFill>
            <w14:solidFill>
              <w14:schemeClr w14:val="tx1"/>
            </w14:solidFill>
          </w14:textFill>
        </w:rPr>
        <w:t xml:space="preserve"> </w:t>
      </w:r>
      <w:r>
        <w:rPr>
          <w:rFonts w:hint="eastAsia"/>
          <w:color w:val="000000" w:themeColor="text1"/>
          <w:sz w:val="21"/>
          <w:szCs w:val="21"/>
          <w:u w:val="single"/>
          <w:lang w:val="en-US" w:eastAsia="zh-CN"/>
          <w14:textFill>
            <w14:solidFill>
              <w14:schemeClr w14:val="tx1"/>
            </w14:solidFill>
          </w14:textFill>
        </w:rPr>
        <w:t>96</w:t>
      </w:r>
      <w:r>
        <w:rPr>
          <w:color w:val="000000" w:themeColor="text1"/>
          <w:sz w:val="21"/>
          <w:szCs w:val="21"/>
          <w:u w:val="single"/>
          <w14:textFill>
            <w14:solidFill>
              <w14:schemeClr w14:val="tx1"/>
            </w14:solidFill>
          </w14:textFill>
        </w:rPr>
        <w:t>0</w:t>
      </w:r>
      <w:r>
        <w:rPr>
          <w:color w:val="000000" w:themeColor="text1"/>
          <w:sz w:val="21"/>
          <w:szCs w:val="21"/>
          <w14:textFill>
            <w14:solidFill>
              <w14:schemeClr w14:val="tx1"/>
            </w14:solidFill>
          </w14:textFill>
        </w:rPr>
        <w:t xml:space="preserve"> m</w:t>
      </w:r>
    </w:p>
    <w:p w14:paraId="0A0BB6EE">
      <w:pPr>
        <w:spacing w:line="240" w:lineRule="auto"/>
        <w:rPr>
          <w:color w:val="000000" w:themeColor="text1"/>
          <w:sz w:val="21"/>
          <w:szCs w:val="21"/>
          <w:u w:val="single"/>
          <w14:textFill>
            <w14:solidFill>
              <w14:schemeClr w14:val="tx1"/>
            </w14:solidFill>
          </w14:textFill>
        </w:rPr>
      </w:pPr>
      <w:r>
        <w:rPr>
          <w:rFonts w:hint="eastAsia"/>
          <w:bCs/>
          <w:color w:val="000000" w:themeColor="text1"/>
          <w:sz w:val="21"/>
          <w:szCs w:val="21"/>
          <w14:textFill>
            <w14:solidFill>
              <w14:schemeClr w14:val="tx1"/>
            </w14:solidFill>
          </w14:textFill>
        </w:rPr>
        <w:t>坐标：</w:t>
      </w:r>
      <w:r>
        <w:rPr>
          <w:color w:val="000000" w:themeColor="text1"/>
          <w:sz w:val="21"/>
          <w:szCs w:val="21"/>
          <w14:textFill>
            <w14:solidFill>
              <w14:schemeClr w14:val="tx1"/>
            </w14:solidFill>
          </w14:textFill>
        </w:rPr>
        <w:t xml:space="preserve">N </w:t>
      </w:r>
      <w:r>
        <w:rPr>
          <w:color w:val="000000" w:themeColor="text1"/>
          <w:sz w:val="21"/>
          <w:szCs w:val="21"/>
          <w:u w:val="single"/>
          <w14:textFill>
            <w14:solidFill>
              <w14:schemeClr w14:val="tx1"/>
            </w14:solidFill>
          </w14:textFill>
        </w:rPr>
        <w:t xml:space="preserve"> </w:t>
      </w:r>
      <w:r>
        <w:rPr>
          <w:rFonts w:hint="eastAsia"/>
          <w:color w:val="000000" w:themeColor="text1"/>
          <w:sz w:val="21"/>
          <w:szCs w:val="21"/>
          <w:u w:val="single"/>
          <w14:textFill>
            <w14:solidFill>
              <w14:schemeClr w14:val="tx1"/>
            </w14:solidFill>
          </w14:textFill>
        </w:rPr>
        <w:t>26°</w:t>
      </w:r>
      <w:r>
        <w:rPr>
          <w:rFonts w:hint="eastAsia"/>
          <w:color w:val="000000" w:themeColor="text1"/>
          <w:sz w:val="21"/>
          <w:szCs w:val="21"/>
          <w:u w:val="single"/>
          <w:lang w:val="en-US" w:eastAsia="zh-CN"/>
          <w14:textFill>
            <w14:solidFill>
              <w14:schemeClr w14:val="tx1"/>
            </w14:solidFill>
          </w14:textFill>
        </w:rPr>
        <w:t>14</w:t>
      </w:r>
      <w:r>
        <w:rPr>
          <w:rFonts w:hint="eastAsia"/>
          <w:color w:val="000000" w:themeColor="text1"/>
          <w:sz w:val="21"/>
          <w:szCs w:val="21"/>
          <w:u w:val="single"/>
          <w14:textFill>
            <w14:solidFill>
              <w14:schemeClr w14:val="tx1"/>
            </w14:solidFill>
          </w14:textFill>
        </w:rPr>
        <w:t>′</w:t>
      </w:r>
      <w:r>
        <w:rPr>
          <w:rFonts w:hint="eastAsia"/>
          <w:color w:val="000000" w:themeColor="text1"/>
          <w:sz w:val="21"/>
          <w:szCs w:val="21"/>
          <w:u w:val="single"/>
          <w:lang w:val="en-US" w:eastAsia="zh-CN"/>
          <w14:textFill>
            <w14:solidFill>
              <w14:schemeClr w14:val="tx1"/>
            </w14:solidFill>
          </w14:textFill>
        </w:rPr>
        <w:t>20.168</w:t>
      </w:r>
      <w:r>
        <w:rPr>
          <w:rFonts w:hint="eastAsia"/>
          <w:color w:val="000000" w:themeColor="text1"/>
          <w:sz w:val="21"/>
          <w:szCs w:val="21"/>
          <w:u w:val="single"/>
          <w14:textFill>
            <w14:solidFill>
              <w14:schemeClr w14:val="tx1"/>
            </w14:solidFill>
          </w14:textFill>
        </w:rPr>
        <w:t>″</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 xml:space="preserve">E </w:t>
      </w:r>
      <w:r>
        <w:rPr>
          <w:rFonts w:hint="eastAsia"/>
          <w:color w:val="000000" w:themeColor="text1"/>
          <w:sz w:val="21"/>
          <w:szCs w:val="21"/>
          <w:u w:val="single"/>
          <w14:textFill>
            <w14:solidFill>
              <w14:schemeClr w14:val="tx1"/>
            </w14:solidFill>
          </w14:textFill>
        </w:rPr>
        <w:t>109°</w:t>
      </w:r>
      <w:r>
        <w:rPr>
          <w:rFonts w:hint="eastAsia"/>
          <w:color w:val="000000" w:themeColor="text1"/>
          <w:sz w:val="21"/>
          <w:szCs w:val="21"/>
          <w:u w:val="single"/>
          <w:lang w:val="en-US" w:eastAsia="zh-CN"/>
          <w14:textFill>
            <w14:solidFill>
              <w14:schemeClr w14:val="tx1"/>
            </w14:solidFill>
          </w14:textFill>
        </w:rPr>
        <w:t>68</w:t>
      </w:r>
      <w:r>
        <w:rPr>
          <w:rFonts w:hint="eastAsia"/>
          <w:color w:val="000000" w:themeColor="text1"/>
          <w:sz w:val="21"/>
          <w:szCs w:val="21"/>
          <w:u w:val="single"/>
          <w14:textFill>
            <w14:solidFill>
              <w14:schemeClr w14:val="tx1"/>
            </w14:solidFill>
          </w14:textFill>
        </w:rPr>
        <w:t>′</w:t>
      </w:r>
      <w:r>
        <w:rPr>
          <w:rFonts w:hint="eastAsia"/>
          <w:color w:val="000000" w:themeColor="text1"/>
          <w:sz w:val="21"/>
          <w:szCs w:val="21"/>
          <w:u w:val="single"/>
          <w:lang w:val="en-US" w:eastAsia="zh-CN"/>
          <w14:textFill>
            <w14:solidFill>
              <w14:schemeClr w14:val="tx1"/>
            </w14:solidFill>
          </w14:textFill>
        </w:rPr>
        <w:t>45.510</w:t>
      </w:r>
      <w:r>
        <w:rPr>
          <w:rFonts w:hint="eastAsia"/>
          <w:color w:val="000000" w:themeColor="text1"/>
          <w:sz w:val="21"/>
          <w:szCs w:val="21"/>
          <w:u w:val="single"/>
          <w14:textFill>
            <w14:solidFill>
              <w14:schemeClr w14:val="tx1"/>
            </w14:solidFill>
          </w14:textFill>
        </w:rPr>
        <w:t>″,</w:t>
      </w:r>
      <w:r>
        <w:rPr>
          <w:color w:val="000000" w:themeColor="text1"/>
          <w:sz w:val="21"/>
          <w:szCs w:val="21"/>
          <w14:textFill>
            <w14:solidFill>
              <w14:schemeClr w14:val="tx1"/>
            </w14:solidFill>
          </w14:textFill>
        </w:rPr>
        <w:t xml:space="preserve"> </w:t>
      </w:r>
      <w:r>
        <w:rPr>
          <w:rFonts w:hint="eastAsia"/>
          <w:color w:val="000000" w:themeColor="text1"/>
          <w:sz w:val="21"/>
          <w:szCs w:val="21"/>
          <w14:textFill>
            <w14:solidFill>
              <w14:schemeClr w14:val="tx1"/>
            </w14:solidFill>
          </w14:textFill>
        </w:rPr>
        <w:t>至</w:t>
      </w:r>
      <w:r>
        <w:rPr>
          <w:color w:val="000000" w:themeColor="text1"/>
          <w:sz w:val="21"/>
          <w:szCs w:val="21"/>
          <w14:textFill>
            <w14:solidFill>
              <w14:schemeClr w14:val="tx1"/>
            </w14:solidFill>
          </w14:textFill>
        </w:rPr>
        <w:t xml:space="preserve"> N </w:t>
      </w:r>
      <w:r>
        <w:rPr>
          <w:rFonts w:hint="eastAsia"/>
          <w:color w:val="000000" w:themeColor="text1"/>
          <w:sz w:val="21"/>
          <w:szCs w:val="21"/>
          <w:u w:val="single"/>
          <w14:textFill>
            <w14:solidFill>
              <w14:schemeClr w14:val="tx1"/>
            </w14:solidFill>
          </w14:textFill>
        </w:rPr>
        <w:t>26°</w:t>
      </w:r>
      <w:r>
        <w:rPr>
          <w:rFonts w:hint="eastAsia"/>
          <w:color w:val="000000" w:themeColor="text1"/>
          <w:sz w:val="21"/>
          <w:szCs w:val="21"/>
          <w:u w:val="single"/>
          <w:lang w:val="en-US" w:eastAsia="zh-CN"/>
          <w14:textFill>
            <w14:solidFill>
              <w14:schemeClr w14:val="tx1"/>
            </w14:solidFill>
          </w14:textFill>
        </w:rPr>
        <w:t>13</w:t>
      </w:r>
      <w:r>
        <w:rPr>
          <w:rFonts w:hint="eastAsia"/>
          <w:color w:val="000000" w:themeColor="text1"/>
          <w:sz w:val="21"/>
          <w:szCs w:val="21"/>
          <w:u w:val="single"/>
          <w14:textFill>
            <w14:solidFill>
              <w14:schemeClr w14:val="tx1"/>
            </w14:solidFill>
          </w14:textFill>
        </w:rPr>
        <w:t>′</w:t>
      </w:r>
      <w:r>
        <w:rPr>
          <w:rFonts w:hint="eastAsia"/>
          <w:color w:val="000000" w:themeColor="text1"/>
          <w:sz w:val="21"/>
          <w:szCs w:val="21"/>
          <w:u w:val="single"/>
          <w:lang w:val="en-US" w:eastAsia="zh-CN"/>
          <w14:textFill>
            <w14:solidFill>
              <w14:schemeClr w14:val="tx1"/>
            </w14:solidFill>
          </w14:textFill>
        </w:rPr>
        <w:t>20.103</w:t>
      </w:r>
      <w:r>
        <w:rPr>
          <w:rFonts w:hint="eastAsia"/>
          <w:color w:val="000000" w:themeColor="text1"/>
          <w:sz w:val="21"/>
          <w:szCs w:val="21"/>
          <w:u w:val="single"/>
          <w14:textFill>
            <w14:solidFill>
              <w14:schemeClr w14:val="tx1"/>
            </w14:solidFill>
          </w14:textFill>
        </w:rPr>
        <w:t>″</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 xml:space="preserve">E </w:t>
      </w:r>
      <w:r>
        <w:rPr>
          <w:rFonts w:hint="eastAsia"/>
          <w:color w:val="000000" w:themeColor="text1"/>
          <w:sz w:val="21"/>
          <w:szCs w:val="21"/>
          <w:u w:val="single"/>
          <w14:textFill>
            <w14:solidFill>
              <w14:schemeClr w14:val="tx1"/>
            </w14:solidFill>
          </w14:textFill>
        </w:rPr>
        <w:t>109°</w:t>
      </w:r>
      <w:r>
        <w:rPr>
          <w:rFonts w:hint="eastAsia"/>
          <w:color w:val="000000" w:themeColor="text1"/>
          <w:sz w:val="21"/>
          <w:szCs w:val="21"/>
          <w:u w:val="single"/>
          <w:lang w:val="en-US" w:eastAsia="zh-CN"/>
          <w14:textFill>
            <w14:solidFill>
              <w14:schemeClr w14:val="tx1"/>
            </w14:solidFill>
          </w14:textFill>
        </w:rPr>
        <w:t>68</w:t>
      </w:r>
      <w:r>
        <w:rPr>
          <w:rFonts w:hint="eastAsia"/>
          <w:color w:val="000000" w:themeColor="text1"/>
          <w:sz w:val="21"/>
          <w:szCs w:val="21"/>
          <w:u w:val="single"/>
          <w14:textFill>
            <w14:solidFill>
              <w14:schemeClr w14:val="tx1"/>
            </w14:solidFill>
          </w14:textFill>
        </w:rPr>
        <w:t>′</w:t>
      </w:r>
      <w:r>
        <w:rPr>
          <w:rFonts w:hint="eastAsia"/>
          <w:color w:val="000000" w:themeColor="text1"/>
          <w:sz w:val="21"/>
          <w:szCs w:val="21"/>
          <w:u w:val="single"/>
          <w:lang w:val="en-US" w:eastAsia="zh-CN"/>
          <w14:textFill>
            <w14:solidFill>
              <w14:schemeClr w14:val="tx1"/>
            </w14:solidFill>
          </w14:textFill>
        </w:rPr>
        <w:t>16.268</w:t>
      </w:r>
      <w:r>
        <w:rPr>
          <w:rFonts w:hint="eastAsia"/>
          <w:color w:val="000000" w:themeColor="text1"/>
          <w:sz w:val="21"/>
          <w:szCs w:val="21"/>
          <w:u w:val="single"/>
          <w14:textFill>
            <w14:solidFill>
              <w14:schemeClr w14:val="tx1"/>
            </w14:solidFill>
          </w14:textFill>
        </w:rPr>
        <w:t>″</w:t>
      </w:r>
    </w:p>
    <w:p w14:paraId="53AC25E9">
      <w:pPr>
        <w:spacing w:after="120" w:afterLines="50"/>
        <w:rPr>
          <w:color w:val="000000" w:themeColor="text1"/>
          <w:sz w:val="21"/>
          <w:szCs w:val="21"/>
          <w:u w:val="single"/>
          <w14:textFill>
            <w14:solidFill>
              <w14:schemeClr w14:val="tx1"/>
            </w14:solidFill>
          </w14:textFill>
        </w:rPr>
      </w:pPr>
      <w:r>
        <w:rPr>
          <w:rFonts w:hint="eastAsia"/>
          <w:color w:val="000000" w:themeColor="text1"/>
          <w:sz w:val="21"/>
          <w:szCs w:val="21"/>
          <w14:textFill>
            <w14:solidFill>
              <w14:schemeClr w14:val="tx1"/>
            </w14:solidFill>
          </w14:textFill>
        </w:rPr>
        <w:t>天气：</w:t>
      </w:r>
      <w:r>
        <w:rPr>
          <w:color w:val="000000" w:themeColor="text1"/>
          <w:sz w:val="21"/>
          <w:szCs w:val="21"/>
          <w:u w:val="single"/>
          <w14:textFill>
            <w14:solidFill>
              <w14:schemeClr w14:val="tx1"/>
            </w14:solidFill>
          </w14:textFill>
        </w:rPr>
        <w:t xml:space="preserve"> </w:t>
      </w:r>
      <w:r>
        <w:rPr>
          <w:rFonts w:hint="eastAsia"/>
          <w:color w:val="000000" w:themeColor="text1"/>
          <w:sz w:val="21"/>
          <w:szCs w:val="21"/>
          <w:u w:val="single"/>
          <w14:textFill>
            <w14:solidFill>
              <w14:schemeClr w14:val="tx1"/>
            </w14:solidFill>
          </w14:textFill>
        </w:rPr>
        <w:t>晴</w:t>
      </w:r>
      <w:r>
        <w:rPr>
          <w:color w:val="000000" w:themeColor="text1"/>
          <w:sz w:val="21"/>
          <w:szCs w:val="21"/>
          <w:u w:val="single"/>
          <w14:textFill>
            <w14:solidFill>
              <w14:schemeClr w14:val="tx1"/>
            </w14:solidFill>
          </w14:textFill>
        </w:rPr>
        <w:t xml:space="preserve"> </w:t>
      </w:r>
      <w:r>
        <w:rPr>
          <w:color w:val="000000" w:themeColor="text1"/>
          <w:sz w:val="21"/>
          <w:szCs w:val="21"/>
          <w14:textFill>
            <w14:solidFill>
              <w14:schemeClr w14:val="tx1"/>
            </w14:solidFill>
          </w14:textFill>
        </w:rPr>
        <w:t xml:space="preserve">      </w:t>
      </w:r>
      <w:r>
        <w:rPr>
          <w:rFonts w:hint="eastAsia"/>
          <w:color w:val="000000" w:themeColor="text1"/>
          <w:sz w:val="21"/>
          <w:szCs w:val="21"/>
          <w14:textFill>
            <w14:solidFill>
              <w14:schemeClr w14:val="tx1"/>
            </w14:solidFill>
          </w14:textFill>
        </w:rPr>
        <w:t xml:space="preserve">  </w:t>
      </w:r>
      <w:r>
        <w:rPr>
          <w:color w:val="000000" w:themeColor="text1"/>
          <w:sz w:val="21"/>
          <w:szCs w:val="21"/>
          <w14:textFill>
            <w14:solidFill>
              <w14:schemeClr w14:val="tx1"/>
            </w14:solidFill>
          </w14:textFill>
        </w:rPr>
        <w:t xml:space="preserve">  </w:t>
      </w:r>
      <w:r>
        <w:rPr>
          <w:rFonts w:hint="eastAsia"/>
          <w:color w:val="000000" w:themeColor="text1"/>
          <w:sz w:val="21"/>
          <w:szCs w:val="21"/>
          <w14:textFill>
            <w14:solidFill>
              <w14:schemeClr w14:val="tx1"/>
            </w14:solidFill>
          </w14:textFill>
        </w:rPr>
        <w:t>生境类型：</w:t>
      </w:r>
      <w:r>
        <w:rPr>
          <w:color w:val="000000" w:themeColor="text1"/>
          <w:sz w:val="21"/>
          <w:szCs w:val="21"/>
          <w:u w:val="single"/>
          <w14:textFill>
            <w14:solidFill>
              <w14:schemeClr w14:val="tx1"/>
            </w14:solidFill>
          </w14:textFill>
        </w:rPr>
        <w:t xml:space="preserve">  </w:t>
      </w:r>
      <w:r>
        <w:rPr>
          <w:rFonts w:hint="eastAsia"/>
          <w:color w:val="000000" w:themeColor="text1"/>
          <w:sz w:val="21"/>
          <w:szCs w:val="21"/>
          <w:u w:val="single"/>
          <w14:textFill>
            <w14:solidFill>
              <w14:schemeClr w14:val="tx1"/>
            </w14:solidFill>
          </w14:textFill>
        </w:rPr>
        <w:t>灌丛、阔叶林、针叶林</w:t>
      </w:r>
      <w:r>
        <w:rPr>
          <w:color w:val="000000" w:themeColor="text1"/>
          <w:sz w:val="21"/>
          <w:szCs w:val="21"/>
          <w:u w:val="single"/>
          <w14:textFill>
            <w14:solidFill>
              <w14:schemeClr w14:val="tx1"/>
            </w14:solidFill>
          </w14:textFill>
        </w:rPr>
        <w:t xml:space="preserve">  </w:t>
      </w:r>
      <w:r>
        <w:rPr>
          <w:color w:val="000000" w:themeColor="text1"/>
          <w:sz w:val="21"/>
          <w:szCs w:val="21"/>
          <w14:textFill>
            <w14:solidFill>
              <w14:schemeClr w14:val="tx1"/>
            </w14:solidFill>
          </w14:textFill>
        </w:rPr>
        <w:t xml:space="preserve">   </w:t>
      </w:r>
      <w:r>
        <w:rPr>
          <w:rFonts w:hint="eastAsia"/>
          <w:color w:val="000000" w:themeColor="text1"/>
          <w:sz w:val="21"/>
          <w:szCs w:val="21"/>
          <w14:textFill>
            <w14:solidFill>
              <w14:schemeClr w14:val="tx1"/>
            </w14:solidFill>
          </w14:textFill>
        </w:rPr>
        <w:t xml:space="preserve">   </w:t>
      </w:r>
      <w:r>
        <w:rPr>
          <w:color w:val="000000" w:themeColor="text1"/>
          <w:sz w:val="21"/>
          <w:szCs w:val="21"/>
          <w14:textFill>
            <w14:solidFill>
              <w14:schemeClr w14:val="tx1"/>
            </w14:solidFill>
          </w14:textFill>
        </w:rPr>
        <w:t xml:space="preserve"> </w:t>
      </w:r>
      <w:r>
        <w:rPr>
          <w:rFonts w:hint="eastAsia"/>
          <w:color w:val="000000" w:themeColor="text1"/>
          <w:sz w:val="21"/>
          <w:szCs w:val="21"/>
          <w14:textFill>
            <w14:solidFill>
              <w14:schemeClr w14:val="tx1"/>
            </w14:solidFill>
          </w14:textFill>
        </w:rPr>
        <w:t>人为干扰因素：</w:t>
      </w:r>
      <w:r>
        <w:rPr>
          <w:color w:val="000000" w:themeColor="text1"/>
          <w:sz w:val="21"/>
          <w:szCs w:val="21"/>
          <w:u w:val="single"/>
          <w14:textFill>
            <w14:solidFill>
              <w14:schemeClr w14:val="tx1"/>
            </w14:solidFill>
          </w14:textFill>
        </w:rPr>
        <w:t xml:space="preserve">  </w:t>
      </w:r>
      <w:r>
        <w:rPr>
          <w:rFonts w:hint="eastAsia"/>
          <w:color w:val="000000" w:themeColor="text1"/>
          <w:sz w:val="21"/>
          <w:szCs w:val="21"/>
          <w:u w:val="single"/>
          <w14:textFill>
            <w14:solidFill>
              <w14:schemeClr w14:val="tx1"/>
            </w14:solidFill>
          </w14:textFill>
        </w:rPr>
        <w:t>无</w:t>
      </w:r>
      <w:r>
        <w:rPr>
          <w:color w:val="000000" w:themeColor="text1"/>
          <w:sz w:val="21"/>
          <w:szCs w:val="21"/>
          <w:u w:val="single"/>
          <w14:textFill>
            <w14:solidFill>
              <w14:schemeClr w14:val="tx1"/>
            </w14:solidFill>
          </w14:textFill>
        </w:rPr>
        <w:t xml:space="preserve">  </w:t>
      </w:r>
    </w:p>
    <w:tbl>
      <w:tblPr>
        <w:tblStyle w:val="26"/>
        <w:tblW w:w="8441"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666"/>
        <w:gridCol w:w="1295"/>
        <w:gridCol w:w="2512"/>
        <w:gridCol w:w="1052"/>
        <w:gridCol w:w="1766"/>
        <w:gridCol w:w="1150"/>
      </w:tblGrid>
      <w:tr w14:paraId="6975A63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666" w:type="dxa"/>
            <w:shd w:val="clear" w:color="auto" w:fill="auto"/>
            <w:noWrap w:val="0"/>
            <w:vAlign w:val="center"/>
          </w:tcPr>
          <w:p w14:paraId="21BE1148">
            <w:pPr>
              <w:spacing w:line="240" w:lineRule="atLeast"/>
              <w:contextualSpacing/>
              <w:jc w:val="center"/>
              <w:rPr>
                <w:color w:val="000000" w:themeColor="text1"/>
                <w:kern w:val="0"/>
                <w:szCs w:val="21"/>
                <w14:textFill>
                  <w14:solidFill>
                    <w14:schemeClr w14:val="tx1"/>
                  </w14:solidFill>
                </w14:textFill>
              </w:rPr>
            </w:pPr>
            <w:r>
              <w:rPr>
                <w:rFonts w:hint="eastAsia"/>
                <w:color w:val="000000" w:themeColor="text1"/>
                <w:kern w:val="0"/>
                <w:sz w:val="20"/>
                <w:szCs w:val="21"/>
                <w14:textFill>
                  <w14:solidFill>
                    <w14:schemeClr w14:val="tx1"/>
                  </w14:solidFill>
                </w14:textFill>
              </w:rPr>
              <w:t>序号</w:t>
            </w:r>
          </w:p>
        </w:tc>
        <w:tc>
          <w:tcPr>
            <w:tcW w:w="1295" w:type="dxa"/>
            <w:shd w:val="clear" w:color="auto" w:fill="auto"/>
            <w:noWrap w:val="0"/>
            <w:vAlign w:val="center"/>
          </w:tcPr>
          <w:p w14:paraId="41EEE1FC">
            <w:pPr>
              <w:adjustRightInd w:val="0"/>
              <w:spacing w:line="240" w:lineRule="atLeast"/>
              <w:contextualSpacing/>
              <w:jc w:val="center"/>
              <w:textAlignment w:val="baseline"/>
              <w:rPr>
                <w:color w:val="000000" w:themeColor="text1"/>
                <w:kern w:val="0"/>
                <w:szCs w:val="21"/>
                <w14:textFill>
                  <w14:solidFill>
                    <w14:schemeClr w14:val="tx1"/>
                  </w14:solidFill>
                </w14:textFill>
              </w:rPr>
            </w:pPr>
            <w:r>
              <w:rPr>
                <w:rFonts w:hint="eastAsia"/>
                <w:color w:val="000000" w:themeColor="text1"/>
                <w:kern w:val="0"/>
                <w:sz w:val="20"/>
                <w:szCs w:val="21"/>
                <w14:textFill>
                  <w14:solidFill>
                    <w14:schemeClr w14:val="tx1"/>
                  </w14:solidFill>
                </w14:textFill>
              </w:rPr>
              <w:t>物种名</w:t>
            </w:r>
          </w:p>
        </w:tc>
        <w:tc>
          <w:tcPr>
            <w:tcW w:w="2512" w:type="dxa"/>
            <w:shd w:val="clear" w:color="auto" w:fill="auto"/>
            <w:noWrap w:val="0"/>
            <w:vAlign w:val="center"/>
          </w:tcPr>
          <w:p w14:paraId="5102001C">
            <w:pPr>
              <w:adjustRightInd w:val="0"/>
              <w:spacing w:line="240" w:lineRule="atLeast"/>
              <w:contextualSpacing/>
              <w:jc w:val="center"/>
              <w:textAlignment w:val="baseline"/>
              <w:rPr>
                <w:color w:val="000000" w:themeColor="text1"/>
                <w:kern w:val="0"/>
                <w:szCs w:val="21"/>
                <w14:textFill>
                  <w14:solidFill>
                    <w14:schemeClr w14:val="tx1"/>
                  </w14:solidFill>
                </w14:textFill>
              </w:rPr>
            </w:pPr>
            <w:r>
              <w:rPr>
                <w:rFonts w:hint="eastAsia"/>
                <w:color w:val="000000" w:themeColor="text1"/>
                <w:kern w:val="0"/>
                <w:sz w:val="20"/>
                <w:szCs w:val="21"/>
                <w14:textFill>
                  <w14:solidFill>
                    <w14:schemeClr w14:val="tx1"/>
                  </w14:solidFill>
                </w14:textFill>
              </w:rPr>
              <w:t>拉丁文名</w:t>
            </w:r>
          </w:p>
        </w:tc>
        <w:tc>
          <w:tcPr>
            <w:tcW w:w="1052" w:type="dxa"/>
            <w:shd w:val="clear" w:color="auto" w:fill="auto"/>
            <w:noWrap w:val="0"/>
            <w:vAlign w:val="center"/>
          </w:tcPr>
          <w:p w14:paraId="7962E6CC">
            <w:pPr>
              <w:adjustRightInd w:val="0"/>
              <w:spacing w:line="240" w:lineRule="atLeast"/>
              <w:contextualSpacing/>
              <w:jc w:val="center"/>
              <w:textAlignment w:val="baseline"/>
              <w:rPr>
                <w:color w:val="000000" w:themeColor="text1"/>
                <w:kern w:val="0"/>
                <w:szCs w:val="21"/>
                <w14:textFill>
                  <w14:solidFill>
                    <w14:schemeClr w14:val="tx1"/>
                  </w14:solidFill>
                </w14:textFill>
              </w:rPr>
            </w:pPr>
            <w:r>
              <w:rPr>
                <w:rFonts w:hint="eastAsia"/>
                <w:color w:val="000000" w:themeColor="text1"/>
                <w:kern w:val="0"/>
                <w:sz w:val="20"/>
                <w:szCs w:val="21"/>
                <w14:textFill>
                  <w14:solidFill>
                    <w14:schemeClr w14:val="tx1"/>
                  </w14:solidFill>
                </w14:textFill>
              </w:rPr>
              <w:t>实体数量</w:t>
            </w:r>
          </w:p>
        </w:tc>
        <w:tc>
          <w:tcPr>
            <w:tcW w:w="1766" w:type="dxa"/>
            <w:shd w:val="clear" w:color="auto" w:fill="auto"/>
            <w:noWrap w:val="0"/>
            <w:vAlign w:val="center"/>
          </w:tcPr>
          <w:p w14:paraId="2215F9C5">
            <w:pPr>
              <w:adjustRightInd w:val="0"/>
              <w:spacing w:line="240" w:lineRule="atLeast"/>
              <w:contextualSpacing/>
              <w:jc w:val="center"/>
              <w:textAlignment w:val="baseline"/>
              <w:rPr>
                <w:color w:val="000000" w:themeColor="text1"/>
                <w:kern w:val="0"/>
                <w:szCs w:val="21"/>
                <w14:textFill>
                  <w14:solidFill>
                    <w14:schemeClr w14:val="tx1"/>
                  </w14:solidFill>
                </w14:textFill>
              </w:rPr>
            </w:pPr>
            <w:r>
              <w:rPr>
                <w:rFonts w:hint="eastAsia"/>
                <w:color w:val="000000" w:themeColor="text1"/>
                <w:kern w:val="0"/>
                <w:sz w:val="20"/>
                <w:szCs w:val="21"/>
                <w14:textFill>
                  <w14:solidFill>
                    <w14:schemeClr w14:val="tx1"/>
                  </w14:solidFill>
                </w14:textFill>
              </w:rPr>
              <w:t>痕迹类型及数量</w:t>
            </w:r>
          </w:p>
        </w:tc>
        <w:tc>
          <w:tcPr>
            <w:tcW w:w="1150" w:type="dxa"/>
            <w:shd w:val="clear" w:color="auto" w:fill="auto"/>
            <w:noWrap w:val="0"/>
            <w:vAlign w:val="center"/>
          </w:tcPr>
          <w:p w14:paraId="77A62659">
            <w:pPr>
              <w:adjustRightInd w:val="0"/>
              <w:spacing w:line="240" w:lineRule="atLeast"/>
              <w:contextualSpacing/>
              <w:jc w:val="center"/>
              <w:textAlignment w:val="baseline"/>
              <w:rPr>
                <w:color w:val="000000" w:themeColor="text1"/>
                <w:kern w:val="0"/>
                <w:szCs w:val="21"/>
                <w14:textFill>
                  <w14:solidFill>
                    <w14:schemeClr w14:val="tx1"/>
                  </w14:solidFill>
                </w14:textFill>
              </w:rPr>
            </w:pPr>
            <w:r>
              <w:rPr>
                <w:rFonts w:hint="eastAsia"/>
                <w:color w:val="000000" w:themeColor="text1"/>
                <w:kern w:val="0"/>
                <w:sz w:val="20"/>
                <w:szCs w:val="21"/>
                <w14:textFill>
                  <w14:solidFill>
                    <w14:schemeClr w14:val="tx1"/>
                  </w14:solidFill>
                </w14:textFill>
              </w:rPr>
              <w:t>备注</w:t>
            </w:r>
          </w:p>
        </w:tc>
      </w:tr>
      <w:tr w14:paraId="7852302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666" w:type="dxa"/>
            <w:shd w:val="clear" w:color="auto" w:fill="auto"/>
            <w:noWrap w:val="0"/>
            <w:vAlign w:val="center"/>
          </w:tcPr>
          <w:p w14:paraId="74B33065">
            <w:pPr>
              <w:pStyle w:val="87"/>
              <w:numPr>
                <w:ilvl w:val="0"/>
                <w:numId w:val="12"/>
              </w:numPr>
              <w:adjustRightInd w:val="0"/>
              <w:spacing w:line="240" w:lineRule="atLeast"/>
              <w:ind w:firstLineChars="0"/>
              <w:contextualSpacing/>
              <w:jc w:val="center"/>
              <w:textAlignment w:val="baseline"/>
              <w:rPr>
                <w:rFonts w:ascii="Times New Roman" w:hAnsi="Times New Roman"/>
                <w:color w:val="000000" w:themeColor="text1"/>
                <w:kern w:val="0"/>
                <w:szCs w:val="21"/>
                <w14:textFill>
                  <w14:solidFill>
                    <w14:schemeClr w14:val="tx1"/>
                  </w14:solidFill>
                </w14:textFill>
              </w:rPr>
            </w:pPr>
          </w:p>
        </w:tc>
        <w:tc>
          <w:tcPr>
            <w:tcW w:w="1295" w:type="dxa"/>
            <w:shd w:val="clear" w:color="auto" w:fill="auto"/>
            <w:noWrap w:val="0"/>
            <w:vAlign w:val="center"/>
          </w:tcPr>
          <w:p w14:paraId="77EE46AA">
            <w:pPr>
              <w:spacing w:line="240" w:lineRule="atLeast"/>
              <w:contextualSpacing/>
              <w:jc w:val="center"/>
              <w:rPr>
                <w:color w:val="000000" w:themeColor="text1"/>
                <w:kern w:val="0"/>
                <w:szCs w:val="21"/>
                <w14:textFill>
                  <w14:solidFill>
                    <w14:schemeClr w14:val="tx1"/>
                  </w14:solidFill>
                </w14:textFill>
              </w:rPr>
            </w:pPr>
            <w:r>
              <w:rPr>
                <w:rFonts w:hint="eastAsia"/>
                <w:color w:val="000000" w:themeColor="text1"/>
                <w:kern w:val="0"/>
                <w:sz w:val="20"/>
                <w:szCs w:val="21"/>
                <w14:textFill>
                  <w14:solidFill>
                    <w14:schemeClr w14:val="tx1"/>
                  </w14:solidFill>
                </w14:textFill>
              </w:rPr>
              <w:t>山斑鸠</w:t>
            </w:r>
          </w:p>
        </w:tc>
        <w:tc>
          <w:tcPr>
            <w:tcW w:w="2512" w:type="dxa"/>
            <w:shd w:val="clear" w:color="auto" w:fill="auto"/>
            <w:noWrap w:val="0"/>
            <w:vAlign w:val="center"/>
          </w:tcPr>
          <w:p w14:paraId="33D357AB">
            <w:pPr>
              <w:spacing w:line="240" w:lineRule="atLeast"/>
              <w:contextualSpacing/>
              <w:jc w:val="center"/>
              <w:rPr>
                <w:color w:val="000000" w:themeColor="text1"/>
                <w:kern w:val="0"/>
                <w:szCs w:val="21"/>
                <w14:textFill>
                  <w14:solidFill>
                    <w14:schemeClr w14:val="tx1"/>
                  </w14:solidFill>
                </w14:textFill>
              </w:rPr>
            </w:pPr>
            <w:r>
              <w:rPr>
                <w:i/>
                <w:iCs/>
                <w:color w:val="000000" w:themeColor="text1"/>
                <w:kern w:val="0"/>
                <w:sz w:val="20"/>
                <w:szCs w:val="21"/>
                <w14:textFill>
                  <w14:solidFill>
                    <w14:schemeClr w14:val="tx1"/>
                  </w14:solidFill>
                </w14:textFill>
              </w:rPr>
              <w:t>Streptopelia o.orcentalis</w:t>
            </w:r>
          </w:p>
        </w:tc>
        <w:tc>
          <w:tcPr>
            <w:tcW w:w="1052" w:type="dxa"/>
            <w:shd w:val="clear" w:color="auto" w:fill="auto"/>
            <w:noWrap w:val="0"/>
            <w:vAlign w:val="center"/>
          </w:tcPr>
          <w:p w14:paraId="69454DEE">
            <w:pPr>
              <w:spacing w:line="240" w:lineRule="atLeast"/>
              <w:contextualSpacing/>
              <w:jc w:val="center"/>
              <w:rPr>
                <w:color w:val="000000" w:themeColor="text1"/>
                <w:kern w:val="0"/>
                <w:szCs w:val="21"/>
                <w14:textFill>
                  <w14:solidFill>
                    <w14:schemeClr w14:val="tx1"/>
                  </w14:solidFill>
                </w14:textFill>
              </w:rPr>
            </w:pPr>
            <w:r>
              <w:rPr>
                <w:color w:val="000000" w:themeColor="text1"/>
                <w:kern w:val="0"/>
                <w:sz w:val="20"/>
                <w:szCs w:val="21"/>
                <w14:textFill>
                  <w14:solidFill>
                    <w14:schemeClr w14:val="tx1"/>
                  </w14:solidFill>
                </w14:textFill>
              </w:rPr>
              <w:t>2</w:t>
            </w:r>
          </w:p>
        </w:tc>
        <w:tc>
          <w:tcPr>
            <w:tcW w:w="1766" w:type="dxa"/>
            <w:shd w:val="clear" w:color="auto" w:fill="auto"/>
            <w:noWrap w:val="0"/>
            <w:vAlign w:val="center"/>
          </w:tcPr>
          <w:p w14:paraId="48B05BD2">
            <w:pPr>
              <w:spacing w:line="240" w:lineRule="atLeast"/>
              <w:contextualSpacing/>
              <w:jc w:val="center"/>
              <w:rPr>
                <w:color w:val="000000" w:themeColor="text1"/>
                <w:kern w:val="0"/>
                <w:szCs w:val="21"/>
                <w14:textFill>
                  <w14:solidFill>
                    <w14:schemeClr w14:val="tx1"/>
                  </w14:solidFill>
                </w14:textFill>
              </w:rPr>
            </w:pPr>
          </w:p>
        </w:tc>
        <w:tc>
          <w:tcPr>
            <w:tcW w:w="1150" w:type="dxa"/>
            <w:shd w:val="clear" w:color="auto" w:fill="auto"/>
            <w:noWrap w:val="0"/>
            <w:vAlign w:val="center"/>
          </w:tcPr>
          <w:p w14:paraId="75F20EB9">
            <w:pPr>
              <w:spacing w:line="240" w:lineRule="atLeast"/>
              <w:contextualSpacing/>
              <w:jc w:val="center"/>
              <w:rPr>
                <w:color w:val="000000" w:themeColor="text1"/>
                <w:kern w:val="0"/>
                <w:szCs w:val="21"/>
                <w14:textFill>
                  <w14:solidFill>
                    <w14:schemeClr w14:val="tx1"/>
                  </w14:solidFill>
                </w14:textFill>
              </w:rPr>
            </w:pPr>
          </w:p>
        </w:tc>
      </w:tr>
      <w:tr w14:paraId="2D1E898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666" w:type="dxa"/>
            <w:shd w:val="clear" w:color="auto" w:fill="auto"/>
            <w:noWrap w:val="0"/>
            <w:vAlign w:val="center"/>
          </w:tcPr>
          <w:p w14:paraId="1E7D1594">
            <w:pPr>
              <w:pStyle w:val="87"/>
              <w:numPr>
                <w:ilvl w:val="0"/>
                <w:numId w:val="12"/>
              </w:numPr>
              <w:adjustRightInd w:val="0"/>
              <w:spacing w:line="240" w:lineRule="atLeast"/>
              <w:ind w:firstLineChars="0"/>
              <w:contextualSpacing/>
              <w:jc w:val="center"/>
              <w:textAlignment w:val="baseline"/>
              <w:rPr>
                <w:rFonts w:ascii="Times New Roman" w:hAnsi="Times New Roman"/>
                <w:color w:val="000000" w:themeColor="text1"/>
                <w:kern w:val="0"/>
                <w:szCs w:val="21"/>
                <w14:textFill>
                  <w14:solidFill>
                    <w14:schemeClr w14:val="tx1"/>
                  </w14:solidFill>
                </w14:textFill>
              </w:rPr>
            </w:pPr>
          </w:p>
        </w:tc>
        <w:tc>
          <w:tcPr>
            <w:tcW w:w="1295" w:type="dxa"/>
            <w:shd w:val="clear" w:color="auto" w:fill="auto"/>
            <w:noWrap w:val="0"/>
            <w:vAlign w:val="center"/>
          </w:tcPr>
          <w:p w14:paraId="0D8429D3">
            <w:pPr>
              <w:spacing w:line="240" w:lineRule="atLeast"/>
              <w:contextualSpacing/>
              <w:jc w:val="center"/>
              <w:rPr>
                <w:color w:val="000000" w:themeColor="text1"/>
                <w:kern w:val="0"/>
                <w:szCs w:val="21"/>
                <w14:textFill>
                  <w14:solidFill>
                    <w14:schemeClr w14:val="tx1"/>
                  </w14:solidFill>
                </w14:textFill>
              </w:rPr>
            </w:pPr>
            <w:r>
              <w:rPr>
                <w:rFonts w:hint="eastAsia"/>
                <w:color w:val="000000" w:themeColor="text1"/>
                <w:kern w:val="0"/>
                <w:sz w:val="20"/>
                <w:szCs w:val="21"/>
                <w14:textFill>
                  <w14:solidFill>
                    <w14:schemeClr w14:val="tx1"/>
                  </w14:solidFill>
                </w14:textFill>
              </w:rPr>
              <w:t>树麻雀</w:t>
            </w:r>
          </w:p>
        </w:tc>
        <w:tc>
          <w:tcPr>
            <w:tcW w:w="2512" w:type="dxa"/>
            <w:shd w:val="clear" w:color="auto" w:fill="auto"/>
            <w:noWrap w:val="0"/>
            <w:vAlign w:val="center"/>
          </w:tcPr>
          <w:p w14:paraId="67314DEC">
            <w:pPr>
              <w:spacing w:line="240" w:lineRule="atLeast"/>
              <w:contextualSpacing/>
              <w:jc w:val="center"/>
              <w:rPr>
                <w:i/>
                <w:iCs/>
                <w:color w:val="000000" w:themeColor="text1"/>
                <w:kern w:val="0"/>
                <w:szCs w:val="21"/>
                <w14:textFill>
                  <w14:solidFill>
                    <w14:schemeClr w14:val="tx1"/>
                  </w14:solidFill>
                </w14:textFill>
              </w:rPr>
            </w:pPr>
            <w:r>
              <w:rPr>
                <w:i/>
                <w:iCs/>
                <w:color w:val="000000" w:themeColor="text1"/>
                <w:kern w:val="0"/>
                <w:sz w:val="20"/>
                <w:szCs w:val="21"/>
                <w14:textFill>
                  <w14:solidFill>
                    <w14:schemeClr w14:val="tx1"/>
                  </w14:solidFill>
                </w14:textFill>
              </w:rPr>
              <w:t xml:space="preserve">Passer </w:t>
            </w:r>
            <w:r>
              <w:rPr>
                <w:rFonts w:hint="eastAsia"/>
                <w:i/>
                <w:iCs/>
                <w:color w:val="000000" w:themeColor="text1"/>
                <w:kern w:val="0"/>
                <w:sz w:val="20"/>
                <w:szCs w:val="21"/>
                <w14:textFill>
                  <w14:solidFill>
                    <w14:schemeClr w14:val="tx1"/>
                  </w14:solidFill>
                </w14:textFill>
              </w:rPr>
              <w:t>m.</w:t>
            </w:r>
            <w:r>
              <w:rPr>
                <w:i/>
                <w:iCs/>
                <w:color w:val="000000" w:themeColor="text1"/>
                <w:kern w:val="0"/>
                <w:sz w:val="20"/>
                <w:szCs w:val="21"/>
                <w14:textFill>
                  <w14:solidFill>
                    <w14:schemeClr w14:val="tx1"/>
                  </w14:solidFill>
                </w14:textFill>
              </w:rPr>
              <w:t>montanus</w:t>
            </w:r>
          </w:p>
        </w:tc>
        <w:tc>
          <w:tcPr>
            <w:tcW w:w="1052" w:type="dxa"/>
            <w:shd w:val="clear" w:color="auto" w:fill="auto"/>
            <w:noWrap w:val="0"/>
            <w:vAlign w:val="center"/>
          </w:tcPr>
          <w:p w14:paraId="06820C11">
            <w:pPr>
              <w:spacing w:line="240" w:lineRule="atLeast"/>
              <w:contextualSpacing/>
              <w:jc w:val="center"/>
              <w:rPr>
                <w:color w:val="000000" w:themeColor="text1"/>
                <w:kern w:val="0"/>
                <w:szCs w:val="21"/>
                <w14:textFill>
                  <w14:solidFill>
                    <w14:schemeClr w14:val="tx1"/>
                  </w14:solidFill>
                </w14:textFill>
              </w:rPr>
            </w:pPr>
            <w:r>
              <w:rPr>
                <w:rFonts w:hint="eastAsia"/>
                <w:color w:val="000000" w:themeColor="text1"/>
                <w:kern w:val="0"/>
                <w:sz w:val="20"/>
                <w:szCs w:val="21"/>
                <w14:textFill>
                  <w14:solidFill>
                    <w14:schemeClr w14:val="tx1"/>
                  </w14:solidFill>
                </w14:textFill>
              </w:rPr>
              <w:t>3</w:t>
            </w:r>
          </w:p>
        </w:tc>
        <w:tc>
          <w:tcPr>
            <w:tcW w:w="1766" w:type="dxa"/>
            <w:shd w:val="clear" w:color="auto" w:fill="auto"/>
            <w:noWrap w:val="0"/>
            <w:vAlign w:val="center"/>
          </w:tcPr>
          <w:p w14:paraId="5D969504">
            <w:pPr>
              <w:spacing w:line="240" w:lineRule="atLeast"/>
              <w:contextualSpacing/>
              <w:jc w:val="center"/>
              <w:rPr>
                <w:color w:val="000000" w:themeColor="text1"/>
                <w:kern w:val="0"/>
                <w:szCs w:val="21"/>
                <w14:textFill>
                  <w14:solidFill>
                    <w14:schemeClr w14:val="tx1"/>
                  </w14:solidFill>
                </w14:textFill>
              </w:rPr>
            </w:pPr>
          </w:p>
        </w:tc>
        <w:tc>
          <w:tcPr>
            <w:tcW w:w="1150" w:type="dxa"/>
            <w:shd w:val="clear" w:color="auto" w:fill="auto"/>
            <w:noWrap w:val="0"/>
            <w:vAlign w:val="center"/>
          </w:tcPr>
          <w:p w14:paraId="1A8E9C28">
            <w:pPr>
              <w:spacing w:line="240" w:lineRule="atLeast"/>
              <w:contextualSpacing/>
              <w:jc w:val="center"/>
              <w:rPr>
                <w:color w:val="000000" w:themeColor="text1"/>
                <w:kern w:val="0"/>
                <w:szCs w:val="21"/>
                <w14:textFill>
                  <w14:solidFill>
                    <w14:schemeClr w14:val="tx1"/>
                  </w14:solidFill>
                </w14:textFill>
              </w:rPr>
            </w:pPr>
          </w:p>
        </w:tc>
      </w:tr>
      <w:tr w14:paraId="76C4527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666" w:type="dxa"/>
            <w:shd w:val="clear" w:color="auto" w:fill="auto"/>
            <w:noWrap w:val="0"/>
            <w:vAlign w:val="center"/>
          </w:tcPr>
          <w:p w14:paraId="40B3773F">
            <w:pPr>
              <w:pStyle w:val="87"/>
              <w:numPr>
                <w:ilvl w:val="0"/>
                <w:numId w:val="12"/>
              </w:numPr>
              <w:adjustRightInd w:val="0"/>
              <w:spacing w:line="240" w:lineRule="atLeast"/>
              <w:ind w:firstLineChars="0"/>
              <w:contextualSpacing/>
              <w:jc w:val="center"/>
              <w:textAlignment w:val="baseline"/>
              <w:rPr>
                <w:rFonts w:ascii="Times New Roman" w:hAnsi="Times New Roman"/>
                <w:color w:val="000000" w:themeColor="text1"/>
                <w:kern w:val="0"/>
                <w:szCs w:val="21"/>
                <w14:textFill>
                  <w14:solidFill>
                    <w14:schemeClr w14:val="tx1"/>
                  </w14:solidFill>
                </w14:textFill>
              </w:rPr>
            </w:pPr>
          </w:p>
        </w:tc>
        <w:tc>
          <w:tcPr>
            <w:tcW w:w="1295" w:type="dxa"/>
            <w:shd w:val="clear" w:color="auto" w:fill="auto"/>
            <w:noWrap w:val="0"/>
            <w:vAlign w:val="center"/>
          </w:tcPr>
          <w:p w14:paraId="1C5EEC99">
            <w:pPr>
              <w:spacing w:line="240" w:lineRule="atLeast"/>
              <w:contextualSpacing/>
              <w:jc w:val="center"/>
              <w:rPr>
                <w:color w:val="000000" w:themeColor="text1"/>
                <w:szCs w:val="21"/>
                <w14:textFill>
                  <w14:solidFill>
                    <w14:schemeClr w14:val="tx1"/>
                  </w14:solidFill>
                </w14:textFill>
              </w:rPr>
            </w:pPr>
            <w:r>
              <w:rPr>
                <w:rFonts w:hint="eastAsia"/>
                <w:color w:val="000000" w:themeColor="text1"/>
                <w:kern w:val="0"/>
                <w:sz w:val="20"/>
                <w:szCs w:val="21"/>
                <w14:textFill>
                  <w14:solidFill>
                    <w14:schemeClr w14:val="tx1"/>
                  </w14:solidFill>
                </w14:textFill>
              </w:rPr>
              <w:t>雉鸡</w:t>
            </w:r>
          </w:p>
        </w:tc>
        <w:tc>
          <w:tcPr>
            <w:tcW w:w="2512" w:type="dxa"/>
            <w:shd w:val="clear" w:color="auto" w:fill="auto"/>
            <w:noWrap w:val="0"/>
            <w:vAlign w:val="center"/>
          </w:tcPr>
          <w:p w14:paraId="3F8152BA">
            <w:pPr>
              <w:spacing w:line="240" w:lineRule="atLeast"/>
              <w:contextualSpacing/>
              <w:jc w:val="center"/>
              <w:rPr>
                <w:color w:val="000000" w:themeColor="text1"/>
                <w:szCs w:val="21"/>
                <w14:textFill>
                  <w14:solidFill>
                    <w14:schemeClr w14:val="tx1"/>
                  </w14:solidFill>
                </w14:textFill>
              </w:rPr>
            </w:pPr>
            <w:r>
              <w:rPr>
                <w:bCs/>
                <w:i/>
                <w:iCs/>
                <w:color w:val="000000" w:themeColor="text1"/>
                <w:kern w:val="0"/>
                <w:sz w:val="20"/>
                <w:szCs w:val="21"/>
                <w14:textFill>
                  <w14:solidFill>
                    <w14:schemeClr w14:val="tx1"/>
                  </w14:solidFill>
                </w14:textFill>
              </w:rPr>
              <w:t>Phasianus colchicus</w:t>
            </w:r>
          </w:p>
        </w:tc>
        <w:tc>
          <w:tcPr>
            <w:tcW w:w="1052" w:type="dxa"/>
            <w:shd w:val="clear" w:color="auto" w:fill="auto"/>
            <w:noWrap w:val="0"/>
            <w:vAlign w:val="center"/>
          </w:tcPr>
          <w:p w14:paraId="5FE4AFB8">
            <w:pPr>
              <w:spacing w:line="240" w:lineRule="atLeast"/>
              <w:contextualSpacing/>
              <w:jc w:val="center"/>
              <w:rPr>
                <w:color w:val="000000" w:themeColor="text1"/>
                <w:kern w:val="0"/>
                <w:szCs w:val="21"/>
                <w14:textFill>
                  <w14:solidFill>
                    <w14:schemeClr w14:val="tx1"/>
                  </w14:solidFill>
                </w14:textFill>
              </w:rPr>
            </w:pPr>
            <w:r>
              <w:rPr>
                <w:rFonts w:hint="eastAsia"/>
                <w:color w:val="000000" w:themeColor="text1"/>
                <w:kern w:val="0"/>
                <w:sz w:val="20"/>
                <w:szCs w:val="21"/>
                <w14:textFill>
                  <w14:solidFill>
                    <w14:schemeClr w14:val="tx1"/>
                  </w14:solidFill>
                </w14:textFill>
              </w:rPr>
              <w:t>4</w:t>
            </w:r>
          </w:p>
        </w:tc>
        <w:tc>
          <w:tcPr>
            <w:tcW w:w="1766" w:type="dxa"/>
            <w:shd w:val="clear" w:color="auto" w:fill="auto"/>
            <w:noWrap w:val="0"/>
            <w:vAlign w:val="center"/>
          </w:tcPr>
          <w:p w14:paraId="713543B9">
            <w:pPr>
              <w:spacing w:line="240" w:lineRule="atLeast"/>
              <w:contextualSpacing/>
              <w:jc w:val="center"/>
              <w:rPr>
                <w:color w:val="000000" w:themeColor="text1"/>
                <w:kern w:val="0"/>
                <w:szCs w:val="21"/>
                <w14:textFill>
                  <w14:solidFill>
                    <w14:schemeClr w14:val="tx1"/>
                  </w14:solidFill>
                </w14:textFill>
              </w:rPr>
            </w:pPr>
          </w:p>
        </w:tc>
        <w:tc>
          <w:tcPr>
            <w:tcW w:w="1150" w:type="dxa"/>
            <w:shd w:val="clear" w:color="auto" w:fill="auto"/>
            <w:noWrap w:val="0"/>
            <w:vAlign w:val="center"/>
          </w:tcPr>
          <w:p w14:paraId="17F8984A">
            <w:pPr>
              <w:spacing w:line="240" w:lineRule="atLeast"/>
              <w:contextualSpacing/>
              <w:jc w:val="center"/>
              <w:rPr>
                <w:color w:val="000000" w:themeColor="text1"/>
                <w:kern w:val="0"/>
                <w:szCs w:val="21"/>
                <w14:textFill>
                  <w14:solidFill>
                    <w14:schemeClr w14:val="tx1"/>
                  </w14:solidFill>
                </w14:textFill>
              </w:rPr>
            </w:pPr>
          </w:p>
        </w:tc>
      </w:tr>
      <w:tr w14:paraId="6DB9C07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666" w:type="dxa"/>
            <w:shd w:val="clear" w:color="auto" w:fill="auto"/>
            <w:noWrap w:val="0"/>
            <w:vAlign w:val="center"/>
          </w:tcPr>
          <w:p w14:paraId="71EE6790">
            <w:pPr>
              <w:pStyle w:val="87"/>
              <w:numPr>
                <w:ilvl w:val="0"/>
                <w:numId w:val="12"/>
              </w:numPr>
              <w:adjustRightInd w:val="0"/>
              <w:spacing w:line="240" w:lineRule="atLeast"/>
              <w:ind w:firstLineChars="0"/>
              <w:contextualSpacing/>
              <w:jc w:val="center"/>
              <w:textAlignment w:val="baseline"/>
              <w:rPr>
                <w:rFonts w:ascii="Times New Roman" w:hAnsi="Times New Roman"/>
                <w:color w:val="000000" w:themeColor="text1"/>
                <w:kern w:val="0"/>
                <w:szCs w:val="21"/>
                <w14:textFill>
                  <w14:solidFill>
                    <w14:schemeClr w14:val="tx1"/>
                  </w14:solidFill>
                </w14:textFill>
              </w:rPr>
            </w:pPr>
          </w:p>
        </w:tc>
        <w:tc>
          <w:tcPr>
            <w:tcW w:w="1295" w:type="dxa"/>
            <w:shd w:val="clear" w:color="auto" w:fill="auto"/>
            <w:noWrap w:val="0"/>
            <w:vAlign w:val="center"/>
          </w:tcPr>
          <w:p w14:paraId="55194B5A">
            <w:pPr>
              <w:spacing w:line="240" w:lineRule="atLeast"/>
              <w:contextualSpacing/>
              <w:jc w:val="center"/>
              <w:rPr>
                <w:color w:val="000000" w:themeColor="text1"/>
                <w:szCs w:val="21"/>
                <w14:textFill>
                  <w14:solidFill>
                    <w14:schemeClr w14:val="tx1"/>
                  </w14:solidFill>
                </w14:textFill>
              </w:rPr>
            </w:pPr>
            <w:r>
              <w:rPr>
                <w:rFonts w:hint="eastAsia"/>
                <w:color w:val="000000" w:themeColor="text1"/>
                <w:kern w:val="0"/>
                <w:sz w:val="20"/>
                <w:szCs w:val="21"/>
                <w14:textFill>
                  <w14:solidFill>
                    <w14:schemeClr w14:val="tx1"/>
                  </w14:solidFill>
                </w14:textFill>
              </w:rPr>
              <w:t>灰喜鹊</w:t>
            </w:r>
          </w:p>
        </w:tc>
        <w:tc>
          <w:tcPr>
            <w:tcW w:w="2512" w:type="dxa"/>
            <w:shd w:val="clear" w:color="auto" w:fill="auto"/>
            <w:noWrap w:val="0"/>
            <w:vAlign w:val="center"/>
          </w:tcPr>
          <w:p w14:paraId="75F2F829">
            <w:pPr>
              <w:spacing w:line="240" w:lineRule="atLeast"/>
              <w:contextualSpacing/>
              <w:jc w:val="center"/>
              <w:rPr>
                <w:color w:val="000000" w:themeColor="text1"/>
                <w:szCs w:val="21"/>
                <w14:textFill>
                  <w14:solidFill>
                    <w14:schemeClr w14:val="tx1"/>
                  </w14:solidFill>
                </w14:textFill>
              </w:rPr>
            </w:pPr>
            <w:r>
              <w:rPr>
                <w:bCs/>
                <w:i/>
                <w:iCs/>
                <w:color w:val="000000" w:themeColor="text1"/>
                <w:kern w:val="0"/>
                <w:sz w:val="20"/>
                <w:szCs w:val="21"/>
                <w14:textFill>
                  <w14:solidFill>
                    <w14:schemeClr w14:val="tx1"/>
                  </w14:solidFill>
                </w14:textFill>
              </w:rPr>
              <w:t>Cyanopica cyana swinhoei</w:t>
            </w:r>
          </w:p>
        </w:tc>
        <w:tc>
          <w:tcPr>
            <w:tcW w:w="1052" w:type="dxa"/>
            <w:shd w:val="clear" w:color="auto" w:fill="auto"/>
            <w:noWrap w:val="0"/>
            <w:vAlign w:val="center"/>
          </w:tcPr>
          <w:p w14:paraId="0ABD2C6A">
            <w:pPr>
              <w:spacing w:line="240" w:lineRule="atLeast"/>
              <w:contextualSpacing/>
              <w:jc w:val="center"/>
              <w:rPr>
                <w:color w:val="000000" w:themeColor="text1"/>
                <w:kern w:val="0"/>
                <w:szCs w:val="21"/>
                <w14:textFill>
                  <w14:solidFill>
                    <w14:schemeClr w14:val="tx1"/>
                  </w14:solidFill>
                </w14:textFill>
              </w:rPr>
            </w:pPr>
            <w:r>
              <w:rPr>
                <w:color w:val="000000" w:themeColor="text1"/>
                <w:kern w:val="0"/>
                <w:sz w:val="20"/>
                <w:szCs w:val="21"/>
                <w14:textFill>
                  <w14:solidFill>
                    <w14:schemeClr w14:val="tx1"/>
                  </w14:solidFill>
                </w14:textFill>
              </w:rPr>
              <w:t>2</w:t>
            </w:r>
          </w:p>
        </w:tc>
        <w:tc>
          <w:tcPr>
            <w:tcW w:w="1766" w:type="dxa"/>
            <w:shd w:val="clear" w:color="auto" w:fill="auto"/>
            <w:noWrap w:val="0"/>
            <w:vAlign w:val="center"/>
          </w:tcPr>
          <w:p w14:paraId="5D78028C">
            <w:pPr>
              <w:spacing w:line="240" w:lineRule="atLeast"/>
              <w:contextualSpacing/>
              <w:jc w:val="center"/>
              <w:rPr>
                <w:color w:val="000000" w:themeColor="text1"/>
                <w:kern w:val="0"/>
                <w:szCs w:val="21"/>
                <w14:textFill>
                  <w14:solidFill>
                    <w14:schemeClr w14:val="tx1"/>
                  </w14:solidFill>
                </w14:textFill>
              </w:rPr>
            </w:pPr>
          </w:p>
        </w:tc>
        <w:tc>
          <w:tcPr>
            <w:tcW w:w="1150" w:type="dxa"/>
            <w:shd w:val="clear" w:color="auto" w:fill="auto"/>
            <w:noWrap w:val="0"/>
            <w:vAlign w:val="center"/>
          </w:tcPr>
          <w:p w14:paraId="320CC78F">
            <w:pPr>
              <w:spacing w:line="240" w:lineRule="atLeast"/>
              <w:contextualSpacing/>
              <w:jc w:val="center"/>
              <w:rPr>
                <w:color w:val="000000" w:themeColor="text1"/>
                <w:kern w:val="0"/>
                <w:szCs w:val="21"/>
                <w14:textFill>
                  <w14:solidFill>
                    <w14:schemeClr w14:val="tx1"/>
                  </w14:solidFill>
                </w14:textFill>
              </w:rPr>
            </w:pPr>
          </w:p>
        </w:tc>
      </w:tr>
      <w:tr w14:paraId="253684D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666" w:type="dxa"/>
            <w:shd w:val="clear" w:color="auto" w:fill="auto"/>
            <w:noWrap w:val="0"/>
            <w:vAlign w:val="center"/>
          </w:tcPr>
          <w:p w14:paraId="68EE8986">
            <w:pPr>
              <w:pStyle w:val="87"/>
              <w:numPr>
                <w:ilvl w:val="0"/>
                <w:numId w:val="12"/>
              </w:numPr>
              <w:adjustRightInd w:val="0"/>
              <w:spacing w:line="240" w:lineRule="atLeast"/>
              <w:ind w:firstLineChars="0"/>
              <w:contextualSpacing/>
              <w:jc w:val="center"/>
              <w:textAlignment w:val="baseline"/>
              <w:rPr>
                <w:rFonts w:ascii="Times New Roman" w:hAnsi="Times New Roman"/>
                <w:color w:val="000000" w:themeColor="text1"/>
                <w:kern w:val="0"/>
                <w:szCs w:val="21"/>
                <w14:textFill>
                  <w14:solidFill>
                    <w14:schemeClr w14:val="tx1"/>
                  </w14:solidFill>
                </w14:textFill>
              </w:rPr>
            </w:pPr>
          </w:p>
        </w:tc>
        <w:tc>
          <w:tcPr>
            <w:tcW w:w="1295" w:type="dxa"/>
            <w:shd w:val="clear" w:color="auto" w:fill="auto"/>
            <w:noWrap w:val="0"/>
            <w:vAlign w:val="center"/>
          </w:tcPr>
          <w:p w14:paraId="6A387F2E">
            <w:pPr>
              <w:spacing w:line="240" w:lineRule="atLeast"/>
              <w:contextualSpacing/>
              <w:jc w:val="center"/>
              <w:rPr>
                <w:color w:val="000000" w:themeColor="text1"/>
                <w:szCs w:val="21"/>
                <w14:textFill>
                  <w14:solidFill>
                    <w14:schemeClr w14:val="tx1"/>
                  </w14:solidFill>
                </w14:textFill>
              </w:rPr>
            </w:pPr>
            <w:r>
              <w:rPr>
                <w:rFonts w:hint="eastAsia"/>
                <w:color w:val="000000" w:themeColor="text1"/>
                <w:kern w:val="0"/>
                <w:sz w:val="20"/>
                <w:szCs w:val="21"/>
                <w14:textFill>
                  <w14:solidFill>
                    <w14:schemeClr w14:val="tx1"/>
                  </w14:solidFill>
                </w14:textFill>
              </w:rPr>
              <w:t>大嘴乌鸦</w:t>
            </w:r>
          </w:p>
        </w:tc>
        <w:tc>
          <w:tcPr>
            <w:tcW w:w="2512" w:type="dxa"/>
            <w:shd w:val="clear" w:color="auto" w:fill="auto"/>
            <w:noWrap w:val="0"/>
            <w:vAlign w:val="center"/>
          </w:tcPr>
          <w:p w14:paraId="41686FB6">
            <w:pPr>
              <w:spacing w:line="240" w:lineRule="atLeast"/>
              <w:contextualSpacing/>
              <w:jc w:val="center"/>
              <w:rPr>
                <w:color w:val="000000" w:themeColor="text1"/>
                <w:szCs w:val="21"/>
                <w14:textFill>
                  <w14:solidFill>
                    <w14:schemeClr w14:val="tx1"/>
                  </w14:solidFill>
                </w14:textFill>
              </w:rPr>
            </w:pPr>
            <w:r>
              <w:rPr>
                <w:i/>
                <w:iCs/>
                <w:color w:val="000000" w:themeColor="text1"/>
                <w:kern w:val="0"/>
                <w:sz w:val="20"/>
                <w:szCs w:val="21"/>
                <w14:textFill>
                  <w14:solidFill>
                    <w14:schemeClr w14:val="tx1"/>
                  </w14:solidFill>
                </w14:textFill>
              </w:rPr>
              <w:t>Corvus</w:t>
            </w:r>
            <w:r>
              <w:rPr>
                <w:rFonts w:hint="eastAsia"/>
                <w:i/>
                <w:iCs/>
                <w:color w:val="000000" w:themeColor="text1"/>
                <w:kern w:val="0"/>
                <w:sz w:val="20"/>
                <w:szCs w:val="21"/>
                <w14:textFill>
                  <w14:solidFill>
                    <w14:schemeClr w14:val="tx1"/>
                  </w14:solidFill>
                </w14:textFill>
              </w:rPr>
              <w:t xml:space="preserve"> </w:t>
            </w:r>
            <w:r>
              <w:rPr>
                <w:i/>
                <w:iCs/>
                <w:color w:val="000000" w:themeColor="text1"/>
                <w:kern w:val="0"/>
                <w:sz w:val="20"/>
                <w:szCs w:val="21"/>
                <w14:textFill>
                  <w14:solidFill>
                    <w14:schemeClr w14:val="tx1"/>
                  </w14:solidFill>
                </w14:textFill>
              </w:rPr>
              <w:t>macrohynchus</w:t>
            </w:r>
          </w:p>
        </w:tc>
        <w:tc>
          <w:tcPr>
            <w:tcW w:w="1052" w:type="dxa"/>
            <w:shd w:val="clear" w:color="auto" w:fill="auto"/>
            <w:noWrap w:val="0"/>
            <w:vAlign w:val="center"/>
          </w:tcPr>
          <w:p w14:paraId="7426E13D">
            <w:pPr>
              <w:spacing w:line="240" w:lineRule="atLeast"/>
              <w:contextualSpacing/>
              <w:jc w:val="center"/>
              <w:rPr>
                <w:rFonts w:hint="eastAsia" w:eastAsia="宋体"/>
                <w:color w:val="000000" w:themeColor="text1"/>
                <w:kern w:val="0"/>
                <w:szCs w:val="21"/>
                <w:lang w:eastAsia="zh-CN"/>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1</w:t>
            </w:r>
          </w:p>
        </w:tc>
        <w:tc>
          <w:tcPr>
            <w:tcW w:w="1766" w:type="dxa"/>
            <w:shd w:val="clear" w:color="auto" w:fill="auto"/>
            <w:noWrap w:val="0"/>
            <w:vAlign w:val="center"/>
          </w:tcPr>
          <w:p w14:paraId="7D6361D4">
            <w:pPr>
              <w:spacing w:line="240" w:lineRule="atLeast"/>
              <w:contextualSpacing/>
              <w:jc w:val="center"/>
              <w:rPr>
                <w:color w:val="000000" w:themeColor="text1"/>
                <w:kern w:val="0"/>
                <w:szCs w:val="21"/>
                <w14:textFill>
                  <w14:solidFill>
                    <w14:schemeClr w14:val="tx1"/>
                  </w14:solidFill>
                </w14:textFill>
              </w:rPr>
            </w:pPr>
          </w:p>
        </w:tc>
        <w:tc>
          <w:tcPr>
            <w:tcW w:w="1150" w:type="dxa"/>
            <w:shd w:val="clear" w:color="auto" w:fill="auto"/>
            <w:noWrap w:val="0"/>
            <w:vAlign w:val="center"/>
          </w:tcPr>
          <w:p w14:paraId="00EB06CD">
            <w:pPr>
              <w:spacing w:line="240" w:lineRule="atLeast"/>
              <w:contextualSpacing/>
              <w:jc w:val="center"/>
              <w:rPr>
                <w:color w:val="000000" w:themeColor="text1"/>
                <w:kern w:val="0"/>
                <w:szCs w:val="21"/>
                <w14:textFill>
                  <w14:solidFill>
                    <w14:schemeClr w14:val="tx1"/>
                  </w14:solidFill>
                </w14:textFill>
              </w:rPr>
            </w:pPr>
          </w:p>
        </w:tc>
      </w:tr>
      <w:tr w14:paraId="1DE61B5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666" w:type="dxa"/>
            <w:shd w:val="clear" w:color="auto" w:fill="auto"/>
            <w:noWrap w:val="0"/>
            <w:vAlign w:val="center"/>
          </w:tcPr>
          <w:p w14:paraId="27B46129">
            <w:pPr>
              <w:pStyle w:val="87"/>
              <w:numPr>
                <w:ilvl w:val="0"/>
                <w:numId w:val="12"/>
              </w:numPr>
              <w:adjustRightInd w:val="0"/>
              <w:spacing w:line="240" w:lineRule="atLeast"/>
              <w:ind w:firstLineChars="0"/>
              <w:contextualSpacing/>
              <w:jc w:val="center"/>
              <w:textAlignment w:val="baseline"/>
              <w:rPr>
                <w:rFonts w:ascii="Times New Roman" w:hAnsi="Times New Roman"/>
                <w:color w:val="000000" w:themeColor="text1"/>
                <w:kern w:val="0"/>
                <w:szCs w:val="21"/>
                <w14:textFill>
                  <w14:solidFill>
                    <w14:schemeClr w14:val="tx1"/>
                  </w14:solidFill>
                </w14:textFill>
              </w:rPr>
            </w:pPr>
          </w:p>
        </w:tc>
        <w:tc>
          <w:tcPr>
            <w:tcW w:w="1295" w:type="dxa"/>
            <w:shd w:val="clear" w:color="auto" w:fill="auto"/>
            <w:noWrap w:val="0"/>
            <w:vAlign w:val="center"/>
          </w:tcPr>
          <w:p w14:paraId="3CD045C9">
            <w:pPr>
              <w:spacing w:line="240" w:lineRule="atLeast"/>
              <w:contextualSpacing/>
              <w:jc w:val="center"/>
              <w:rPr>
                <w:color w:val="000000" w:themeColor="text1"/>
                <w:szCs w:val="21"/>
                <w14:textFill>
                  <w14:solidFill>
                    <w14:schemeClr w14:val="tx1"/>
                  </w14:solidFill>
                </w14:textFill>
              </w:rPr>
            </w:pPr>
            <w:r>
              <w:rPr>
                <w:rFonts w:hint="eastAsia"/>
                <w:color w:val="000000" w:themeColor="text1"/>
                <w:kern w:val="0"/>
                <w:sz w:val="20"/>
                <w:szCs w:val="21"/>
                <w14:textFill>
                  <w14:solidFill>
                    <w14:schemeClr w14:val="tx1"/>
                  </w14:solidFill>
                </w14:textFill>
              </w:rPr>
              <w:t>山麻雀</w:t>
            </w:r>
          </w:p>
        </w:tc>
        <w:tc>
          <w:tcPr>
            <w:tcW w:w="2512" w:type="dxa"/>
            <w:shd w:val="clear" w:color="auto" w:fill="auto"/>
            <w:noWrap w:val="0"/>
            <w:vAlign w:val="center"/>
          </w:tcPr>
          <w:p w14:paraId="135E37DB">
            <w:pPr>
              <w:spacing w:line="240" w:lineRule="atLeast"/>
              <w:contextualSpacing/>
              <w:jc w:val="center"/>
              <w:rPr>
                <w:color w:val="000000" w:themeColor="text1"/>
                <w:szCs w:val="21"/>
                <w14:textFill>
                  <w14:solidFill>
                    <w14:schemeClr w14:val="tx1"/>
                  </w14:solidFill>
                </w14:textFill>
              </w:rPr>
            </w:pPr>
            <w:r>
              <w:rPr>
                <w:i/>
                <w:iCs/>
                <w:color w:val="000000" w:themeColor="text1"/>
                <w:kern w:val="0"/>
                <w:sz w:val="20"/>
                <w:szCs w:val="21"/>
                <w14:textFill>
                  <w14:solidFill>
                    <w14:schemeClr w14:val="tx1"/>
                  </w14:solidFill>
                </w14:textFill>
              </w:rPr>
              <w:t>Passer rutilans</w:t>
            </w:r>
          </w:p>
        </w:tc>
        <w:tc>
          <w:tcPr>
            <w:tcW w:w="1052" w:type="dxa"/>
            <w:shd w:val="clear" w:color="auto" w:fill="auto"/>
            <w:noWrap w:val="0"/>
            <w:vAlign w:val="center"/>
          </w:tcPr>
          <w:p w14:paraId="5AE63422">
            <w:pPr>
              <w:spacing w:line="240" w:lineRule="atLeast"/>
              <w:contextualSpacing/>
              <w:jc w:val="center"/>
              <w:rPr>
                <w:rFonts w:hint="eastAsia" w:eastAsia="宋体"/>
                <w:color w:val="000000" w:themeColor="text1"/>
                <w:kern w:val="0"/>
                <w:szCs w:val="21"/>
                <w:lang w:eastAsia="zh-CN"/>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5</w:t>
            </w:r>
          </w:p>
        </w:tc>
        <w:tc>
          <w:tcPr>
            <w:tcW w:w="1766" w:type="dxa"/>
            <w:shd w:val="clear" w:color="auto" w:fill="auto"/>
            <w:noWrap w:val="0"/>
            <w:vAlign w:val="center"/>
          </w:tcPr>
          <w:p w14:paraId="1BA56D3A">
            <w:pPr>
              <w:spacing w:line="240" w:lineRule="atLeast"/>
              <w:contextualSpacing/>
              <w:jc w:val="center"/>
              <w:rPr>
                <w:color w:val="000000" w:themeColor="text1"/>
                <w:kern w:val="0"/>
                <w:szCs w:val="21"/>
                <w14:textFill>
                  <w14:solidFill>
                    <w14:schemeClr w14:val="tx1"/>
                  </w14:solidFill>
                </w14:textFill>
              </w:rPr>
            </w:pPr>
          </w:p>
        </w:tc>
        <w:tc>
          <w:tcPr>
            <w:tcW w:w="1150" w:type="dxa"/>
            <w:shd w:val="clear" w:color="auto" w:fill="auto"/>
            <w:noWrap w:val="0"/>
            <w:vAlign w:val="center"/>
          </w:tcPr>
          <w:p w14:paraId="29975B6B">
            <w:pPr>
              <w:spacing w:line="240" w:lineRule="atLeast"/>
              <w:contextualSpacing/>
              <w:jc w:val="center"/>
              <w:rPr>
                <w:color w:val="000000" w:themeColor="text1"/>
                <w:kern w:val="0"/>
                <w:szCs w:val="21"/>
                <w14:textFill>
                  <w14:solidFill>
                    <w14:schemeClr w14:val="tx1"/>
                  </w14:solidFill>
                </w14:textFill>
              </w:rPr>
            </w:pPr>
          </w:p>
        </w:tc>
      </w:tr>
      <w:tr w14:paraId="377B71E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666" w:type="dxa"/>
            <w:shd w:val="clear" w:color="auto" w:fill="auto"/>
            <w:noWrap w:val="0"/>
            <w:vAlign w:val="center"/>
          </w:tcPr>
          <w:p w14:paraId="4B8244EA">
            <w:pPr>
              <w:pStyle w:val="87"/>
              <w:numPr>
                <w:ilvl w:val="0"/>
                <w:numId w:val="12"/>
              </w:numPr>
              <w:adjustRightInd w:val="0"/>
              <w:spacing w:line="240" w:lineRule="atLeast"/>
              <w:ind w:firstLineChars="0"/>
              <w:contextualSpacing/>
              <w:jc w:val="center"/>
              <w:textAlignment w:val="baseline"/>
              <w:rPr>
                <w:rFonts w:ascii="Times New Roman" w:hAnsi="Times New Roman"/>
                <w:color w:val="000000" w:themeColor="text1"/>
                <w:kern w:val="0"/>
                <w:szCs w:val="21"/>
                <w14:textFill>
                  <w14:solidFill>
                    <w14:schemeClr w14:val="tx1"/>
                  </w14:solidFill>
                </w14:textFill>
              </w:rPr>
            </w:pPr>
          </w:p>
        </w:tc>
        <w:tc>
          <w:tcPr>
            <w:tcW w:w="1295" w:type="dxa"/>
            <w:shd w:val="clear" w:color="auto" w:fill="auto"/>
            <w:noWrap w:val="0"/>
            <w:vAlign w:val="center"/>
          </w:tcPr>
          <w:p w14:paraId="781B13F0">
            <w:pPr>
              <w:spacing w:line="240" w:lineRule="atLeast"/>
              <w:contextualSpacing/>
              <w:jc w:val="center"/>
              <w:rPr>
                <w:color w:val="000000" w:themeColor="text1"/>
                <w:kern w:val="0"/>
                <w:szCs w:val="21"/>
                <w14:textFill>
                  <w14:solidFill>
                    <w14:schemeClr w14:val="tx1"/>
                  </w14:solidFill>
                </w14:textFill>
              </w:rPr>
            </w:pPr>
            <w:r>
              <w:rPr>
                <w:rFonts w:hint="eastAsia"/>
                <w:bCs/>
                <w:color w:val="000000" w:themeColor="text1"/>
                <w:kern w:val="0"/>
                <w:sz w:val="20"/>
                <w:szCs w:val="21"/>
                <w14:textFill>
                  <w14:solidFill>
                    <w14:schemeClr w14:val="tx1"/>
                  </w14:solidFill>
                </w14:textFill>
              </w:rPr>
              <w:t>八哥</w:t>
            </w:r>
          </w:p>
        </w:tc>
        <w:tc>
          <w:tcPr>
            <w:tcW w:w="2512" w:type="dxa"/>
            <w:shd w:val="clear" w:color="auto" w:fill="auto"/>
            <w:noWrap w:val="0"/>
            <w:vAlign w:val="center"/>
          </w:tcPr>
          <w:p w14:paraId="546DA2F1">
            <w:pPr>
              <w:spacing w:line="240" w:lineRule="atLeast"/>
              <w:contextualSpacing/>
              <w:jc w:val="center"/>
              <w:rPr>
                <w:color w:val="000000" w:themeColor="text1"/>
                <w:kern w:val="0"/>
                <w:szCs w:val="21"/>
                <w14:textFill>
                  <w14:solidFill>
                    <w14:schemeClr w14:val="tx1"/>
                  </w14:solidFill>
                </w14:textFill>
              </w:rPr>
            </w:pPr>
            <w:r>
              <w:rPr>
                <w:i/>
                <w:iCs/>
                <w:color w:val="000000" w:themeColor="text1"/>
                <w:kern w:val="0"/>
                <w:sz w:val="20"/>
                <w:szCs w:val="21"/>
                <w14:textFill>
                  <w14:solidFill>
                    <w14:schemeClr w14:val="tx1"/>
                  </w14:solidFill>
                </w14:textFill>
              </w:rPr>
              <w:t>Acridotheres cristatellus</w:t>
            </w:r>
          </w:p>
        </w:tc>
        <w:tc>
          <w:tcPr>
            <w:tcW w:w="1052" w:type="dxa"/>
            <w:shd w:val="clear" w:color="auto" w:fill="auto"/>
            <w:noWrap w:val="0"/>
            <w:vAlign w:val="center"/>
          </w:tcPr>
          <w:p w14:paraId="29D26CEB">
            <w:pPr>
              <w:spacing w:line="240" w:lineRule="atLeast"/>
              <w:contextualSpacing/>
              <w:jc w:val="center"/>
              <w:rPr>
                <w:color w:val="000000" w:themeColor="text1"/>
                <w:kern w:val="0"/>
                <w:szCs w:val="21"/>
                <w14:textFill>
                  <w14:solidFill>
                    <w14:schemeClr w14:val="tx1"/>
                  </w14:solidFill>
                </w14:textFill>
              </w:rPr>
            </w:pPr>
            <w:r>
              <w:rPr>
                <w:rFonts w:hint="eastAsia"/>
                <w:color w:val="000000" w:themeColor="text1"/>
                <w:kern w:val="0"/>
                <w:sz w:val="20"/>
                <w:szCs w:val="21"/>
                <w14:textFill>
                  <w14:solidFill>
                    <w14:schemeClr w14:val="tx1"/>
                  </w14:solidFill>
                </w14:textFill>
              </w:rPr>
              <w:t>1</w:t>
            </w:r>
          </w:p>
        </w:tc>
        <w:tc>
          <w:tcPr>
            <w:tcW w:w="1766" w:type="dxa"/>
            <w:shd w:val="clear" w:color="auto" w:fill="auto"/>
            <w:noWrap w:val="0"/>
            <w:vAlign w:val="center"/>
          </w:tcPr>
          <w:p w14:paraId="2C2406E8">
            <w:pPr>
              <w:spacing w:line="240" w:lineRule="atLeast"/>
              <w:contextualSpacing/>
              <w:jc w:val="center"/>
              <w:rPr>
                <w:color w:val="000000" w:themeColor="text1"/>
                <w:kern w:val="0"/>
                <w:szCs w:val="21"/>
                <w14:textFill>
                  <w14:solidFill>
                    <w14:schemeClr w14:val="tx1"/>
                  </w14:solidFill>
                </w14:textFill>
              </w:rPr>
            </w:pPr>
          </w:p>
        </w:tc>
        <w:tc>
          <w:tcPr>
            <w:tcW w:w="1150" w:type="dxa"/>
            <w:shd w:val="clear" w:color="auto" w:fill="auto"/>
            <w:noWrap w:val="0"/>
            <w:vAlign w:val="center"/>
          </w:tcPr>
          <w:p w14:paraId="73BE5B7D">
            <w:pPr>
              <w:spacing w:line="240" w:lineRule="atLeast"/>
              <w:contextualSpacing/>
              <w:jc w:val="center"/>
              <w:rPr>
                <w:color w:val="000000" w:themeColor="text1"/>
                <w:kern w:val="0"/>
                <w:szCs w:val="21"/>
                <w14:textFill>
                  <w14:solidFill>
                    <w14:schemeClr w14:val="tx1"/>
                  </w14:solidFill>
                </w14:textFill>
              </w:rPr>
            </w:pPr>
          </w:p>
        </w:tc>
      </w:tr>
      <w:bookmarkEnd w:id="285"/>
      <w:bookmarkEnd w:id="286"/>
      <w:bookmarkEnd w:id="287"/>
      <w:bookmarkEnd w:id="288"/>
      <w:bookmarkEnd w:id="289"/>
      <w:bookmarkEnd w:id="290"/>
      <w:bookmarkEnd w:id="292"/>
      <w:bookmarkEnd w:id="293"/>
    </w:tbl>
    <w:p w14:paraId="663130C2">
      <w:pPr>
        <w:widowControl/>
        <w:ind w:firstLine="480" w:firstLineChars="200"/>
        <w:contextualSpacing/>
        <w:jc w:val="both"/>
        <w:rPr>
          <w:color w:val="000000" w:themeColor="text1"/>
          <w:sz w:val="24"/>
          <w14:textFill>
            <w14:solidFill>
              <w14:schemeClr w14:val="tx1"/>
            </w14:solidFill>
          </w14:textFill>
        </w:rPr>
      </w:pPr>
    </w:p>
    <w:sectPr>
      <w:headerReference r:id="rId13" w:type="default"/>
      <w:footerReference r:id="rId15" w:type="default"/>
      <w:headerReference r:id="rId14" w:type="even"/>
      <w:footerReference r:id="rId16" w:type="even"/>
      <w:pgSz w:w="11906" w:h="16838"/>
      <w:pgMar w:top="1440" w:right="1803" w:bottom="1440" w:left="1803" w:header="851" w:footer="1077" w:gutter="0"/>
      <w:pgBorders>
        <w:top w:val="none" w:sz="0" w:space="0"/>
        <w:left w:val="none" w:sz="0" w:space="0"/>
        <w:bottom w:val="none" w:sz="0" w:space="0"/>
        <w:right w:val="none" w:sz="0" w:space="0"/>
      </w:pgBorders>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Plotter">
    <w:altName w:val="Segoe Print"/>
    <w:panose1 w:val="00000000000000000000"/>
    <w:charset w:val="00"/>
    <w:family w:val="moder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仿宋_GB2312">
    <w:altName w:val="仿宋"/>
    <w:panose1 w:val="02010609030101010101"/>
    <w:charset w:val="86"/>
    <w:family w:val="modern"/>
    <w:pitch w:val="default"/>
    <w:sig w:usb0="00000000" w:usb1="00000000" w:usb2="00000000" w:usb3="00000000" w:csb0="00040000" w:csb1="00000000"/>
  </w:font>
  <w:font w:name="新宋体-18030">
    <w:altName w:val="黑体"/>
    <w:panose1 w:val="00000000000000000000"/>
    <w:charset w:val="86"/>
    <w:family w:val="modern"/>
    <w:pitch w:val="default"/>
    <w:sig w:usb0="00000000" w:usb1="00000000" w:usb2="000A005E" w:usb3="00000000" w:csb0="00040001" w:csb1="00000000"/>
  </w:font>
  <w:font w:name="Microsoft Uighur">
    <w:altName w:val="Trebuchet MS"/>
    <w:panose1 w:val="02000000000000000000"/>
    <w:charset w:val="00"/>
    <w:family w:val="auto"/>
    <w:pitch w:val="default"/>
    <w:sig w:usb0="00000000" w:usb1="00000000" w:usb2="00000008" w:usb3="00000000" w:csb0="00000041" w:csb1="00000000"/>
  </w:font>
  <w:font w:name="浠垮畫_GB2312">
    <w:altName w:val="Segoe Print"/>
    <w:panose1 w:val="00000000000000000000"/>
    <w:charset w:val="00"/>
    <w:family w:val="auto"/>
    <w:pitch w:val="default"/>
    <w:sig w:usb0="00000000" w:usb1="00000000" w:usb2="00000000" w:usb3="00000000" w:csb0="00000000" w:csb1="00000000"/>
  </w:font>
  <w:font w:name="华文楷体">
    <w:altName w:val="宋体"/>
    <w:panose1 w:val="02010600040101010101"/>
    <w:charset w:val="86"/>
    <w:family w:val="auto"/>
    <w:pitch w:val="default"/>
    <w:sig w:usb0="00000000" w:usb1="00000000" w:usb2="00000000" w:usb3="00000000" w:csb0="0004009F" w:csb1="DFD70000"/>
  </w:font>
  <w:font w:name="等线">
    <w:panose1 w:val="02010600030101010101"/>
    <w:charset w:val="86"/>
    <w:family w:val="auto"/>
    <w:pitch w:val="default"/>
    <w:sig w:usb0="A00002BF" w:usb1="38CF7CFA" w:usb2="00000016" w:usb3="00000000" w:csb0="0004000F" w:csb1="00000000"/>
  </w:font>
  <w:font w:name="Trebuchet MS">
    <w:panose1 w:val="020B0603020202020204"/>
    <w:charset w:val="00"/>
    <w:family w:val="auto"/>
    <w:pitch w:val="default"/>
    <w:sig w:usb0="00000687" w:usb1="00000000" w:usb2="00000000" w:usb3="00000000" w:csb0="2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368276">
    <w:pPr>
      <w:pStyle w:val="19"/>
      <w:ind w:right="360" w:firstLine="360"/>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57785" cy="196850"/>
              <wp:effectExtent l="0" t="0" r="0" b="0"/>
              <wp:wrapNone/>
              <wp:docPr id="19" name="文本框 2052"/>
              <wp:cNvGraphicFramePr/>
              <a:graphic xmlns:a="http://schemas.openxmlformats.org/drawingml/2006/main">
                <a:graphicData uri="http://schemas.microsoft.com/office/word/2010/wordprocessingShape">
                  <wps:wsp>
                    <wps:cNvSpPr txBox="1"/>
                    <wps:spPr>
                      <a:xfrm>
                        <a:off x="0" y="0"/>
                        <a:ext cx="57785" cy="196850"/>
                      </a:xfrm>
                      <a:prstGeom prst="rect">
                        <a:avLst/>
                      </a:prstGeom>
                      <a:noFill/>
                      <a:ln>
                        <a:noFill/>
                      </a:ln>
                    </wps:spPr>
                    <wps:txbx>
                      <w:txbxContent>
                        <w:p w14:paraId="71901031">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nchorCtr="0">
                      <a:spAutoFit/>
                    </wps:bodyPr>
                  </wps:wsp>
                </a:graphicData>
              </a:graphic>
            </wp:anchor>
          </w:drawing>
        </mc:Choice>
        <mc:Fallback>
          <w:pict>
            <v:shape id="文本框 2052" o:spid="_x0000_s1026" o:spt="202" type="#_x0000_t202" style="position:absolute;left:0pt;margin-top:0pt;height:15.5pt;width:4.55pt;mso-position-horizontal:center;mso-position-horizontal-relative:margin;mso-wrap-style:none;z-index:251662336;mso-width-relative:page;mso-height-relative:page;" filled="f" stroked="f" coordsize="21600,21600" o:gfxdata="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XLhe9NAAAAACAQAADwAAAAAAAAAB&#10;ACAAAAAiAAAAZHJzL2Rvd25yZXYueG1sUEsBAhQAFAAAAAgAh07iQDhAboTfAQAAswMAAA4AAAAA&#10;AAAAAQAgAAAAHwEAAGRycy9lMm9Eb2MueG1sUEsFBgAAAAAGAAYAWQEAAHAFAAAAAA==&#10;">
              <v:fill on="f" focussize="0,0"/>
              <v:stroke on="f"/>
              <v:imagedata o:title=""/>
              <o:lock v:ext="edit" aspectratio="f"/>
              <v:textbox inset="0mm,0mm,0mm,0mm" style="mso-fit-shape-to-text:t;">
                <w:txbxContent>
                  <w:p w14:paraId="71901031">
                    <w:pPr>
                      <w:pStyle w:val="1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E1DE76">
    <w:pPr>
      <w:pStyle w:val="19"/>
      <w:ind w:right="360" w:firstLine="36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F8069AA">
                          <w:pPr>
                            <w:pStyle w:val="19"/>
                          </w:pPr>
                          <w:r>
                            <w:fldChar w:fldCharType="begin"/>
                          </w:r>
                          <w:r>
                            <w:instrText xml:space="preserve"> PAGE  \* MERGEFORMAT </w:instrText>
                          </w:r>
                          <w:r>
                            <w:fldChar w:fldCharType="separate"/>
                          </w:r>
                          <w:r>
                            <w:t>2</w:t>
                          </w:r>
                          <w:r>
                            <w:fldChar w:fldCharType="end"/>
                          </w:r>
                        </w:p>
                      </w:txbxContent>
                    </wps:txbx>
                    <wps:bodyPr vert="horz" wrap="none" lIns="0" tIns="0" rIns="0" bIns="0" anchor="t" anchorCtr="0">
                      <a:spAutoFit/>
                    </wps:bodyPr>
                  </wps:wsp>
                </a:graphicData>
              </a:graphic>
            </wp:anchor>
          </w:drawing>
        </mc:Choice>
        <mc:Fallback>
          <w:pict>
            <v:shape id="文本框 2053"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zql5uc8AAAAFAQAADwAAAAAAAAABACAAAAAi&#10;AAAAZHJzL2Rvd25yZXYueG1sUEsBAhQAFAAAAAgAh07iQBePUmfaAQAAtgMAAA4AAAAAAAAAAQAg&#10;AAAAHgEAAGRycy9lMm9Eb2MueG1sUEsFBgAAAAAGAAYAWQEAAGoFAAAAAA==&#10;">
              <v:fill on="f" focussize="0,0"/>
              <v:stroke on="f"/>
              <v:imagedata o:title=""/>
              <o:lock v:ext="edit" aspectratio="f"/>
              <v:textbox inset="0mm,0mm,0mm,0mm" style="mso-fit-shape-to-text:t;">
                <w:txbxContent>
                  <w:p w14:paraId="4F8069AA">
                    <w:pPr>
                      <w:pStyle w:val="1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542DD0">
    <w:pPr>
      <w:spacing w:line="118" w:lineRule="exact"/>
      <w:ind w:firstLine="360"/>
      <w:rPr>
        <w:rFonts w:ascii="Calibri" w:hAnsi="Calibri" w:eastAsia="Calibri" w:cs="Calibri"/>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0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3B8E535">
                          <w:pPr>
                            <w:pStyle w:val="19"/>
                            <w:ind w:firstLine="360"/>
                          </w:pPr>
                          <w:r>
                            <w:fldChar w:fldCharType="begin"/>
                          </w:r>
                          <w:r>
                            <w:instrText xml:space="preserve"> PAGE  \* MERGEFORMAT </w:instrText>
                          </w:r>
                          <w:r>
                            <w:fldChar w:fldCharType="separate"/>
                          </w:r>
                          <w:r>
                            <w:t>84</w:t>
                          </w:r>
                          <w:r>
                            <w:fldChar w:fldCharType="end"/>
                          </w:r>
                        </w:p>
                      </w:txbxContent>
                    </wps:txbx>
                    <wps:bodyPr wrap="none" lIns="0" tIns="0" rIns="0" bIns="0">
                      <a:spAutoFit/>
                    </wps:bodyPr>
                  </wps:wsp>
                </a:graphicData>
              </a:graphic>
            </wp:anchor>
          </w:drawing>
        </mc:Choice>
        <mc:Fallback>
          <w:pict>
            <v:shape id="文本框 1029"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qXm5zwAAAAUBAAAPAAAAAAAAAAEAIAAAACIAAABkcnMvZG93bnJldi54bWxQSwEC&#10;FAAUAAAACACHTuJAs2zJosQBAACQAwAADgAAAAAAAAABACAAAAAeAQAAZHJzL2Uyb0RvYy54bWxQ&#10;SwUGAAAAAAYABgBZAQAAVAUAAAAA&#10;">
              <v:fill on="f" focussize="0,0"/>
              <v:stroke on="f"/>
              <v:imagedata o:title=""/>
              <o:lock v:ext="edit" aspectratio="f"/>
              <v:textbox inset="0mm,0mm,0mm,0mm" style="mso-fit-shape-to-text:t;">
                <w:txbxContent>
                  <w:p w14:paraId="23B8E535">
                    <w:pPr>
                      <w:pStyle w:val="19"/>
                      <w:ind w:firstLine="360"/>
                    </w:pPr>
                    <w:r>
                      <w:fldChar w:fldCharType="begin"/>
                    </w:r>
                    <w:r>
                      <w:instrText xml:space="preserve"> PAGE  \* MERGEFORMAT </w:instrText>
                    </w:r>
                    <w:r>
                      <w:fldChar w:fldCharType="separate"/>
                    </w:r>
                    <w:r>
                      <w:t>84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D99055">
    <w:pPr>
      <w:spacing w:line="118" w:lineRule="exact"/>
      <w:ind w:firstLine="360"/>
      <w:rPr>
        <w:rFonts w:ascii="Calibri" w:hAnsi="Calibri" w:eastAsia="Calibri" w:cs="Calibri"/>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10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85AD3E1">
                          <w:pPr>
                            <w:pStyle w:val="19"/>
                            <w:ind w:firstLine="360"/>
                          </w:pPr>
                          <w:r>
                            <w:fldChar w:fldCharType="begin"/>
                          </w:r>
                          <w:r>
                            <w:instrText xml:space="preserve"> PAGE  \* MERGEFORMAT </w:instrText>
                          </w:r>
                          <w:r>
                            <w:fldChar w:fldCharType="separate"/>
                          </w:r>
                          <w:r>
                            <w:t>84</w:t>
                          </w:r>
                          <w:r>
                            <w:fldChar w:fldCharType="end"/>
                          </w:r>
                        </w:p>
                      </w:txbxContent>
                    </wps:txbx>
                    <wps:bodyPr wrap="none" lIns="0" tIns="0" rIns="0" bIns="0">
                      <a:spAutoFit/>
                    </wps:bodyPr>
                  </wps:wsp>
                </a:graphicData>
              </a:graphic>
            </wp:anchor>
          </w:drawing>
        </mc:Choice>
        <mc:Fallback>
          <w:pict>
            <v:shape id="文本框 1029"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Axj340xgEAAJEDAAAOAAAAAAAAAAEAIAAAAB4BAABkcnMvZTJvRG9jLnht&#10;bFBLBQYAAAAABgAGAFkBAABWBQAAAAA=&#10;">
              <v:fill on="f" focussize="0,0"/>
              <v:stroke on="f"/>
              <v:imagedata o:title=""/>
              <o:lock v:ext="edit" aspectratio="f"/>
              <v:textbox inset="0mm,0mm,0mm,0mm" style="mso-fit-shape-to-text:t;">
                <w:txbxContent>
                  <w:p w14:paraId="585AD3E1">
                    <w:pPr>
                      <w:pStyle w:val="19"/>
                      <w:ind w:firstLine="360"/>
                    </w:pPr>
                    <w:r>
                      <w:fldChar w:fldCharType="begin"/>
                    </w:r>
                    <w:r>
                      <w:instrText xml:space="preserve"> PAGE  \* MERGEFORMAT </w:instrText>
                    </w:r>
                    <w:r>
                      <w:fldChar w:fldCharType="separate"/>
                    </w:r>
                    <w:r>
                      <w:t>84</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6BA8FB">
    <w:pPr>
      <w:pStyle w:val="19"/>
      <w:spacing w:before="24" w:after="24"/>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0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3ADC0FF">
                          <w:pPr>
                            <w:pStyle w:val="19"/>
                          </w:pPr>
                          <w:r>
                            <w:fldChar w:fldCharType="begin"/>
                          </w:r>
                          <w:r>
                            <w:instrText xml:space="preserve"> PAGE  \* MERGEFORMAT </w:instrText>
                          </w:r>
                          <w:r>
                            <w:fldChar w:fldCharType="separate"/>
                          </w:r>
                          <w:r>
                            <w:t>47</w:t>
                          </w:r>
                          <w:r>
                            <w:fldChar w:fldCharType="end"/>
                          </w:r>
                        </w:p>
                      </w:txbxContent>
                    </wps:txbx>
                    <wps:bodyPr vert="horz" wrap="none" lIns="0" tIns="0" rIns="0" bIns="0" anchor="t" anchorCtr="0">
                      <a:spAutoFit/>
                    </wps:bodyPr>
                  </wps:wsp>
                </a:graphicData>
              </a:graphic>
            </wp:anchor>
          </w:drawing>
        </mc:Choice>
        <mc:Fallback>
          <w:pict>
            <v:shape id="文本框 2054"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6pebnPAAAABQEAAA8AAAAAAAAAAQAgAAAA&#10;IgAAAGRycy9kb3ducmV2LnhtbFBLAQIUABQAAAAIAIdO4kCBbYQ12wEAALYDAAAOAAAAAAAAAAEA&#10;IAAAAB4BAABkcnMvZTJvRG9jLnhtbFBLBQYAAAAABgAGAFkBAABrBQAAAAA=&#10;">
              <v:fill on="f" focussize="0,0"/>
              <v:stroke on="f"/>
              <v:imagedata o:title=""/>
              <o:lock v:ext="edit" aspectratio="f"/>
              <v:textbox inset="0mm,0mm,0mm,0mm" style="mso-fit-shape-to-text:t;">
                <w:txbxContent>
                  <w:p w14:paraId="13ADC0FF">
                    <w:pPr>
                      <w:pStyle w:val="19"/>
                    </w:pPr>
                    <w:r>
                      <w:fldChar w:fldCharType="begin"/>
                    </w:r>
                    <w:r>
                      <w:instrText xml:space="preserve"> PAGE  \* MERGEFORMAT </w:instrText>
                    </w:r>
                    <w:r>
                      <w:fldChar w:fldCharType="separate"/>
                    </w:r>
                    <w:r>
                      <w:t>47</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0B27D6">
    <w:pPr>
      <w:pStyle w:val="19"/>
      <w:spacing w:after="48"/>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7EA2FE">
    <w:pPr>
      <w:pStyle w:val="19"/>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5300F0">
    <w:pPr>
      <w:pStyle w:val="19"/>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A7EAB">
    <w:pPr>
      <w:pStyle w:val="20"/>
      <w:pBdr>
        <w:bottom w:val="none" w:color="auto" w:sz="0" w:space="0"/>
      </w:pBdr>
      <w:spacing w:before="100" w:beforeAutospacing="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5F6B41">
    <w:pPr>
      <w:pStyle w:val="20"/>
      <w:pBdr>
        <w:bottom w:val="none" w:color="auto" w:sz="0" w:space="0"/>
      </w:pBdr>
      <w:spacing w:after="4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34A7A">
    <w:pPr>
      <w:ind w:left="284" w:right="284"/>
      <w:jc w:val="right"/>
      <w:rPr>
        <w:rFonts w:ascii="黑体" w:hAnsi="黑体" w:eastAsia="黑体"/>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7605C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171F39"/>
    <w:multiLevelType w:val="singleLevel"/>
    <w:tmpl w:val="AD171F39"/>
    <w:lvl w:ilvl="0" w:tentative="0">
      <w:start w:val="1"/>
      <w:numFmt w:val="lowerLetter"/>
      <w:lvlText w:val="%1."/>
      <w:lvlJc w:val="left"/>
      <w:pPr>
        <w:tabs>
          <w:tab w:val="left" w:pos="312"/>
        </w:tabs>
      </w:pPr>
    </w:lvl>
  </w:abstractNum>
  <w:abstractNum w:abstractNumId="1">
    <w:nsid w:val="EC9291D8"/>
    <w:multiLevelType w:val="singleLevel"/>
    <w:tmpl w:val="EC9291D8"/>
    <w:lvl w:ilvl="0" w:tentative="0">
      <w:start w:val="1"/>
      <w:numFmt w:val="decimal"/>
      <w:suff w:val="nothing"/>
      <w:lvlText w:val="%1）"/>
      <w:lvlJc w:val="left"/>
    </w:lvl>
  </w:abstractNum>
  <w:abstractNum w:abstractNumId="2">
    <w:nsid w:val="F3C24672"/>
    <w:multiLevelType w:val="singleLevel"/>
    <w:tmpl w:val="F3C24672"/>
    <w:lvl w:ilvl="0" w:tentative="0">
      <w:start w:val="1"/>
      <w:numFmt w:val="chineseCounting"/>
      <w:suff w:val="nothing"/>
      <w:lvlText w:val="（%1）"/>
      <w:lvlJc w:val="left"/>
      <w:pPr>
        <w:ind w:left="0" w:firstLine="420"/>
      </w:pPr>
      <w:rPr>
        <w:rFonts w:hint="eastAsia"/>
      </w:rPr>
    </w:lvl>
  </w:abstractNum>
  <w:abstractNum w:abstractNumId="3">
    <w:nsid w:val="FA269A05"/>
    <w:multiLevelType w:val="singleLevel"/>
    <w:tmpl w:val="FA269A05"/>
    <w:lvl w:ilvl="0" w:tentative="0">
      <w:start w:val="1"/>
      <w:numFmt w:val="chineseCounting"/>
      <w:suff w:val="nothing"/>
      <w:lvlText w:val="（%1）"/>
      <w:lvlJc w:val="left"/>
      <w:pPr>
        <w:ind w:left="0" w:firstLine="420"/>
      </w:pPr>
      <w:rPr>
        <w:rFonts w:hint="eastAsia"/>
      </w:rPr>
    </w:lvl>
  </w:abstractNum>
  <w:abstractNum w:abstractNumId="4">
    <w:nsid w:val="178862C6"/>
    <w:multiLevelType w:val="multilevel"/>
    <w:tmpl w:val="178862C6"/>
    <w:lvl w:ilvl="0" w:tentative="0">
      <w:start w:val="1"/>
      <w:numFmt w:val="decimal"/>
      <w:suff w:val="space"/>
      <w:lvlText w:val="%1"/>
      <w:lvlJc w:val="left"/>
      <w:pPr>
        <w:ind w:left="420" w:hanging="420"/>
      </w:pPr>
      <w:rPr>
        <w:rFonts w:hint="default" w:ascii="Times New Roman" w:hAnsi="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1BEDC062"/>
    <w:multiLevelType w:val="singleLevel"/>
    <w:tmpl w:val="1BEDC062"/>
    <w:lvl w:ilvl="0" w:tentative="0">
      <w:start w:val="2"/>
      <w:numFmt w:val="decimal"/>
      <w:suff w:val="nothing"/>
      <w:lvlText w:val="%1）"/>
      <w:lvlJc w:val="left"/>
    </w:lvl>
  </w:abstractNum>
  <w:abstractNum w:abstractNumId="6">
    <w:nsid w:val="23C75F3B"/>
    <w:multiLevelType w:val="singleLevel"/>
    <w:tmpl w:val="23C75F3B"/>
    <w:lvl w:ilvl="0" w:tentative="0">
      <w:start w:val="1"/>
      <w:numFmt w:val="decimal"/>
      <w:suff w:val="nothing"/>
      <w:lvlText w:val="%1）"/>
      <w:lvlJc w:val="left"/>
    </w:lvl>
  </w:abstractNum>
  <w:abstractNum w:abstractNumId="7">
    <w:nsid w:val="327ED1D3"/>
    <w:multiLevelType w:val="singleLevel"/>
    <w:tmpl w:val="327ED1D3"/>
    <w:lvl w:ilvl="0" w:tentative="0">
      <w:start w:val="4"/>
      <w:numFmt w:val="decimal"/>
      <w:suff w:val="nothing"/>
      <w:lvlText w:val="（%1）"/>
      <w:lvlJc w:val="left"/>
    </w:lvl>
  </w:abstractNum>
  <w:abstractNum w:abstractNumId="8">
    <w:nsid w:val="39AF2834"/>
    <w:multiLevelType w:val="multilevel"/>
    <w:tmpl w:val="39AF2834"/>
    <w:lvl w:ilvl="0" w:tentative="0">
      <w:start w:val="1"/>
      <w:numFmt w:val="decimal"/>
      <w:suff w:val="space"/>
      <w:lvlText w:val="%1"/>
      <w:lvlJc w:val="left"/>
      <w:pPr>
        <w:ind w:left="420" w:hanging="420"/>
      </w:pPr>
      <w:rPr>
        <w:rFonts w:hint="default" w:ascii="Times New Roman" w:hAnsi="Times New Roman"/>
        <w:sz w:val="20"/>
        <w:szCs w:val="2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5FBC548D"/>
    <w:multiLevelType w:val="singleLevel"/>
    <w:tmpl w:val="5FBC548D"/>
    <w:lvl w:ilvl="0" w:tentative="0">
      <w:start w:val="2"/>
      <w:numFmt w:val="decimal"/>
      <w:suff w:val="nothing"/>
      <w:lvlText w:val="%1、"/>
      <w:lvlJc w:val="left"/>
    </w:lvl>
  </w:abstractNum>
  <w:abstractNum w:abstractNumId="10">
    <w:nsid w:val="60F614B7"/>
    <w:multiLevelType w:val="multilevel"/>
    <w:tmpl w:val="60F614B7"/>
    <w:lvl w:ilvl="0" w:tentative="0">
      <w:start w:val="1"/>
      <w:numFmt w:val="upperRoman"/>
      <w:suff w:val="space"/>
      <w:lvlText w:val="%1."/>
      <w:lvlJc w:val="left"/>
      <w:pPr>
        <w:ind w:left="902" w:hanging="420"/>
      </w:pPr>
      <w:rPr>
        <w:rFonts w:hint="default" w:ascii="Times New Roman" w:hAnsi="Times New Roman" w:eastAsia="宋体"/>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11">
    <w:nsid w:val="7CF2D9D0"/>
    <w:multiLevelType w:val="singleLevel"/>
    <w:tmpl w:val="7CF2D9D0"/>
    <w:lvl w:ilvl="0" w:tentative="0">
      <w:start w:val="1"/>
      <w:numFmt w:val="decimal"/>
      <w:suff w:val="nothing"/>
      <w:lvlText w:val="（%1）"/>
      <w:lvlJc w:val="left"/>
    </w:lvl>
  </w:abstractNum>
  <w:num w:numId="1">
    <w:abstractNumId w:val="5"/>
  </w:num>
  <w:num w:numId="2">
    <w:abstractNumId w:val="7"/>
  </w:num>
  <w:num w:numId="3">
    <w:abstractNumId w:val="9"/>
  </w:num>
  <w:num w:numId="4">
    <w:abstractNumId w:val="10"/>
  </w:num>
  <w:num w:numId="5">
    <w:abstractNumId w:val="11"/>
  </w:num>
  <w:num w:numId="6">
    <w:abstractNumId w:val="3"/>
  </w:num>
  <w:num w:numId="7">
    <w:abstractNumId w:val="2"/>
  </w:num>
  <w:num w:numId="8">
    <w:abstractNumId w:val="1"/>
  </w:num>
  <w:num w:numId="9">
    <w:abstractNumId w:val="0"/>
  </w:num>
  <w:num w:numId="10">
    <w:abstractNumId w:val="6"/>
  </w:num>
  <w:num w:numId="11">
    <w:abstractNumId w:val="4"/>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0"/>
  <w:doNotHyphenateCaps/>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A0ZmViN2Y5MTg4OTgzYzUyNjBiOWYzMjhkNTMwNWYifQ=="/>
  </w:docVars>
  <w:rsids>
    <w:rsidRoot w:val="00172A27"/>
    <w:rsid w:val="00001CED"/>
    <w:rsid w:val="00001E67"/>
    <w:rsid w:val="00003CD8"/>
    <w:rsid w:val="0001170B"/>
    <w:rsid w:val="00014965"/>
    <w:rsid w:val="0001523A"/>
    <w:rsid w:val="000155C6"/>
    <w:rsid w:val="00016ECB"/>
    <w:rsid w:val="000269F6"/>
    <w:rsid w:val="00031939"/>
    <w:rsid w:val="00032D25"/>
    <w:rsid w:val="00045E7F"/>
    <w:rsid w:val="00050476"/>
    <w:rsid w:val="0005219D"/>
    <w:rsid w:val="00053238"/>
    <w:rsid w:val="0005568F"/>
    <w:rsid w:val="00061050"/>
    <w:rsid w:val="0006153D"/>
    <w:rsid w:val="00061B1F"/>
    <w:rsid w:val="000664DB"/>
    <w:rsid w:val="00066591"/>
    <w:rsid w:val="000700C5"/>
    <w:rsid w:val="0007127D"/>
    <w:rsid w:val="00071AE5"/>
    <w:rsid w:val="00074783"/>
    <w:rsid w:val="000801E0"/>
    <w:rsid w:val="00082A29"/>
    <w:rsid w:val="0008331D"/>
    <w:rsid w:val="00083C18"/>
    <w:rsid w:val="00090A26"/>
    <w:rsid w:val="00091349"/>
    <w:rsid w:val="00092899"/>
    <w:rsid w:val="00097CED"/>
    <w:rsid w:val="000A178E"/>
    <w:rsid w:val="000A557E"/>
    <w:rsid w:val="000B058F"/>
    <w:rsid w:val="000B397D"/>
    <w:rsid w:val="000B4AEC"/>
    <w:rsid w:val="000B693F"/>
    <w:rsid w:val="000C09AC"/>
    <w:rsid w:val="000C0A63"/>
    <w:rsid w:val="000C437E"/>
    <w:rsid w:val="000C5408"/>
    <w:rsid w:val="000E5F16"/>
    <w:rsid w:val="000F084F"/>
    <w:rsid w:val="000F4452"/>
    <w:rsid w:val="000F6DA1"/>
    <w:rsid w:val="000F701B"/>
    <w:rsid w:val="001012E2"/>
    <w:rsid w:val="001056A0"/>
    <w:rsid w:val="001071C8"/>
    <w:rsid w:val="00115279"/>
    <w:rsid w:val="001170B2"/>
    <w:rsid w:val="00117459"/>
    <w:rsid w:val="0011749A"/>
    <w:rsid w:val="001257C9"/>
    <w:rsid w:val="001278C9"/>
    <w:rsid w:val="00127A68"/>
    <w:rsid w:val="00131D03"/>
    <w:rsid w:val="00140B13"/>
    <w:rsid w:val="00141B68"/>
    <w:rsid w:val="00142F6B"/>
    <w:rsid w:val="00145D68"/>
    <w:rsid w:val="001466DA"/>
    <w:rsid w:val="00150941"/>
    <w:rsid w:val="00154DE1"/>
    <w:rsid w:val="00155B40"/>
    <w:rsid w:val="00157435"/>
    <w:rsid w:val="00163EEA"/>
    <w:rsid w:val="00166E3A"/>
    <w:rsid w:val="00167A07"/>
    <w:rsid w:val="0017046A"/>
    <w:rsid w:val="001704A3"/>
    <w:rsid w:val="00172A27"/>
    <w:rsid w:val="001730AA"/>
    <w:rsid w:val="0017504D"/>
    <w:rsid w:val="0017668F"/>
    <w:rsid w:val="00177422"/>
    <w:rsid w:val="00184F10"/>
    <w:rsid w:val="00185546"/>
    <w:rsid w:val="001910C6"/>
    <w:rsid w:val="0019146B"/>
    <w:rsid w:val="0019323C"/>
    <w:rsid w:val="00194398"/>
    <w:rsid w:val="00197204"/>
    <w:rsid w:val="001977EB"/>
    <w:rsid w:val="001A5FEB"/>
    <w:rsid w:val="001A6630"/>
    <w:rsid w:val="001A7CB0"/>
    <w:rsid w:val="001A7D2A"/>
    <w:rsid w:val="001B18C9"/>
    <w:rsid w:val="001B534E"/>
    <w:rsid w:val="001B574C"/>
    <w:rsid w:val="001C0AF9"/>
    <w:rsid w:val="001C155A"/>
    <w:rsid w:val="001C48C0"/>
    <w:rsid w:val="001D6726"/>
    <w:rsid w:val="001E31BF"/>
    <w:rsid w:val="001E41FD"/>
    <w:rsid w:val="001E50D5"/>
    <w:rsid w:val="001F3347"/>
    <w:rsid w:val="001F35E3"/>
    <w:rsid w:val="001F4440"/>
    <w:rsid w:val="001F5F37"/>
    <w:rsid w:val="001F69E4"/>
    <w:rsid w:val="00204F34"/>
    <w:rsid w:val="0020674B"/>
    <w:rsid w:val="00206A65"/>
    <w:rsid w:val="00212D31"/>
    <w:rsid w:val="002130C7"/>
    <w:rsid w:val="002218A8"/>
    <w:rsid w:val="0022306D"/>
    <w:rsid w:val="002232C0"/>
    <w:rsid w:val="00226574"/>
    <w:rsid w:val="002278EC"/>
    <w:rsid w:val="00231FCD"/>
    <w:rsid w:val="002357C7"/>
    <w:rsid w:val="002367C4"/>
    <w:rsid w:val="00242A3B"/>
    <w:rsid w:val="002501CD"/>
    <w:rsid w:val="00255636"/>
    <w:rsid w:val="0025679E"/>
    <w:rsid w:val="00260C68"/>
    <w:rsid w:val="0026332D"/>
    <w:rsid w:val="002648B0"/>
    <w:rsid w:val="00265C0C"/>
    <w:rsid w:val="00267AB0"/>
    <w:rsid w:val="00271265"/>
    <w:rsid w:val="00275271"/>
    <w:rsid w:val="0027535E"/>
    <w:rsid w:val="00275AA6"/>
    <w:rsid w:val="002803C9"/>
    <w:rsid w:val="002807D5"/>
    <w:rsid w:val="002828AA"/>
    <w:rsid w:val="00282CCD"/>
    <w:rsid w:val="0028538D"/>
    <w:rsid w:val="00294978"/>
    <w:rsid w:val="00294C54"/>
    <w:rsid w:val="002A168C"/>
    <w:rsid w:val="002A2247"/>
    <w:rsid w:val="002A2C48"/>
    <w:rsid w:val="002A3EED"/>
    <w:rsid w:val="002A4A39"/>
    <w:rsid w:val="002A5A17"/>
    <w:rsid w:val="002A627D"/>
    <w:rsid w:val="002A6425"/>
    <w:rsid w:val="002B49E2"/>
    <w:rsid w:val="002B7B00"/>
    <w:rsid w:val="002B7C44"/>
    <w:rsid w:val="002C1388"/>
    <w:rsid w:val="002C3433"/>
    <w:rsid w:val="002C3C6A"/>
    <w:rsid w:val="002D0274"/>
    <w:rsid w:val="002D1735"/>
    <w:rsid w:val="002D42DB"/>
    <w:rsid w:val="002E1F3A"/>
    <w:rsid w:val="002E298A"/>
    <w:rsid w:val="002E5CA9"/>
    <w:rsid w:val="002E72F7"/>
    <w:rsid w:val="002F02A4"/>
    <w:rsid w:val="002F272B"/>
    <w:rsid w:val="002F7C6D"/>
    <w:rsid w:val="003027E4"/>
    <w:rsid w:val="0030332C"/>
    <w:rsid w:val="00312296"/>
    <w:rsid w:val="0031340E"/>
    <w:rsid w:val="003145D8"/>
    <w:rsid w:val="00316464"/>
    <w:rsid w:val="0032073A"/>
    <w:rsid w:val="003215BF"/>
    <w:rsid w:val="00321D8E"/>
    <w:rsid w:val="00334996"/>
    <w:rsid w:val="0033611D"/>
    <w:rsid w:val="00336969"/>
    <w:rsid w:val="00336C52"/>
    <w:rsid w:val="003414F1"/>
    <w:rsid w:val="00341783"/>
    <w:rsid w:val="00341B3E"/>
    <w:rsid w:val="00341B42"/>
    <w:rsid w:val="00343627"/>
    <w:rsid w:val="00345154"/>
    <w:rsid w:val="0034560E"/>
    <w:rsid w:val="003474D8"/>
    <w:rsid w:val="00350523"/>
    <w:rsid w:val="00352975"/>
    <w:rsid w:val="00356868"/>
    <w:rsid w:val="0036485B"/>
    <w:rsid w:val="0037377B"/>
    <w:rsid w:val="00373B0D"/>
    <w:rsid w:val="00376988"/>
    <w:rsid w:val="00380ADF"/>
    <w:rsid w:val="00381A72"/>
    <w:rsid w:val="003857FA"/>
    <w:rsid w:val="00387074"/>
    <w:rsid w:val="00394C29"/>
    <w:rsid w:val="00394FF5"/>
    <w:rsid w:val="003960E5"/>
    <w:rsid w:val="00396760"/>
    <w:rsid w:val="003A1948"/>
    <w:rsid w:val="003A3D89"/>
    <w:rsid w:val="003A6855"/>
    <w:rsid w:val="003B152A"/>
    <w:rsid w:val="003B545B"/>
    <w:rsid w:val="003D3EE9"/>
    <w:rsid w:val="003E7681"/>
    <w:rsid w:val="003F0809"/>
    <w:rsid w:val="003F611C"/>
    <w:rsid w:val="003F755C"/>
    <w:rsid w:val="0040468D"/>
    <w:rsid w:val="00406F01"/>
    <w:rsid w:val="00410D6B"/>
    <w:rsid w:val="00411B36"/>
    <w:rsid w:val="004121D7"/>
    <w:rsid w:val="00414A61"/>
    <w:rsid w:val="00416D50"/>
    <w:rsid w:val="00417772"/>
    <w:rsid w:val="00420E6A"/>
    <w:rsid w:val="004243F6"/>
    <w:rsid w:val="0042464E"/>
    <w:rsid w:val="00432141"/>
    <w:rsid w:val="00433CA9"/>
    <w:rsid w:val="0043521D"/>
    <w:rsid w:val="00436EE0"/>
    <w:rsid w:val="00442024"/>
    <w:rsid w:val="0044254C"/>
    <w:rsid w:val="00443F6A"/>
    <w:rsid w:val="00450A17"/>
    <w:rsid w:val="00453903"/>
    <w:rsid w:val="00455C0C"/>
    <w:rsid w:val="004641BF"/>
    <w:rsid w:val="00466321"/>
    <w:rsid w:val="004670F9"/>
    <w:rsid w:val="004672AF"/>
    <w:rsid w:val="00471F0C"/>
    <w:rsid w:val="004727B0"/>
    <w:rsid w:val="00476B1E"/>
    <w:rsid w:val="00480247"/>
    <w:rsid w:val="0048081D"/>
    <w:rsid w:val="0048117E"/>
    <w:rsid w:val="004855F6"/>
    <w:rsid w:val="00486F0C"/>
    <w:rsid w:val="00494670"/>
    <w:rsid w:val="004A036A"/>
    <w:rsid w:val="004A0EB4"/>
    <w:rsid w:val="004A3823"/>
    <w:rsid w:val="004A59BB"/>
    <w:rsid w:val="004B2A45"/>
    <w:rsid w:val="004B43A3"/>
    <w:rsid w:val="004B4C49"/>
    <w:rsid w:val="004B58A5"/>
    <w:rsid w:val="004B63D9"/>
    <w:rsid w:val="004B7F94"/>
    <w:rsid w:val="004C0882"/>
    <w:rsid w:val="004C2557"/>
    <w:rsid w:val="004C55BE"/>
    <w:rsid w:val="004D4E7C"/>
    <w:rsid w:val="004E5B30"/>
    <w:rsid w:val="004F0779"/>
    <w:rsid w:val="004F1230"/>
    <w:rsid w:val="004F173F"/>
    <w:rsid w:val="004F177C"/>
    <w:rsid w:val="004F2DCE"/>
    <w:rsid w:val="005039CB"/>
    <w:rsid w:val="0050558F"/>
    <w:rsid w:val="005057E0"/>
    <w:rsid w:val="00506286"/>
    <w:rsid w:val="00510813"/>
    <w:rsid w:val="00511DE0"/>
    <w:rsid w:val="00517F02"/>
    <w:rsid w:val="00524547"/>
    <w:rsid w:val="005258A2"/>
    <w:rsid w:val="00530F7C"/>
    <w:rsid w:val="00534567"/>
    <w:rsid w:val="00534F43"/>
    <w:rsid w:val="00535A84"/>
    <w:rsid w:val="00536889"/>
    <w:rsid w:val="00542E07"/>
    <w:rsid w:val="00554A7B"/>
    <w:rsid w:val="0055572C"/>
    <w:rsid w:val="0056064F"/>
    <w:rsid w:val="00561B84"/>
    <w:rsid w:val="00561FDF"/>
    <w:rsid w:val="00564CD7"/>
    <w:rsid w:val="00571D98"/>
    <w:rsid w:val="005720AE"/>
    <w:rsid w:val="0058030D"/>
    <w:rsid w:val="00582045"/>
    <w:rsid w:val="00583734"/>
    <w:rsid w:val="00590AE3"/>
    <w:rsid w:val="005918F1"/>
    <w:rsid w:val="0059231A"/>
    <w:rsid w:val="005A06B7"/>
    <w:rsid w:val="005A1759"/>
    <w:rsid w:val="005A2448"/>
    <w:rsid w:val="005A406B"/>
    <w:rsid w:val="005A5293"/>
    <w:rsid w:val="005B54E6"/>
    <w:rsid w:val="005D0369"/>
    <w:rsid w:val="005D53FE"/>
    <w:rsid w:val="005D6C92"/>
    <w:rsid w:val="005D7A0F"/>
    <w:rsid w:val="005E0438"/>
    <w:rsid w:val="005E1791"/>
    <w:rsid w:val="005E2CE6"/>
    <w:rsid w:val="005E6324"/>
    <w:rsid w:val="005F228B"/>
    <w:rsid w:val="005F26D6"/>
    <w:rsid w:val="005F29CD"/>
    <w:rsid w:val="005F4DFB"/>
    <w:rsid w:val="005F6CC0"/>
    <w:rsid w:val="00603E5B"/>
    <w:rsid w:val="00604BC8"/>
    <w:rsid w:val="00615B4C"/>
    <w:rsid w:val="00615B5D"/>
    <w:rsid w:val="0062146F"/>
    <w:rsid w:val="00627DD3"/>
    <w:rsid w:val="006321D1"/>
    <w:rsid w:val="006343AF"/>
    <w:rsid w:val="0063634A"/>
    <w:rsid w:val="0064250D"/>
    <w:rsid w:val="0064700E"/>
    <w:rsid w:val="006535EB"/>
    <w:rsid w:val="00657B76"/>
    <w:rsid w:val="00663016"/>
    <w:rsid w:val="0067084D"/>
    <w:rsid w:val="00674605"/>
    <w:rsid w:val="006748B8"/>
    <w:rsid w:val="006805FA"/>
    <w:rsid w:val="00680BB3"/>
    <w:rsid w:val="0068535B"/>
    <w:rsid w:val="00686C77"/>
    <w:rsid w:val="0068736E"/>
    <w:rsid w:val="00687FFE"/>
    <w:rsid w:val="0069290A"/>
    <w:rsid w:val="00697032"/>
    <w:rsid w:val="006975AC"/>
    <w:rsid w:val="006A15FB"/>
    <w:rsid w:val="006A4E17"/>
    <w:rsid w:val="006A72BF"/>
    <w:rsid w:val="006B332A"/>
    <w:rsid w:val="006B33BD"/>
    <w:rsid w:val="006B5776"/>
    <w:rsid w:val="006C0E10"/>
    <w:rsid w:val="006C258F"/>
    <w:rsid w:val="006C32CD"/>
    <w:rsid w:val="006C3F75"/>
    <w:rsid w:val="006C7E10"/>
    <w:rsid w:val="006D170E"/>
    <w:rsid w:val="006D7DD7"/>
    <w:rsid w:val="006E06AF"/>
    <w:rsid w:val="006F1789"/>
    <w:rsid w:val="0070157E"/>
    <w:rsid w:val="007025A1"/>
    <w:rsid w:val="00706C5D"/>
    <w:rsid w:val="007118E6"/>
    <w:rsid w:val="00714B14"/>
    <w:rsid w:val="007225C9"/>
    <w:rsid w:val="00723B53"/>
    <w:rsid w:val="00725567"/>
    <w:rsid w:val="00735CD7"/>
    <w:rsid w:val="00751D48"/>
    <w:rsid w:val="00754034"/>
    <w:rsid w:val="00754BF1"/>
    <w:rsid w:val="00755A30"/>
    <w:rsid w:val="00755E1C"/>
    <w:rsid w:val="00756556"/>
    <w:rsid w:val="0076132B"/>
    <w:rsid w:val="007623AE"/>
    <w:rsid w:val="0076260C"/>
    <w:rsid w:val="00770B19"/>
    <w:rsid w:val="0077167C"/>
    <w:rsid w:val="00774FA0"/>
    <w:rsid w:val="00776620"/>
    <w:rsid w:val="00777B6D"/>
    <w:rsid w:val="007812CF"/>
    <w:rsid w:val="0078143C"/>
    <w:rsid w:val="00782F0D"/>
    <w:rsid w:val="00784855"/>
    <w:rsid w:val="00784F39"/>
    <w:rsid w:val="0078545C"/>
    <w:rsid w:val="007906C4"/>
    <w:rsid w:val="00793629"/>
    <w:rsid w:val="007940EA"/>
    <w:rsid w:val="007967E8"/>
    <w:rsid w:val="007A259A"/>
    <w:rsid w:val="007A63F2"/>
    <w:rsid w:val="007B68DE"/>
    <w:rsid w:val="007B6AF3"/>
    <w:rsid w:val="007C1857"/>
    <w:rsid w:val="007C514F"/>
    <w:rsid w:val="007D0F95"/>
    <w:rsid w:val="007D7ECB"/>
    <w:rsid w:val="007E1135"/>
    <w:rsid w:val="007E25A1"/>
    <w:rsid w:val="007E4BD2"/>
    <w:rsid w:val="007E58D4"/>
    <w:rsid w:val="007E7145"/>
    <w:rsid w:val="007F3916"/>
    <w:rsid w:val="00801179"/>
    <w:rsid w:val="00802479"/>
    <w:rsid w:val="00802E05"/>
    <w:rsid w:val="00805372"/>
    <w:rsid w:val="00805B7B"/>
    <w:rsid w:val="0081293E"/>
    <w:rsid w:val="00814FFB"/>
    <w:rsid w:val="00820568"/>
    <w:rsid w:val="00831A80"/>
    <w:rsid w:val="008332C8"/>
    <w:rsid w:val="00833743"/>
    <w:rsid w:val="008340A4"/>
    <w:rsid w:val="00835981"/>
    <w:rsid w:val="00836799"/>
    <w:rsid w:val="00837028"/>
    <w:rsid w:val="00837131"/>
    <w:rsid w:val="00845F57"/>
    <w:rsid w:val="008521E0"/>
    <w:rsid w:val="008525B0"/>
    <w:rsid w:val="008543A6"/>
    <w:rsid w:val="00867CBC"/>
    <w:rsid w:val="008733B8"/>
    <w:rsid w:val="00876C30"/>
    <w:rsid w:val="00876F04"/>
    <w:rsid w:val="00877017"/>
    <w:rsid w:val="008773C0"/>
    <w:rsid w:val="00880364"/>
    <w:rsid w:val="008850B4"/>
    <w:rsid w:val="00886C4C"/>
    <w:rsid w:val="0088711C"/>
    <w:rsid w:val="00892ECF"/>
    <w:rsid w:val="00892F06"/>
    <w:rsid w:val="00894285"/>
    <w:rsid w:val="0089565F"/>
    <w:rsid w:val="008A40AE"/>
    <w:rsid w:val="008A4E19"/>
    <w:rsid w:val="008A67C5"/>
    <w:rsid w:val="008B22E1"/>
    <w:rsid w:val="008B2F6C"/>
    <w:rsid w:val="008B3C78"/>
    <w:rsid w:val="008B4AE9"/>
    <w:rsid w:val="008B5707"/>
    <w:rsid w:val="008B6717"/>
    <w:rsid w:val="008C0D07"/>
    <w:rsid w:val="008C273D"/>
    <w:rsid w:val="008C30AD"/>
    <w:rsid w:val="008D068E"/>
    <w:rsid w:val="008D0F7A"/>
    <w:rsid w:val="008D63BE"/>
    <w:rsid w:val="008E0CFF"/>
    <w:rsid w:val="008E45D1"/>
    <w:rsid w:val="008E5D6B"/>
    <w:rsid w:val="008E689B"/>
    <w:rsid w:val="008E6F7C"/>
    <w:rsid w:val="008E76F0"/>
    <w:rsid w:val="008F143D"/>
    <w:rsid w:val="008F15FE"/>
    <w:rsid w:val="008F2A94"/>
    <w:rsid w:val="008F5187"/>
    <w:rsid w:val="008F709C"/>
    <w:rsid w:val="008F758A"/>
    <w:rsid w:val="0090312B"/>
    <w:rsid w:val="00904961"/>
    <w:rsid w:val="0091736D"/>
    <w:rsid w:val="00927E4A"/>
    <w:rsid w:val="00930340"/>
    <w:rsid w:val="00931001"/>
    <w:rsid w:val="00931863"/>
    <w:rsid w:val="00933524"/>
    <w:rsid w:val="00936B5D"/>
    <w:rsid w:val="0094278D"/>
    <w:rsid w:val="0094432A"/>
    <w:rsid w:val="0095308A"/>
    <w:rsid w:val="00955AEE"/>
    <w:rsid w:val="00956F14"/>
    <w:rsid w:val="009620FD"/>
    <w:rsid w:val="0096247A"/>
    <w:rsid w:val="00965F4B"/>
    <w:rsid w:val="00970F8A"/>
    <w:rsid w:val="00971FB5"/>
    <w:rsid w:val="009726E7"/>
    <w:rsid w:val="00972D2A"/>
    <w:rsid w:val="00975CC5"/>
    <w:rsid w:val="00976328"/>
    <w:rsid w:val="00976B4E"/>
    <w:rsid w:val="00983AEC"/>
    <w:rsid w:val="00984458"/>
    <w:rsid w:val="00985283"/>
    <w:rsid w:val="00987322"/>
    <w:rsid w:val="009911B6"/>
    <w:rsid w:val="009A0F3B"/>
    <w:rsid w:val="009A72C7"/>
    <w:rsid w:val="009B0897"/>
    <w:rsid w:val="009B3B62"/>
    <w:rsid w:val="009B5968"/>
    <w:rsid w:val="009C14DF"/>
    <w:rsid w:val="009C336D"/>
    <w:rsid w:val="009D0852"/>
    <w:rsid w:val="009D1FBF"/>
    <w:rsid w:val="009E399C"/>
    <w:rsid w:val="009E3A7D"/>
    <w:rsid w:val="009E43C1"/>
    <w:rsid w:val="009E574D"/>
    <w:rsid w:val="009E68E8"/>
    <w:rsid w:val="009E7E95"/>
    <w:rsid w:val="009F116F"/>
    <w:rsid w:val="009F329E"/>
    <w:rsid w:val="009F79E5"/>
    <w:rsid w:val="009F7ED3"/>
    <w:rsid w:val="00A03607"/>
    <w:rsid w:val="00A047FF"/>
    <w:rsid w:val="00A04FEF"/>
    <w:rsid w:val="00A122CD"/>
    <w:rsid w:val="00A12A32"/>
    <w:rsid w:val="00A12FC4"/>
    <w:rsid w:val="00A14248"/>
    <w:rsid w:val="00A14947"/>
    <w:rsid w:val="00A22429"/>
    <w:rsid w:val="00A22687"/>
    <w:rsid w:val="00A23DC5"/>
    <w:rsid w:val="00A30227"/>
    <w:rsid w:val="00A34028"/>
    <w:rsid w:val="00A35568"/>
    <w:rsid w:val="00A37056"/>
    <w:rsid w:val="00A4358F"/>
    <w:rsid w:val="00A46F67"/>
    <w:rsid w:val="00A47B54"/>
    <w:rsid w:val="00A54AA1"/>
    <w:rsid w:val="00A568FF"/>
    <w:rsid w:val="00A606CC"/>
    <w:rsid w:val="00A61496"/>
    <w:rsid w:val="00A61833"/>
    <w:rsid w:val="00A624C6"/>
    <w:rsid w:val="00A63873"/>
    <w:rsid w:val="00A63CEC"/>
    <w:rsid w:val="00A7031E"/>
    <w:rsid w:val="00A728B1"/>
    <w:rsid w:val="00A736E7"/>
    <w:rsid w:val="00A756A1"/>
    <w:rsid w:val="00A763DE"/>
    <w:rsid w:val="00A7652A"/>
    <w:rsid w:val="00A803D6"/>
    <w:rsid w:val="00A81282"/>
    <w:rsid w:val="00A82420"/>
    <w:rsid w:val="00A82CBC"/>
    <w:rsid w:val="00A83CA2"/>
    <w:rsid w:val="00A8713F"/>
    <w:rsid w:val="00A90009"/>
    <w:rsid w:val="00A91167"/>
    <w:rsid w:val="00A9171C"/>
    <w:rsid w:val="00A92FFD"/>
    <w:rsid w:val="00A95975"/>
    <w:rsid w:val="00A9690E"/>
    <w:rsid w:val="00A9708D"/>
    <w:rsid w:val="00AA2C17"/>
    <w:rsid w:val="00AA4172"/>
    <w:rsid w:val="00AA6FF7"/>
    <w:rsid w:val="00AB1914"/>
    <w:rsid w:val="00AB1B4A"/>
    <w:rsid w:val="00AB5330"/>
    <w:rsid w:val="00AB5ACF"/>
    <w:rsid w:val="00AB6BC3"/>
    <w:rsid w:val="00AB7747"/>
    <w:rsid w:val="00AC2532"/>
    <w:rsid w:val="00AD13C7"/>
    <w:rsid w:val="00AD1507"/>
    <w:rsid w:val="00AD5A70"/>
    <w:rsid w:val="00AD738B"/>
    <w:rsid w:val="00AE1BF4"/>
    <w:rsid w:val="00AE5D97"/>
    <w:rsid w:val="00AE6794"/>
    <w:rsid w:val="00AE7AA4"/>
    <w:rsid w:val="00AF01FE"/>
    <w:rsid w:val="00B00905"/>
    <w:rsid w:val="00B01110"/>
    <w:rsid w:val="00B02262"/>
    <w:rsid w:val="00B03A25"/>
    <w:rsid w:val="00B03CEC"/>
    <w:rsid w:val="00B07569"/>
    <w:rsid w:val="00B1209F"/>
    <w:rsid w:val="00B12AD0"/>
    <w:rsid w:val="00B24F30"/>
    <w:rsid w:val="00B31ABF"/>
    <w:rsid w:val="00B3328F"/>
    <w:rsid w:val="00B335AE"/>
    <w:rsid w:val="00B34DD4"/>
    <w:rsid w:val="00B37CE1"/>
    <w:rsid w:val="00B40ACF"/>
    <w:rsid w:val="00B4321A"/>
    <w:rsid w:val="00B46BAA"/>
    <w:rsid w:val="00B50B5F"/>
    <w:rsid w:val="00B54128"/>
    <w:rsid w:val="00B55826"/>
    <w:rsid w:val="00B55968"/>
    <w:rsid w:val="00B60426"/>
    <w:rsid w:val="00B622DD"/>
    <w:rsid w:val="00B63522"/>
    <w:rsid w:val="00B76F1D"/>
    <w:rsid w:val="00B774E4"/>
    <w:rsid w:val="00B87910"/>
    <w:rsid w:val="00B92A19"/>
    <w:rsid w:val="00B9544C"/>
    <w:rsid w:val="00BA29E9"/>
    <w:rsid w:val="00BB3618"/>
    <w:rsid w:val="00BB69B1"/>
    <w:rsid w:val="00BC0A79"/>
    <w:rsid w:val="00BC0C9E"/>
    <w:rsid w:val="00BC32DC"/>
    <w:rsid w:val="00BC78CA"/>
    <w:rsid w:val="00BD1B51"/>
    <w:rsid w:val="00BD47F6"/>
    <w:rsid w:val="00BD4C38"/>
    <w:rsid w:val="00BD7078"/>
    <w:rsid w:val="00BD761E"/>
    <w:rsid w:val="00BE312D"/>
    <w:rsid w:val="00BE3FCA"/>
    <w:rsid w:val="00BF6086"/>
    <w:rsid w:val="00BF6C69"/>
    <w:rsid w:val="00C03652"/>
    <w:rsid w:val="00C05719"/>
    <w:rsid w:val="00C10578"/>
    <w:rsid w:val="00C12A3E"/>
    <w:rsid w:val="00C17D62"/>
    <w:rsid w:val="00C21FDC"/>
    <w:rsid w:val="00C23119"/>
    <w:rsid w:val="00C24EE7"/>
    <w:rsid w:val="00C2596A"/>
    <w:rsid w:val="00C271BE"/>
    <w:rsid w:val="00C27425"/>
    <w:rsid w:val="00C328FE"/>
    <w:rsid w:val="00C33A05"/>
    <w:rsid w:val="00C33C1D"/>
    <w:rsid w:val="00C42500"/>
    <w:rsid w:val="00C4409D"/>
    <w:rsid w:val="00C455BE"/>
    <w:rsid w:val="00C51E5F"/>
    <w:rsid w:val="00C6062C"/>
    <w:rsid w:val="00C61E4B"/>
    <w:rsid w:val="00C61EFF"/>
    <w:rsid w:val="00C62E3A"/>
    <w:rsid w:val="00C64503"/>
    <w:rsid w:val="00C64A1F"/>
    <w:rsid w:val="00C64BFF"/>
    <w:rsid w:val="00C72BC0"/>
    <w:rsid w:val="00C72BF8"/>
    <w:rsid w:val="00C763C9"/>
    <w:rsid w:val="00C773BF"/>
    <w:rsid w:val="00C77DD3"/>
    <w:rsid w:val="00C80057"/>
    <w:rsid w:val="00C82C79"/>
    <w:rsid w:val="00C84753"/>
    <w:rsid w:val="00C861AF"/>
    <w:rsid w:val="00C861EB"/>
    <w:rsid w:val="00C91611"/>
    <w:rsid w:val="00C92F9D"/>
    <w:rsid w:val="00CA3585"/>
    <w:rsid w:val="00CA3D5A"/>
    <w:rsid w:val="00CA421F"/>
    <w:rsid w:val="00CA4C7C"/>
    <w:rsid w:val="00CA5671"/>
    <w:rsid w:val="00CA6B02"/>
    <w:rsid w:val="00CA6B2D"/>
    <w:rsid w:val="00CB0183"/>
    <w:rsid w:val="00CB1EA3"/>
    <w:rsid w:val="00CB552C"/>
    <w:rsid w:val="00CB6A9E"/>
    <w:rsid w:val="00CC0C55"/>
    <w:rsid w:val="00CC6181"/>
    <w:rsid w:val="00CC7EE9"/>
    <w:rsid w:val="00CD2BCD"/>
    <w:rsid w:val="00CD36AA"/>
    <w:rsid w:val="00CD3791"/>
    <w:rsid w:val="00CD3872"/>
    <w:rsid w:val="00CD65B0"/>
    <w:rsid w:val="00CE02CD"/>
    <w:rsid w:val="00CE05B3"/>
    <w:rsid w:val="00CE10E9"/>
    <w:rsid w:val="00CE6B34"/>
    <w:rsid w:val="00CF272D"/>
    <w:rsid w:val="00CF60A6"/>
    <w:rsid w:val="00CF7597"/>
    <w:rsid w:val="00D0072E"/>
    <w:rsid w:val="00D02B17"/>
    <w:rsid w:val="00D15727"/>
    <w:rsid w:val="00D16332"/>
    <w:rsid w:val="00D2146C"/>
    <w:rsid w:val="00D24972"/>
    <w:rsid w:val="00D2515E"/>
    <w:rsid w:val="00D308ED"/>
    <w:rsid w:val="00D31D76"/>
    <w:rsid w:val="00D41D17"/>
    <w:rsid w:val="00D44ECB"/>
    <w:rsid w:val="00D47557"/>
    <w:rsid w:val="00D51F24"/>
    <w:rsid w:val="00D55616"/>
    <w:rsid w:val="00D559AC"/>
    <w:rsid w:val="00D56178"/>
    <w:rsid w:val="00D56CF0"/>
    <w:rsid w:val="00D56F5C"/>
    <w:rsid w:val="00D606B0"/>
    <w:rsid w:val="00D674ED"/>
    <w:rsid w:val="00D704B1"/>
    <w:rsid w:val="00D70B63"/>
    <w:rsid w:val="00D715A5"/>
    <w:rsid w:val="00D72B92"/>
    <w:rsid w:val="00D72ED4"/>
    <w:rsid w:val="00D73F61"/>
    <w:rsid w:val="00D754C0"/>
    <w:rsid w:val="00D776A2"/>
    <w:rsid w:val="00D801C4"/>
    <w:rsid w:val="00D80446"/>
    <w:rsid w:val="00D90836"/>
    <w:rsid w:val="00D95896"/>
    <w:rsid w:val="00D95CC6"/>
    <w:rsid w:val="00D95E98"/>
    <w:rsid w:val="00DA2DA3"/>
    <w:rsid w:val="00DA6615"/>
    <w:rsid w:val="00DA76AE"/>
    <w:rsid w:val="00DB181E"/>
    <w:rsid w:val="00DB1C7A"/>
    <w:rsid w:val="00DB2983"/>
    <w:rsid w:val="00DB343D"/>
    <w:rsid w:val="00DB5579"/>
    <w:rsid w:val="00DB5CFE"/>
    <w:rsid w:val="00DC3951"/>
    <w:rsid w:val="00DC6E24"/>
    <w:rsid w:val="00DC72A6"/>
    <w:rsid w:val="00DD2113"/>
    <w:rsid w:val="00DD265E"/>
    <w:rsid w:val="00DD2713"/>
    <w:rsid w:val="00DD3722"/>
    <w:rsid w:val="00DE1E06"/>
    <w:rsid w:val="00DF1930"/>
    <w:rsid w:val="00DF514A"/>
    <w:rsid w:val="00E001CE"/>
    <w:rsid w:val="00E0163C"/>
    <w:rsid w:val="00E0358D"/>
    <w:rsid w:val="00E06327"/>
    <w:rsid w:val="00E14218"/>
    <w:rsid w:val="00E147E7"/>
    <w:rsid w:val="00E2064B"/>
    <w:rsid w:val="00E20695"/>
    <w:rsid w:val="00E24301"/>
    <w:rsid w:val="00E25239"/>
    <w:rsid w:val="00E265B1"/>
    <w:rsid w:val="00E275B0"/>
    <w:rsid w:val="00E27968"/>
    <w:rsid w:val="00E35229"/>
    <w:rsid w:val="00E3693A"/>
    <w:rsid w:val="00E37E22"/>
    <w:rsid w:val="00E412D0"/>
    <w:rsid w:val="00E42A30"/>
    <w:rsid w:val="00E449A2"/>
    <w:rsid w:val="00E47CDB"/>
    <w:rsid w:val="00E566BC"/>
    <w:rsid w:val="00E60982"/>
    <w:rsid w:val="00E60C8D"/>
    <w:rsid w:val="00E6162F"/>
    <w:rsid w:val="00E61B4A"/>
    <w:rsid w:val="00E630B1"/>
    <w:rsid w:val="00E6311B"/>
    <w:rsid w:val="00E6464B"/>
    <w:rsid w:val="00E65D97"/>
    <w:rsid w:val="00E67EFD"/>
    <w:rsid w:val="00E702DC"/>
    <w:rsid w:val="00E71FFB"/>
    <w:rsid w:val="00E76D1D"/>
    <w:rsid w:val="00E77702"/>
    <w:rsid w:val="00E806F8"/>
    <w:rsid w:val="00E82D68"/>
    <w:rsid w:val="00E86BE8"/>
    <w:rsid w:val="00E87752"/>
    <w:rsid w:val="00E8793B"/>
    <w:rsid w:val="00E90F81"/>
    <w:rsid w:val="00E91A6D"/>
    <w:rsid w:val="00E9242D"/>
    <w:rsid w:val="00E92CBB"/>
    <w:rsid w:val="00E94285"/>
    <w:rsid w:val="00EB041C"/>
    <w:rsid w:val="00EB5921"/>
    <w:rsid w:val="00EB5FD3"/>
    <w:rsid w:val="00EC4B2C"/>
    <w:rsid w:val="00EC5874"/>
    <w:rsid w:val="00ED192D"/>
    <w:rsid w:val="00ED30B4"/>
    <w:rsid w:val="00ED31F5"/>
    <w:rsid w:val="00ED3F28"/>
    <w:rsid w:val="00EF05C7"/>
    <w:rsid w:val="00EF1CBC"/>
    <w:rsid w:val="00EF2759"/>
    <w:rsid w:val="00EF45EB"/>
    <w:rsid w:val="00EF5099"/>
    <w:rsid w:val="00EF5E33"/>
    <w:rsid w:val="00EF6C67"/>
    <w:rsid w:val="00F00075"/>
    <w:rsid w:val="00F07822"/>
    <w:rsid w:val="00F07BD1"/>
    <w:rsid w:val="00F1435B"/>
    <w:rsid w:val="00F15C95"/>
    <w:rsid w:val="00F22985"/>
    <w:rsid w:val="00F22E16"/>
    <w:rsid w:val="00F241AB"/>
    <w:rsid w:val="00F3087C"/>
    <w:rsid w:val="00F31382"/>
    <w:rsid w:val="00F35829"/>
    <w:rsid w:val="00F37250"/>
    <w:rsid w:val="00F42868"/>
    <w:rsid w:val="00F465A7"/>
    <w:rsid w:val="00F46A07"/>
    <w:rsid w:val="00F50B7C"/>
    <w:rsid w:val="00F5202D"/>
    <w:rsid w:val="00F52CF6"/>
    <w:rsid w:val="00F54496"/>
    <w:rsid w:val="00F60B98"/>
    <w:rsid w:val="00F61097"/>
    <w:rsid w:val="00F64477"/>
    <w:rsid w:val="00F74345"/>
    <w:rsid w:val="00F74441"/>
    <w:rsid w:val="00F77092"/>
    <w:rsid w:val="00F77F30"/>
    <w:rsid w:val="00F80633"/>
    <w:rsid w:val="00F82589"/>
    <w:rsid w:val="00F82B19"/>
    <w:rsid w:val="00F8523B"/>
    <w:rsid w:val="00F90AA7"/>
    <w:rsid w:val="00F9212D"/>
    <w:rsid w:val="00FA301A"/>
    <w:rsid w:val="00FA406A"/>
    <w:rsid w:val="00FA5CB6"/>
    <w:rsid w:val="00FB11F8"/>
    <w:rsid w:val="00FB4293"/>
    <w:rsid w:val="00FC66AC"/>
    <w:rsid w:val="00FD18F4"/>
    <w:rsid w:val="00FD6F70"/>
    <w:rsid w:val="00FD74B4"/>
    <w:rsid w:val="00FE58E9"/>
    <w:rsid w:val="00FF0189"/>
    <w:rsid w:val="00FF175E"/>
    <w:rsid w:val="00FF2150"/>
    <w:rsid w:val="00FF6FCE"/>
    <w:rsid w:val="00FF7518"/>
    <w:rsid w:val="00FF7FD8"/>
    <w:rsid w:val="0106732F"/>
    <w:rsid w:val="01125BC3"/>
    <w:rsid w:val="01313718"/>
    <w:rsid w:val="01844940"/>
    <w:rsid w:val="01E810DC"/>
    <w:rsid w:val="023A30D9"/>
    <w:rsid w:val="032B4968"/>
    <w:rsid w:val="034F5935"/>
    <w:rsid w:val="03514B86"/>
    <w:rsid w:val="037B7F97"/>
    <w:rsid w:val="039D00EB"/>
    <w:rsid w:val="04074D01"/>
    <w:rsid w:val="04411539"/>
    <w:rsid w:val="04541ADD"/>
    <w:rsid w:val="04563761"/>
    <w:rsid w:val="047A17A3"/>
    <w:rsid w:val="04812FB5"/>
    <w:rsid w:val="048B5BE2"/>
    <w:rsid w:val="048F5DF3"/>
    <w:rsid w:val="05677DF9"/>
    <w:rsid w:val="056C06CE"/>
    <w:rsid w:val="05742AC8"/>
    <w:rsid w:val="05895613"/>
    <w:rsid w:val="05BB7721"/>
    <w:rsid w:val="05F40DA5"/>
    <w:rsid w:val="06352F05"/>
    <w:rsid w:val="063E7D85"/>
    <w:rsid w:val="06C0533B"/>
    <w:rsid w:val="06C662D7"/>
    <w:rsid w:val="06CE1DB6"/>
    <w:rsid w:val="06F1019F"/>
    <w:rsid w:val="070875E0"/>
    <w:rsid w:val="07293586"/>
    <w:rsid w:val="07295285"/>
    <w:rsid w:val="074234FA"/>
    <w:rsid w:val="074B1659"/>
    <w:rsid w:val="07770C56"/>
    <w:rsid w:val="0785017C"/>
    <w:rsid w:val="07866209"/>
    <w:rsid w:val="07CE21D5"/>
    <w:rsid w:val="07DD5AF2"/>
    <w:rsid w:val="07E444FD"/>
    <w:rsid w:val="085E72AA"/>
    <w:rsid w:val="089C64BD"/>
    <w:rsid w:val="092217DD"/>
    <w:rsid w:val="093A7294"/>
    <w:rsid w:val="095447D1"/>
    <w:rsid w:val="0A0D34F6"/>
    <w:rsid w:val="0A176095"/>
    <w:rsid w:val="0A310FDA"/>
    <w:rsid w:val="0A4061BD"/>
    <w:rsid w:val="0A6914A6"/>
    <w:rsid w:val="0ACF50AB"/>
    <w:rsid w:val="0AF65653"/>
    <w:rsid w:val="0B5E5DFE"/>
    <w:rsid w:val="0B6426FD"/>
    <w:rsid w:val="0BA47589"/>
    <w:rsid w:val="0BA750B8"/>
    <w:rsid w:val="0BA93092"/>
    <w:rsid w:val="0BCB4B16"/>
    <w:rsid w:val="0BD065D0"/>
    <w:rsid w:val="0BD27BF6"/>
    <w:rsid w:val="0C393B45"/>
    <w:rsid w:val="0CA41DB2"/>
    <w:rsid w:val="0CD87956"/>
    <w:rsid w:val="0D080EBF"/>
    <w:rsid w:val="0D181FDD"/>
    <w:rsid w:val="0D854DA3"/>
    <w:rsid w:val="0D9A7169"/>
    <w:rsid w:val="0DBD6B0D"/>
    <w:rsid w:val="0DC56E17"/>
    <w:rsid w:val="0DE01CFE"/>
    <w:rsid w:val="0DE150B8"/>
    <w:rsid w:val="0E085869"/>
    <w:rsid w:val="0E110D06"/>
    <w:rsid w:val="0E482E68"/>
    <w:rsid w:val="0E5C3E19"/>
    <w:rsid w:val="0E760A58"/>
    <w:rsid w:val="0EBB3568"/>
    <w:rsid w:val="0ED72E93"/>
    <w:rsid w:val="0ED81E48"/>
    <w:rsid w:val="0EDB7766"/>
    <w:rsid w:val="0F13775A"/>
    <w:rsid w:val="0F90463C"/>
    <w:rsid w:val="0F9A112B"/>
    <w:rsid w:val="0FAE09D7"/>
    <w:rsid w:val="103279AE"/>
    <w:rsid w:val="10590E1C"/>
    <w:rsid w:val="106D2F64"/>
    <w:rsid w:val="10B63710"/>
    <w:rsid w:val="10BB3E19"/>
    <w:rsid w:val="10C009C2"/>
    <w:rsid w:val="10FB0903"/>
    <w:rsid w:val="11104242"/>
    <w:rsid w:val="111C2F7A"/>
    <w:rsid w:val="113013DE"/>
    <w:rsid w:val="11481FAF"/>
    <w:rsid w:val="117B62DB"/>
    <w:rsid w:val="11B11E05"/>
    <w:rsid w:val="11C03A52"/>
    <w:rsid w:val="11C423F3"/>
    <w:rsid w:val="12054D96"/>
    <w:rsid w:val="121970E0"/>
    <w:rsid w:val="122B06C2"/>
    <w:rsid w:val="12B103B4"/>
    <w:rsid w:val="12DE1C63"/>
    <w:rsid w:val="12E802EB"/>
    <w:rsid w:val="12EB4FDC"/>
    <w:rsid w:val="13014293"/>
    <w:rsid w:val="13951726"/>
    <w:rsid w:val="13DC1FB6"/>
    <w:rsid w:val="14163F13"/>
    <w:rsid w:val="141B5F3A"/>
    <w:rsid w:val="14213E6D"/>
    <w:rsid w:val="143459A2"/>
    <w:rsid w:val="14396509"/>
    <w:rsid w:val="1447165C"/>
    <w:rsid w:val="145F228C"/>
    <w:rsid w:val="14CC5D2A"/>
    <w:rsid w:val="15E65158"/>
    <w:rsid w:val="161C5924"/>
    <w:rsid w:val="16234781"/>
    <w:rsid w:val="16842491"/>
    <w:rsid w:val="168A710F"/>
    <w:rsid w:val="16A1427F"/>
    <w:rsid w:val="16CD083B"/>
    <w:rsid w:val="16F511B2"/>
    <w:rsid w:val="17521041"/>
    <w:rsid w:val="17735226"/>
    <w:rsid w:val="177B24E6"/>
    <w:rsid w:val="17A171C3"/>
    <w:rsid w:val="17B60B79"/>
    <w:rsid w:val="17BC4227"/>
    <w:rsid w:val="17D75ED1"/>
    <w:rsid w:val="17DA47FB"/>
    <w:rsid w:val="17E943A8"/>
    <w:rsid w:val="181E75EB"/>
    <w:rsid w:val="182B6AA0"/>
    <w:rsid w:val="18606EB3"/>
    <w:rsid w:val="18646D87"/>
    <w:rsid w:val="186706FF"/>
    <w:rsid w:val="18C96881"/>
    <w:rsid w:val="19167692"/>
    <w:rsid w:val="19386B7A"/>
    <w:rsid w:val="19CF6119"/>
    <w:rsid w:val="1A1C66C0"/>
    <w:rsid w:val="1A42393B"/>
    <w:rsid w:val="1A4D4EB9"/>
    <w:rsid w:val="1B046F80"/>
    <w:rsid w:val="1B3267B5"/>
    <w:rsid w:val="1B7D4727"/>
    <w:rsid w:val="1B7D7DED"/>
    <w:rsid w:val="1BC25DC8"/>
    <w:rsid w:val="1BF57933"/>
    <w:rsid w:val="1C5E7925"/>
    <w:rsid w:val="1C887FC8"/>
    <w:rsid w:val="1C9B7C37"/>
    <w:rsid w:val="1CA92A29"/>
    <w:rsid w:val="1CC211A6"/>
    <w:rsid w:val="1CDD6FE4"/>
    <w:rsid w:val="1D5F6196"/>
    <w:rsid w:val="1D6132A5"/>
    <w:rsid w:val="1D8B312B"/>
    <w:rsid w:val="1D8E56D5"/>
    <w:rsid w:val="1DCB45A1"/>
    <w:rsid w:val="1DD4652F"/>
    <w:rsid w:val="1DF65B53"/>
    <w:rsid w:val="1E5D51C0"/>
    <w:rsid w:val="1E74577B"/>
    <w:rsid w:val="1E7A43DA"/>
    <w:rsid w:val="1E8A76A0"/>
    <w:rsid w:val="1EAD74F0"/>
    <w:rsid w:val="1EB277FE"/>
    <w:rsid w:val="1EBE28C7"/>
    <w:rsid w:val="1EE7180F"/>
    <w:rsid w:val="1F6B768F"/>
    <w:rsid w:val="1FDF4F68"/>
    <w:rsid w:val="1FE7539E"/>
    <w:rsid w:val="20002C39"/>
    <w:rsid w:val="20097292"/>
    <w:rsid w:val="203942EC"/>
    <w:rsid w:val="20963CB8"/>
    <w:rsid w:val="209E5F51"/>
    <w:rsid w:val="20A5545C"/>
    <w:rsid w:val="20B07FB6"/>
    <w:rsid w:val="210D26FB"/>
    <w:rsid w:val="213B74B1"/>
    <w:rsid w:val="213C4936"/>
    <w:rsid w:val="215A2310"/>
    <w:rsid w:val="21A04F3F"/>
    <w:rsid w:val="21CA62D3"/>
    <w:rsid w:val="21DE318A"/>
    <w:rsid w:val="21E059ED"/>
    <w:rsid w:val="21EF5B80"/>
    <w:rsid w:val="21FE2DE6"/>
    <w:rsid w:val="22576990"/>
    <w:rsid w:val="2269218C"/>
    <w:rsid w:val="229C4EAB"/>
    <w:rsid w:val="22C720E3"/>
    <w:rsid w:val="22FF35CB"/>
    <w:rsid w:val="230E452F"/>
    <w:rsid w:val="23146638"/>
    <w:rsid w:val="23365E69"/>
    <w:rsid w:val="23E06F4C"/>
    <w:rsid w:val="243C25FD"/>
    <w:rsid w:val="245C0C1F"/>
    <w:rsid w:val="24AF2A50"/>
    <w:rsid w:val="24C745BD"/>
    <w:rsid w:val="24D72AC8"/>
    <w:rsid w:val="24D7410A"/>
    <w:rsid w:val="24F37CC0"/>
    <w:rsid w:val="252D53FE"/>
    <w:rsid w:val="255D0F1D"/>
    <w:rsid w:val="258E50DA"/>
    <w:rsid w:val="25BB445D"/>
    <w:rsid w:val="25C74149"/>
    <w:rsid w:val="25EC2D81"/>
    <w:rsid w:val="261849A4"/>
    <w:rsid w:val="261F0A94"/>
    <w:rsid w:val="264528BD"/>
    <w:rsid w:val="265F2CE3"/>
    <w:rsid w:val="26662A71"/>
    <w:rsid w:val="269C3901"/>
    <w:rsid w:val="26AF3049"/>
    <w:rsid w:val="27035F16"/>
    <w:rsid w:val="27D02AB1"/>
    <w:rsid w:val="27D15DD1"/>
    <w:rsid w:val="27F34568"/>
    <w:rsid w:val="28171445"/>
    <w:rsid w:val="281B71DC"/>
    <w:rsid w:val="283057E4"/>
    <w:rsid w:val="283F090E"/>
    <w:rsid w:val="28787E1A"/>
    <w:rsid w:val="28A76295"/>
    <w:rsid w:val="28C94DDC"/>
    <w:rsid w:val="28CF3DE8"/>
    <w:rsid w:val="28D87CBF"/>
    <w:rsid w:val="28F16026"/>
    <w:rsid w:val="29206EB8"/>
    <w:rsid w:val="29690D5D"/>
    <w:rsid w:val="298C1E38"/>
    <w:rsid w:val="299D3464"/>
    <w:rsid w:val="29B54BE2"/>
    <w:rsid w:val="29E325E0"/>
    <w:rsid w:val="2A06419A"/>
    <w:rsid w:val="2A221D37"/>
    <w:rsid w:val="2A3873C3"/>
    <w:rsid w:val="2A452503"/>
    <w:rsid w:val="2A5D6579"/>
    <w:rsid w:val="2A877E02"/>
    <w:rsid w:val="2A920298"/>
    <w:rsid w:val="2B1971F4"/>
    <w:rsid w:val="2B333099"/>
    <w:rsid w:val="2B847DE9"/>
    <w:rsid w:val="2BA936A8"/>
    <w:rsid w:val="2BAA10EE"/>
    <w:rsid w:val="2BC121AD"/>
    <w:rsid w:val="2BE00A9D"/>
    <w:rsid w:val="2BE467AD"/>
    <w:rsid w:val="2C315A5A"/>
    <w:rsid w:val="2C3544B4"/>
    <w:rsid w:val="2C39011B"/>
    <w:rsid w:val="2C7E0DA9"/>
    <w:rsid w:val="2C872AF6"/>
    <w:rsid w:val="2CC73913"/>
    <w:rsid w:val="2CD0457F"/>
    <w:rsid w:val="2CD07DA8"/>
    <w:rsid w:val="2D0773F8"/>
    <w:rsid w:val="2D585C1D"/>
    <w:rsid w:val="2D9E56F5"/>
    <w:rsid w:val="2DAB1875"/>
    <w:rsid w:val="2E141EF5"/>
    <w:rsid w:val="2E667F96"/>
    <w:rsid w:val="2E8226AB"/>
    <w:rsid w:val="2E8E45D0"/>
    <w:rsid w:val="2EBD26EC"/>
    <w:rsid w:val="2EED48DD"/>
    <w:rsid w:val="2F3F11F4"/>
    <w:rsid w:val="2F6720EA"/>
    <w:rsid w:val="2F832C79"/>
    <w:rsid w:val="2F912ACC"/>
    <w:rsid w:val="2F9652B7"/>
    <w:rsid w:val="2F9C22B1"/>
    <w:rsid w:val="2FAB69BB"/>
    <w:rsid w:val="2FAD3C32"/>
    <w:rsid w:val="2FBD25A7"/>
    <w:rsid w:val="2FEF2D58"/>
    <w:rsid w:val="302A40DB"/>
    <w:rsid w:val="30580BC9"/>
    <w:rsid w:val="311E2ED7"/>
    <w:rsid w:val="312344E9"/>
    <w:rsid w:val="315C449C"/>
    <w:rsid w:val="318800B8"/>
    <w:rsid w:val="31B82709"/>
    <w:rsid w:val="31BA1328"/>
    <w:rsid w:val="31CB4240"/>
    <w:rsid w:val="32131140"/>
    <w:rsid w:val="32400B34"/>
    <w:rsid w:val="326649FA"/>
    <w:rsid w:val="329E6876"/>
    <w:rsid w:val="32E77AF0"/>
    <w:rsid w:val="3327126A"/>
    <w:rsid w:val="3364098B"/>
    <w:rsid w:val="33AE4708"/>
    <w:rsid w:val="33D934D4"/>
    <w:rsid w:val="33DF38C4"/>
    <w:rsid w:val="33EC7B9C"/>
    <w:rsid w:val="33FE2F6A"/>
    <w:rsid w:val="3426434C"/>
    <w:rsid w:val="348009D9"/>
    <w:rsid w:val="34990482"/>
    <w:rsid w:val="34ED7850"/>
    <w:rsid w:val="34F053F7"/>
    <w:rsid w:val="34F30AB6"/>
    <w:rsid w:val="34FB796B"/>
    <w:rsid w:val="35162C9D"/>
    <w:rsid w:val="35586EC5"/>
    <w:rsid w:val="35B47C0B"/>
    <w:rsid w:val="36074A7F"/>
    <w:rsid w:val="36290B4C"/>
    <w:rsid w:val="36923549"/>
    <w:rsid w:val="36B5494D"/>
    <w:rsid w:val="36B75FBF"/>
    <w:rsid w:val="36FB4891"/>
    <w:rsid w:val="374A67FA"/>
    <w:rsid w:val="379C424B"/>
    <w:rsid w:val="3806155D"/>
    <w:rsid w:val="380A0E89"/>
    <w:rsid w:val="38600359"/>
    <w:rsid w:val="38802947"/>
    <w:rsid w:val="38C60876"/>
    <w:rsid w:val="38CE2C99"/>
    <w:rsid w:val="38D64DD4"/>
    <w:rsid w:val="38F12CD3"/>
    <w:rsid w:val="38F748FB"/>
    <w:rsid w:val="38F94775"/>
    <w:rsid w:val="392971ED"/>
    <w:rsid w:val="39525DAF"/>
    <w:rsid w:val="39651A0D"/>
    <w:rsid w:val="39BA3914"/>
    <w:rsid w:val="3A2347F5"/>
    <w:rsid w:val="3A4E32EE"/>
    <w:rsid w:val="3A5B0EA8"/>
    <w:rsid w:val="3A8126A8"/>
    <w:rsid w:val="3A8E6694"/>
    <w:rsid w:val="3ACD095D"/>
    <w:rsid w:val="3B3763D1"/>
    <w:rsid w:val="3B535A85"/>
    <w:rsid w:val="3B843394"/>
    <w:rsid w:val="3B860CA9"/>
    <w:rsid w:val="3B984165"/>
    <w:rsid w:val="3C252670"/>
    <w:rsid w:val="3C3708F1"/>
    <w:rsid w:val="3C3A11AA"/>
    <w:rsid w:val="3CAD4429"/>
    <w:rsid w:val="3CC34A6D"/>
    <w:rsid w:val="3CDA245A"/>
    <w:rsid w:val="3CEE0A37"/>
    <w:rsid w:val="3CF23741"/>
    <w:rsid w:val="3D673DEF"/>
    <w:rsid w:val="3D74475E"/>
    <w:rsid w:val="3D7655A3"/>
    <w:rsid w:val="3DF62B5B"/>
    <w:rsid w:val="3E55392B"/>
    <w:rsid w:val="3EB457E4"/>
    <w:rsid w:val="3ED55C14"/>
    <w:rsid w:val="3EFA7DA0"/>
    <w:rsid w:val="3F660E74"/>
    <w:rsid w:val="3F8B380F"/>
    <w:rsid w:val="3FA51A35"/>
    <w:rsid w:val="402C0F74"/>
    <w:rsid w:val="40447581"/>
    <w:rsid w:val="407A6407"/>
    <w:rsid w:val="407F13EA"/>
    <w:rsid w:val="409F0D19"/>
    <w:rsid w:val="41367B92"/>
    <w:rsid w:val="415C79E3"/>
    <w:rsid w:val="417332A4"/>
    <w:rsid w:val="417F4FC7"/>
    <w:rsid w:val="41D57EC1"/>
    <w:rsid w:val="41F158C4"/>
    <w:rsid w:val="41F35807"/>
    <w:rsid w:val="42091B01"/>
    <w:rsid w:val="423A3BCC"/>
    <w:rsid w:val="42726585"/>
    <w:rsid w:val="42AE1A60"/>
    <w:rsid w:val="43056536"/>
    <w:rsid w:val="43115925"/>
    <w:rsid w:val="432D44B5"/>
    <w:rsid w:val="433A6FE6"/>
    <w:rsid w:val="4350713C"/>
    <w:rsid w:val="436653E0"/>
    <w:rsid w:val="438E0297"/>
    <w:rsid w:val="43AD0237"/>
    <w:rsid w:val="43CA2FB0"/>
    <w:rsid w:val="43F24243"/>
    <w:rsid w:val="44CD14E0"/>
    <w:rsid w:val="4541586E"/>
    <w:rsid w:val="458946E9"/>
    <w:rsid w:val="458C4037"/>
    <w:rsid w:val="45BF387F"/>
    <w:rsid w:val="460506E3"/>
    <w:rsid w:val="461977E7"/>
    <w:rsid w:val="468C48C7"/>
    <w:rsid w:val="46D955A7"/>
    <w:rsid w:val="46FA5CD4"/>
    <w:rsid w:val="46FD42A0"/>
    <w:rsid w:val="47042BDB"/>
    <w:rsid w:val="47113B72"/>
    <w:rsid w:val="47133957"/>
    <w:rsid w:val="4779329E"/>
    <w:rsid w:val="47A07E0C"/>
    <w:rsid w:val="47D76015"/>
    <w:rsid w:val="47F540DC"/>
    <w:rsid w:val="480F65BB"/>
    <w:rsid w:val="483B76E0"/>
    <w:rsid w:val="4870272E"/>
    <w:rsid w:val="48921D9F"/>
    <w:rsid w:val="48A72E63"/>
    <w:rsid w:val="48FE059C"/>
    <w:rsid w:val="4920738E"/>
    <w:rsid w:val="49BB2412"/>
    <w:rsid w:val="49DC7715"/>
    <w:rsid w:val="49E06ADE"/>
    <w:rsid w:val="49F13414"/>
    <w:rsid w:val="4A023139"/>
    <w:rsid w:val="4A4308BE"/>
    <w:rsid w:val="4A5E5C7C"/>
    <w:rsid w:val="4A64704B"/>
    <w:rsid w:val="4A7B576F"/>
    <w:rsid w:val="4A7D128C"/>
    <w:rsid w:val="4A9E5010"/>
    <w:rsid w:val="4AAF5302"/>
    <w:rsid w:val="4AC5742F"/>
    <w:rsid w:val="4AC70329"/>
    <w:rsid w:val="4AE04B61"/>
    <w:rsid w:val="4AEC53D9"/>
    <w:rsid w:val="4B1A7D17"/>
    <w:rsid w:val="4B7B00D7"/>
    <w:rsid w:val="4C4A0649"/>
    <w:rsid w:val="4C4B4D2E"/>
    <w:rsid w:val="4CE470D3"/>
    <w:rsid w:val="4CFA6A2E"/>
    <w:rsid w:val="4D02331D"/>
    <w:rsid w:val="4D173E0C"/>
    <w:rsid w:val="4D7B5AD0"/>
    <w:rsid w:val="4DE60B27"/>
    <w:rsid w:val="4DEC4FB0"/>
    <w:rsid w:val="4DF559B2"/>
    <w:rsid w:val="4DFE3005"/>
    <w:rsid w:val="4E075D8A"/>
    <w:rsid w:val="4E233164"/>
    <w:rsid w:val="4E3A705A"/>
    <w:rsid w:val="4E3F512E"/>
    <w:rsid w:val="4E5F0613"/>
    <w:rsid w:val="4E8E4320"/>
    <w:rsid w:val="4E905E2C"/>
    <w:rsid w:val="4EC70B92"/>
    <w:rsid w:val="4F3E6021"/>
    <w:rsid w:val="4F61273C"/>
    <w:rsid w:val="4F923239"/>
    <w:rsid w:val="4FB33F8F"/>
    <w:rsid w:val="4FC62A8C"/>
    <w:rsid w:val="4FD04D00"/>
    <w:rsid w:val="4FE20F0D"/>
    <w:rsid w:val="500F22B8"/>
    <w:rsid w:val="503B161C"/>
    <w:rsid w:val="50504C4B"/>
    <w:rsid w:val="506D2F32"/>
    <w:rsid w:val="509C6E7C"/>
    <w:rsid w:val="50A75051"/>
    <w:rsid w:val="50C31824"/>
    <w:rsid w:val="51021E5F"/>
    <w:rsid w:val="51092C65"/>
    <w:rsid w:val="5162104E"/>
    <w:rsid w:val="516C7467"/>
    <w:rsid w:val="51B86551"/>
    <w:rsid w:val="52037357"/>
    <w:rsid w:val="52821A86"/>
    <w:rsid w:val="52831274"/>
    <w:rsid w:val="529749F5"/>
    <w:rsid w:val="52A12B3D"/>
    <w:rsid w:val="52A16A38"/>
    <w:rsid w:val="52C51D79"/>
    <w:rsid w:val="52FB0B83"/>
    <w:rsid w:val="530662E3"/>
    <w:rsid w:val="53576D01"/>
    <w:rsid w:val="53A039CC"/>
    <w:rsid w:val="53A1505A"/>
    <w:rsid w:val="53D07F45"/>
    <w:rsid w:val="54063E08"/>
    <w:rsid w:val="543437E8"/>
    <w:rsid w:val="544E6220"/>
    <w:rsid w:val="54707211"/>
    <w:rsid w:val="54A27A6C"/>
    <w:rsid w:val="54A8642C"/>
    <w:rsid w:val="55420FCC"/>
    <w:rsid w:val="559B174B"/>
    <w:rsid w:val="55CE02B5"/>
    <w:rsid w:val="55CE0CF4"/>
    <w:rsid w:val="55E6332B"/>
    <w:rsid w:val="562B24EB"/>
    <w:rsid w:val="5650190B"/>
    <w:rsid w:val="56B22A9C"/>
    <w:rsid w:val="56EA25CC"/>
    <w:rsid w:val="57A203EE"/>
    <w:rsid w:val="57B72A76"/>
    <w:rsid w:val="58047084"/>
    <w:rsid w:val="58586CFE"/>
    <w:rsid w:val="58C4421D"/>
    <w:rsid w:val="58D16C1F"/>
    <w:rsid w:val="58E6780D"/>
    <w:rsid w:val="58F40BE4"/>
    <w:rsid w:val="59216BD4"/>
    <w:rsid w:val="59A87AF8"/>
    <w:rsid w:val="59D61584"/>
    <w:rsid w:val="59F574B4"/>
    <w:rsid w:val="5A3C747D"/>
    <w:rsid w:val="5A523615"/>
    <w:rsid w:val="5A5E007F"/>
    <w:rsid w:val="5A9E4DFC"/>
    <w:rsid w:val="5ABE2233"/>
    <w:rsid w:val="5B261B5E"/>
    <w:rsid w:val="5B276D18"/>
    <w:rsid w:val="5B587C99"/>
    <w:rsid w:val="5B973770"/>
    <w:rsid w:val="5BDF5D95"/>
    <w:rsid w:val="5C1D1C71"/>
    <w:rsid w:val="5C2D490C"/>
    <w:rsid w:val="5C7435C7"/>
    <w:rsid w:val="5CD36F0F"/>
    <w:rsid w:val="5CF635A9"/>
    <w:rsid w:val="5CF75444"/>
    <w:rsid w:val="5D5F6FB6"/>
    <w:rsid w:val="5D9B6819"/>
    <w:rsid w:val="5DB138DC"/>
    <w:rsid w:val="5DBA29AE"/>
    <w:rsid w:val="5DC91888"/>
    <w:rsid w:val="5DF83F11"/>
    <w:rsid w:val="5DF87A0F"/>
    <w:rsid w:val="5E1E2EAD"/>
    <w:rsid w:val="5E703D3A"/>
    <w:rsid w:val="5E834C0E"/>
    <w:rsid w:val="5ED72882"/>
    <w:rsid w:val="5EE4753E"/>
    <w:rsid w:val="5F1030B4"/>
    <w:rsid w:val="5F197D94"/>
    <w:rsid w:val="5F1A2B43"/>
    <w:rsid w:val="5FB837BB"/>
    <w:rsid w:val="5FF561ED"/>
    <w:rsid w:val="5FF66FD6"/>
    <w:rsid w:val="601B460C"/>
    <w:rsid w:val="606F7BF8"/>
    <w:rsid w:val="608F41B1"/>
    <w:rsid w:val="61A65613"/>
    <w:rsid w:val="61D43F00"/>
    <w:rsid w:val="61D64C5E"/>
    <w:rsid w:val="61FA07CF"/>
    <w:rsid w:val="622404A1"/>
    <w:rsid w:val="62364782"/>
    <w:rsid w:val="62376B51"/>
    <w:rsid w:val="6242071A"/>
    <w:rsid w:val="62D9421C"/>
    <w:rsid w:val="62E4426D"/>
    <w:rsid w:val="635F752E"/>
    <w:rsid w:val="636052EF"/>
    <w:rsid w:val="637723A5"/>
    <w:rsid w:val="63A33D30"/>
    <w:rsid w:val="63A8062E"/>
    <w:rsid w:val="63D40BE9"/>
    <w:rsid w:val="63E0211F"/>
    <w:rsid w:val="63F6484A"/>
    <w:rsid w:val="640745B9"/>
    <w:rsid w:val="641E2354"/>
    <w:rsid w:val="64460DB9"/>
    <w:rsid w:val="645908E8"/>
    <w:rsid w:val="64BE30E6"/>
    <w:rsid w:val="64C250CC"/>
    <w:rsid w:val="64CD433A"/>
    <w:rsid w:val="653229A0"/>
    <w:rsid w:val="65373578"/>
    <w:rsid w:val="657F6C39"/>
    <w:rsid w:val="660137D0"/>
    <w:rsid w:val="66444CB0"/>
    <w:rsid w:val="673F2C7A"/>
    <w:rsid w:val="67985F96"/>
    <w:rsid w:val="67AF04EF"/>
    <w:rsid w:val="67C8437A"/>
    <w:rsid w:val="681F6961"/>
    <w:rsid w:val="68274F9C"/>
    <w:rsid w:val="684C320F"/>
    <w:rsid w:val="68610A2F"/>
    <w:rsid w:val="68805514"/>
    <w:rsid w:val="68AF188A"/>
    <w:rsid w:val="69442632"/>
    <w:rsid w:val="694E2071"/>
    <w:rsid w:val="69666E7D"/>
    <w:rsid w:val="69714405"/>
    <w:rsid w:val="697A3B33"/>
    <w:rsid w:val="6981767F"/>
    <w:rsid w:val="699E2456"/>
    <w:rsid w:val="69B1626F"/>
    <w:rsid w:val="6A6F1A4D"/>
    <w:rsid w:val="6B322639"/>
    <w:rsid w:val="6B5A7629"/>
    <w:rsid w:val="6B6C1672"/>
    <w:rsid w:val="6C636C38"/>
    <w:rsid w:val="6C8E4B6A"/>
    <w:rsid w:val="6C9F16E4"/>
    <w:rsid w:val="6CFC279A"/>
    <w:rsid w:val="6D517F2D"/>
    <w:rsid w:val="6D7118A5"/>
    <w:rsid w:val="6D7C3D46"/>
    <w:rsid w:val="6DB34098"/>
    <w:rsid w:val="6DB545B6"/>
    <w:rsid w:val="6DB60876"/>
    <w:rsid w:val="6DB6213C"/>
    <w:rsid w:val="6DE309C1"/>
    <w:rsid w:val="6DE65AC0"/>
    <w:rsid w:val="6DFE5591"/>
    <w:rsid w:val="6E2D0866"/>
    <w:rsid w:val="6E4375A0"/>
    <w:rsid w:val="6E514CED"/>
    <w:rsid w:val="6E793CF7"/>
    <w:rsid w:val="6E79491A"/>
    <w:rsid w:val="6EB563D5"/>
    <w:rsid w:val="6EB6449E"/>
    <w:rsid w:val="6F225983"/>
    <w:rsid w:val="6F341B35"/>
    <w:rsid w:val="6F39244D"/>
    <w:rsid w:val="6F436749"/>
    <w:rsid w:val="6FDF76E4"/>
    <w:rsid w:val="6FFC5590"/>
    <w:rsid w:val="70301DA3"/>
    <w:rsid w:val="706D1DD0"/>
    <w:rsid w:val="70856B87"/>
    <w:rsid w:val="70AA78F9"/>
    <w:rsid w:val="70B02765"/>
    <w:rsid w:val="70B13D58"/>
    <w:rsid w:val="70D527EE"/>
    <w:rsid w:val="70DD2E5A"/>
    <w:rsid w:val="70F21646"/>
    <w:rsid w:val="70FB337A"/>
    <w:rsid w:val="715B5300"/>
    <w:rsid w:val="715F4BD7"/>
    <w:rsid w:val="71D27F8A"/>
    <w:rsid w:val="71F744C6"/>
    <w:rsid w:val="71F960CF"/>
    <w:rsid w:val="723940B5"/>
    <w:rsid w:val="72424BDE"/>
    <w:rsid w:val="72BB5231"/>
    <w:rsid w:val="731F5D5E"/>
    <w:rsid w:val="7338105E"/>
    <w:rsid w:val="73DB3AD2"/>
    <w:rsid w:val="73DD7AD6"/>
    <w:rsid w:val="73F0799B"/>
    <w:rsid w:val="73FE55DA"/>
    <w:rsid w:val="741E793C"/>
    <w:rsid w:val="74583EA7"/>
    <w:rsid w:val="74AE1D7D"/>
    <w:rsid w:val="74D1717F"/>
    <w:rsid w:val="74D70050"/>
    <w:rsid w:val="75361E53"/>
    <w:rsid w:val="753C5CB2"/>
    <w:rsid w:val="756243FB"/>
    <w:rsid w:val="75670210"/>
    <w:rsid w:val="758D75E2"/>
    <w:rsid w:val="759F5923"/>
    <w:rsid w:val="765E777E"/>
    <w:rsid w:val="766C7DF8"/>
    <w:rsid w:val="7690786B"/>
    <w:rsid w:val="76BB6E67"/>
    <w:rsid w:val="76D70133"/>
    <w:rsid w:val="76E00193"/>
    <w:rsid w:val="76E927E8"/>
    <w:rsid w:val="77004391"/>
    <w:rsid w:val="77043E82"/>
    <w:rsid w:val="77212C81"/>
    <w:rsid w:val="773D3581"/>
    <w:rsid w:val="77762421"/>
    <w:rsid w:val="777B1403"/>
    <w:rsid w:val="77FA337E"/>
    <w:rsid w:val="780F09F4"/>
    <w:rsid w:val="78151199"/>
    <w:rsid w:val="7851462D"/>
    <w:rsid w:val="78561194"/>
    <w:rsid w:val="78590179"/>
    <w:rsid w:val="788F29DC"/>
    <w:rsid w:val="78995E50"/>
    <w:rsid w:val="789C4F47"/>
    <w:rsid w:val="78A90480"/>
    <w:rsid w:val="78CC6E11"/>
    <w:rsid w:val="78EE1130"/>
    <w:rsid w:val="794B3FEE"/>
    <w:rsid w:val="79686085"/>
    <w:rsid w:val="79701CA2"/>
    <w:rsid w:val="79811327"/>
    <w:rsid w:val="79BE6EAD"/>
    <w:rsid w:val="79E574B1"/>
    <w:rsid w:val="7A146636"/>
    <w:rsid w:val="7A364017"/>
    <w:rsid w:val="7A8265E1"/>
    <w:rsid w:val="7AF34939"/>
    <w:rsid w:val="7B1D0CD3"/>
    <w:rsid w:val="7B257536"/>
    <w:rsid w:val="7B5C09C5"/>
    <w:rsid w:val="7B686D42"/>
    <w:rsid w:val="7B734C98"/>
    <w:rsid w:val="7B841746"/>
    <w:rsid w:val="7BC03A2C"/>
    <w:rsid w:val="7BDE61E6"/>
    <w:rsid w:val="7BFF548F"/>
    <w:rsid w:val="7C0C7C47"/>
    <w:rsid w:val="7C6A05BD"/>
    <w:rsid w:val="7C890A0F"/>
    <w:rsid w:val="7C907601"/>
    <w:rsid w:val="7CAD2A09"/>
    <w:rsid w:val="7CC46183"/>
    <w:rsid w:val="7CE808EB"/>
    <w:rsid w:val="7D0239FF"/>
    <w:rsid w:val="7D06326C"/>
    <w:rsid w:val="7D3D426E"/>
    <w:rsid w:val="7D5E40CD"/>
    <w:rsid w:val="7D693BED"/>
    <w:rsid w:val="7DAC38F2"/>
    <w:rsid w:val="7DC41CAA"/>
    <w:rsid w:val="7DDE11D7"/>
    <w:rsid w:val="7E3F7723"/>
    <w:rsid w:val="7E435415"/>
    <w:rsid w:val="7E9107AE"/>
    <w:rsid w:val="7EA55E80"/>
    <w:rsid w:val="7F262618"/>
    <w:rsid w:val="7F3F242D"/>
    <w:rsid w:val="7F5259A6"/>
    <w:rsid w:val="7F895801"/>
    <w:rsid w:val="7FD04B41"/>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nhideWhenUsed="0" w:uiPriority="1"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36"/>
    <w:qFormat/>
    <w:uiPriority w:val="0"/>
    <w:pPr>
      <w:keepNext/>
      <w:overflowPunct w:val="0"/>
      <w:snapToGrid w:val="0"/>
      <w:jc w:val="center"/>
      <w:outlineLvl w:val="0"/>
    </w:pPr>
    <w:rPr>
      <w:rFonts w:eastAsia="黑体"/>
      <w:bCs/>
      <w:color w:val="000000"/>
      <w:kern w:val="44"/>
      <w:sz w:val="30"/>
      <w:szCs w:val="30"/>
    </w:rPr>
  </w:style>
  <w:style w:type="paragraph" w:styleId="3">
    <w:name w:val="heading 2"/>
    <w:basedOn w:val="1"/>
    <w:next w:val="1"/>
    <w:link w:val="37"/>
    <w:qFormat/>
    <w:uiPriority w:val="0"/>
    <w:pPr>
      <w:tabs>
        <w:tab w:val="left" w:pos="420"/>
      </w:tabs>
      <w:outlineLvl w:val="1"/>
    </w:pPr>
    <w:rPr>
      <w:rFonts w:cs="宋体"/>
      <w:b/>
      <w:bCs/>
      <w:sz w:val="28"/>
      <w:szCs w:val="30"/>
      <w:lang w:val="zh-CN" w:bidi="zh-CN"/>
    </w:rPr>
  </w:style>
  <w:style w:type="paragraph" w:styleId="4">
    <w:name w:val="heading 3"/>
    <w:basedOn w:val="1"/>
    <w:next w:val="1"/>
    <w:link w:val="38"/>
    <w:qFormat/>
    <w:uiPriority w:val="0"/>
    <w:pPr>
      <w:keepNext/>
      <w:keepLines/>
      <w:outlineLvl w:val="2"/>
    </w:pPr>
    <w:rPr>
      <w:b/>
      <w:bCs/>
      <w:szCs w:val="32"/>
    </w:rPr>
  </w:style>
  <w:style w:type="paragraph" w:styleId="5">
    <w:name w:val="heading 4"/>
    <w:basedOn w:val="1"/>
    <w:next w:val="1"/>
    <w:qFormat/>
    <w:uiPriority w:val="0"/>
    <w:pPr>
      <w:keepNext/>
      <w:keepLines/>
      <w:tabs>
        <w:tab w:val="left" w:pos="0"/>
      </w:tabs>
      <w:snapToGrid w:val="0"/>
      <w:outlineLvl w:val="3"/>
    </w:pPr>
    <w:rPr>
      <w:b/>
      <w:bCs/>
      <w:szCs w:val="28"/>
    </w:rPr>
  </w:style>
  <w:style w:type="paragraph" w:styleId="6">
    <w:name w:val="heading 6"/>
    <w:basedOn w:val="1"/>
    <w:next w:val="1"/>
    <w:qFormat/>
    <w:uiPriority w:val="1"/>
    <w:pPr>
      <w:spacing w:before="1"/>
      <w:ind w:left="118"/>
      <w:outlineLvl w:val="6"/>
    </w:pPr>
    <w:rPr>
      <w:rFonts w:ascii="仿宋" w:hAnsi="仿宋" w:eastAsia="仿宋" w:cs="仿宋"/>
      <w:b/>
      <w:bCs/>
      <w:sz w:val="24"/>
      <w:szCs w:val="24"/>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7">
    <w:name w:val="Normal Indent"/>
    <w:basedOn w:val="1"/>
    <w:next w:val="1"/>
    <w:qFormat/>
    <w:uiPriority w:val="0"/>
    <w:pPr>
      <w:ind w:firstLine="420"/>
    </w:pPr>
    <w:rPr>
      <w:rFonts w:ascii="Plotter" w:hAnsi="Plotter"/>
    </w:rPr>
  </w:style>
  <w:style w:type="paragraph" w:styleId="8">
    <w:name w:val="caption"/>
    <w:basedOn w:val="1"/>
    <w:next w:val="9"/>
    <w:qFormat/>
    <w:uiPriority w:val="0"/>
    <w:pPr>
      <w:spacing w:line="300" w:lineRule="auto"/>
      <w:jc w:val="center"/>
    </w:pPr>
    <w:rPr>
      <w:b/>
      <w:sz w:val="21"/>
      <w:szCs w:val="20"/>
    </w:rPr>
  </w:style>
  <w:style w:type="paragraph" w:styleId="9">
    <w:name w:val="Body Text First Indent"/>
    <w:basedOn w:val="10"/>
    <w:next w:val="11"/>
    <w:qFormat/>
    <w:uiPriority w:val="0"/>
    <w:pPr>
      <w:spacing w:line="360" w:lineRule="auto"/>
      <w:ind w:firstLine="420" w:firstLineChars="100"/>
    </w:pPr>
    <w:rPr>
      <w:rFonts w:ascii="Calibri" w:hAnsi="Calibri"/>
      <w:szCs w:val="22"/>
    </w:rPr>
  </w:style>
  <w:style w:type="paragraph" w:styleId="10">
    <w:name w:val="Body Text"/>
    <w:basedOn w:val="1"/>
    <w:next w:val="1"/>
    <w:link w:val="39"/>
    <w:qFormat/>
    <w:uiPriority w:val="0"/>
    <w:pPr>
      <w:widowControl/>
      <w:snapToGrid w:val="0"/>
      <w:spacing w:before="60" w:after="160" w:line="259" w:lineRule="auto"/>
      <w:ind w:right="113"/>
    </w:pPr>
    <w:rPr>
      <w:kern w:val="0"/>
      <w:sz w:val="18"/>
      <w:szCs w:val="18"/>
    </w:rPr>
  </w:style>
  <w:style w:type="paragraph" w:styleId="11">
    <w:name w:val="Body Text First Indent 2"/>
    <w:basedOn w:val="12"/>
    <w:next w:val="1"/>
    <w:qFormat/>
    <w:uiPriority w:val="0"/>
    <w:pPr>
      <w:ind w:firstLine="200" w:firstLineChars="200"/>
    </w:pPr>
    <w:rPr>
      <w:rFonts w:eastAsia="仿宋_GB2312"/>
      <w:sz w:val="28"/>
    </w:rPr>
  </w:style>
  <w:style w:type="paragraph" w:styleId="12">
    <w:name w:val="Body Text Indent"/>
    <w:basedOn w:val="1"/>
    <w:link w:val="41"/>
    <w:semiHidden/>
    <w:qFormat/>
    <w:uiPriority w:val="0"/>
    <w:pPr>
      <w:spacing w:after="120"/>
      <w:ind w:left="420" w:leftChars="200"/>
    </w:pPr>
  </w:style>
  <w:style w:type="paragraph" w:styleId="13">
    <w:name w:val="annotation text"/>
    <w:basedOn w:val="1"/>
    <w:link w:val="40"/>
    <w:semiHidden/>
    <w:qFormat/>
    <w:uiPriority w:val="0"/>
    <w:pPr>
      <w:jc w:val="left"/>
    </w:pPr>
    <w:rPr>
      <w:kern w:val="0"/>
      <w:sz w:val="20"/>
    </w:rPr>
  </w:style>
  <w:style w:type="paragraph" w:styleId="14">
    <w:name w:val="Plain Text"/>
    <w:basedOn w:val="1"/>
    <w:next w:val="15"/>
    <w:qFormat/>
    <w:uiPriority w:val="0"/>
    <w:pPr>
      <w:spacing w:line="240" w:lineRule="auto"/>
    </w:pPr>
    <w:rPr>
      <w:rFonts w:ascii="宋体" w:hAnsi="Courier New"/>
      <w:szCs w:val="20"/>
    </w:rPr>
  </w:style>
  <w:style w:type="paragraph" w:customStyle="1" w:styleId="15">
    <w:name w:val="正本"/>
    <w:basedOn w:val="1"/>
    <w:qFormat/>
    <w:uiPriority w:val="0"/>
    <w:pPr>
      <w:adjustRightInd w:val="0"/>
      <w:snapToGrid w:val="0"/>
      <w:ind w:firstLine="200" w:firstLineChars="200"/>
    </w:pPr>
    <w:rPr>
      <w:rFonts w:ascii="宋体" w:hAnsi="宋体"/>
    </w:rPr>
  </w:style>
  <w:style w:type="paragraph" w:styleId="16">
    <w:name w:val="Date"/>
    <w:basedOn w:val="1"/>
    <w:next w:val="1"/>
    <w:link w:val="42"/>
    <w:qFormat/>
    <w:uiPriority w:val="0"/>
    <w:pPr>
      <w:ind w:left="100" w:leftChars="2500"/>
    </w:pPr>
    <w:rPr>
      <w:kern w:val="0"/>
      <w:sz w:val="20"/>
    </w:rPr>
  </w:style>
  <w:style w:type="paragraph" w:styleId="17">
    <w:name w:val="Body Text Indent 2"/>
    <w:basedOn w:val="1"/>
    <w:next w:val="1"/>
    <w:qFormat/>
    <w:uiPriority w:val="0"/>
    <w:pPr>
      <w:widowControl/>
      <w:ind w:firstLine="430"/>
      <w:jc w:val="left"/>
    </w:pPr>
    <w:rPr>
      <w:kern w:val="0"/>
      <w:szCs w:val="20"/>
    </w:rPr>
  </w:style>
  <w:style w:type="paragraph" w:styleId="18">
    <w:name w:val="Balloon Text"/>
    <w:basedOn w:val="1"/>
    <w:link w:val="43"/>
    <w:semiHidden/>
    <w:qFormat/>
    <w:uiPriority w:val="0"/>
    <w:rPr>
      <w:sz w:val="18"/>
      <w:szCs w:val="18"/>
    </w:rPr>
  </w:style>
  <w:style w:type="paragraph" w:styleId="19">
    <w:name w:val="footer"/>
    <w:basedOn w:val="1"/>
    <w:link w:val="44"/>
    <w:qFormat/>
    <w:uiPriority w:val="99"/>
    <w:pPr>
      <w:tabs>
        <w:tab w:val="center" w:pos="4153"/>
        <w:tab w:val="right" w:pos="8306"/>
      </w:tabs>
      <w:snapToGrid w:val="0"/>
      <w:jc w:val="left"/>
    </w:pPr>
    <w:rPr>
      <w:sz w:val="18"/>
      <w:szCs w:val="18"/>
    </w:rPr>
  </w:style>
  <w:style w:type="paragraph" w:styleId="20">
    <w:name w:val="header"/>
    <w:basedOn w:val="1"/>
    <w:link w:val="45"/>
    <w:qFormat/>
    <w:uiPriority w:val="99"/>
    <w:pPr>
      <w:pBdr>
        <w:bottom w:val="single" w:color="auto" w:sz="6" w:space="1"/>
      </w:pBdr>
      <w:tabs>
        <w:tab w:val="center" w:pos="4153"/>
        <w:tab w:val="right" w:pos="8306"/>
      </w:tabs>
      <w:snapToGrid w:val="0"/>
      <w:jc w:val="center"/>
    </w:pPr>
    <w:rPr>
      <w:sz w:val="18"/>
      <w:szCs w:val="18"/>
    </w:rPr>
  </w:style>
  <w:style w:type="paragraph" w:styleId="21">
    <w:name w:val="List"/>
    <w:basedOn w:val="1"/>
    <w:qFormat/>
    <w:uiPriority w:val="0"/>
    <w:pPr>
      <w:ind w:left="200" w:hanging="200" w:hangingChars="200"/>
      <w:jc w:val="center"/>
    </w:pPr>
  </w:style>
  <w:style w:type="paragraph" w:styleId="22">
    <w:name w:val="toc 2"/>
    <w:basedOn w:val="1"/>
    <w:next w:val="1"/>
    <w:unhideWhenUsed/>
    <w:qFormat/>
    <w:uiPriority w:val="39"/>
    <w:pPr>
      <w:ind w:left="420" w:leftChars="200"/>
    </w:pPr>
    <w:rPr>
      <w:snapToGrid w:val="0"/>
      <w:szCs w:val="20"/>
    </w:rPr>
  </w:style>
  <w:style w:type="paragraph" w:styleId="23">
    <w:name w:val="Normal (Web)"/>
    <w:basedOn w:val="1"/>
    <w:link w:val="46"/>
    <w:qFormat/>
    <w:uiPriority w:val="0"/>
    <w:pPr>
      <w:widowControl/>
      <w:spacing w:before="100" w:beforeAutospacing="1" w:after="100" w:afterAutospacing="1"/>
      <w:jc w:val="left"/>
    </w:pPr>
    <w:rPr>
      <w:rFonts w:ascii="宋体" w:hAnsi="宋体"/>
      <w:kern w:val="0"/>
    </w:rPr>
  </w:style>
  <w:style w:type="paragraph" w:styleId="24">
    <w:name w:val="Title"/>
    <w:basedOn w:val="1"/>
    <w:next w:val="1"/>
    <w:qFormat/>
    <w:uiPriority w:val="10"/>
    <w:pPr>
      <w:spacing w:before="240" w:after="60"/>
      <w:jc w:val="center"/>
      <w:outlineLvl w:val="0"/>
    </w:pPr>
    <w:rPr>
      <w:b/>
      <w:bCs/>
      <w:sz w:val="21"/>
      <w:szCs w:val="32"/>
    </w:rPr>
  </w:style>
  <w:style w:type="paragraph" w:styleId="25">
    <w:name w:val="annotation subject"/>
    <w:basedOn w:val="13"/>
    <w:next w:val="13"/>
    <w:link w:val="47"/>
    <w:semiHidden/>
    <w:qFormat/>
    <w:uiPriority w:val="0"/>
    <w:rPr>
      <w:b/>
      <w:bCs/>
    </w:rPr>
  </w:style>
  <w:style w:type="table" w:styleId="27">
    <w:name w:val="Table Grid"/>
    <w:basedOn w:val="2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basedOn w:val="28"/>
    <w:qFormat/>
    <w:uiPriority w:val="0"/>
    <w:rPr>
      <w:b/>
    </w:rPr>
  </w:style>
  <w:style w:type="character" w:styleId="30">
    <w:name w:val="page number"/>
    <w:basedOn w:val="28"/>
    <w:qFormat/>
    <w:uiPriority w:val="0"/>
  </w:style>
  <w:style w:type="character" w:styleId="31">
    <w:name w:val="Hyperlink"/>
    <w:basedOn w:val="28"/>
    <w:qFormat/>
    <w:uiPriority w:val="0"/>
    <w:rPr>
      <w:color w:val="0000FF"/>
      <w:u w:val="single"/>
    </w:rPr>
  </w:style>
  <w:style w:type="character" w:styleId="32">
    <w:name w:val="annotation reference"/>
    <w:semiHidden/>
    <w:qFormat/>
    <w:uiPriority w:val="0"/>
    <w:rPr>
      <w:sz w:val="21"/>
    </w:rPr>
  </w:style>
  <w:style w:type="paragraph" w:customStyle="1" w:styleId="33">
    <w:name w:val="xl2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customStyle="1" w:styleId="34">
    <w:name w:val="0正文"/>
    <w:unhideWhenUsed/>
    <w:qFormat/>
    <w:uiPriority w:val="0"/>
    <w:pPr>
      <w:widowControl w:val="0"/>
      <w:spacing w:line="360" w:lineRule="auto"/>
      <w:ind w:firstLine="720" w:firstLineChars="200"/>
    </w:pPr>
    <w:rPr>
      <w:rFonts w:ascii="Times New Roman" w:hAnsi="Times New Roman" w:eastAsia="宋体" w:cs="Microsoft Uighur"/>
      <w:sz w:val="24"/>
      <w:szCs w:val="22"/>
      <w:lang w:val="en-US" w:eastAsia="zh-CN" w:bidi="ar-SA"/>
    </w:rPr>
  </w:style>
  <w:style w:type="paragraph" w:customStyle="1" w:styleId="35">
    <w:name w:val="正文文本1"/>
    <w:basedOn w:val="1"/>
    <w:qFormat/>
    <w:uiPriority w:val="0"/>
    <w:rPr>
      <w:sz w:val="28"/>
    </w:rPr>
  </w:style>
  <w:style w:type="character" w:customStyle="1" w:styleId="36">
    <w:name w:val="标题 1 字符"/>
    <w:link w:val="2"/>
    <w:qFormat/>
    <w:uiPriority w:val="0"/>
    <w:rPr>
      <w:rFonts w:ascii="Times New Roman" w:hAnsi="Times New Roman" w:eastAsia="黑体"/>
      <w:bCs/>
      <w:color w:val="000000"/>
      <w:kern w:val="44"/>
      <w:sz w:val="30"/>
      <w:szCs w:val="30"/>
    </w:rPr>
  </w:style>
  <w:style w:type="character" w:customStyle="1" w:styleId="37">
    <w:name w:val="标题 2 字符"/>
    <w:link w:val="3"/>
    <w:qFormat/>
    <w:uiPriority w:val="0"/>
    <w:rPr>
      <w:rFonts w:ascii="Times New Roman" w:hAnsi="Times New Roman" w:eastAsia="宋体" w:cs="宋体"/>
      <w:b/>
      <w:bCs/>
      <w:sz w:val="28"/>
      <w:szCs w:val="30"/>
      <w:lang w:val="zh-CN" w:bidi="zh-CN"/>
    </w:rPr>
  </w:style>
  <w:style w:type="character" w:customStyle="1" w:styleId="38">
    <w:name w:val="标题 3 字符"/>
    <w:link w:val="4"/>
    <w:semiHidden/>
    <w:qFormat/>
    <w:uiPriority w:val="0"/>
    <w:rPr>
      <w:rFonts w:ascii="Times New Roman" w:hAnsi="Times New Roman" w:eastAsia="宋体"/>
      <w:b/>
      <w:bCs/>
      <w:kern w:val="2"/>
      <w:sz w:val="24"/>
      <w:szCs w:val="32"/>
    </w:rPr>
  </w:style>
  <w:style w:type="character" w:customStyle="1" w:styleId="39">
    <w:name w:val="正文文本 字符"/>
    <w:link w:val="10"/>
    <w:qFormat/>
    <w:uiPriority w:val="0"/>
    <w:rPr>
      <w:sz w:val="18"/>
    </w:rPr>
  </w:style>
  <w:style w:type="character" w:customStyle="1" w:styleId="40">
    <w:name w:val="批注文字 字符"/>
    <w:link w:val="13"/>
    <w:qFormat/>
    <w:uiPriority w:val="0"/>
    <w:rPr>
      <w:rFonts w:ascii="Times New Roman" w:hAnsi="Times New Roman" w:eastAsia="宋体"/>
      <w:sz w:val="24"/>
    </w:rPr>
  </w:style>
  <w:style w:type="character" w:customStyle="1" w:styleId="41">
    <w:name w:val="正文文本缩进 字符"/>
    <w:link w:val="12"/>
    <w:semiHidden/>
    <w:qFormat/>
    <w:uiPriority w:val="0"/>
    <w:rPr>
      <w:rFonts w:ascii="Times New Roman" w:hAnsi="Times New Roman" w:eastAsia="宋体" w:cs="Times New Roman"/>
      <w:sz w:val="24"/>
      <w:szCs w:val="24"/>
    </w:rPr>
  </w:style>
  <w:style w:type="character" w:customStyle="1" w:styleId="42">
    <w:name w:val="日期 字符1"/>
    <w:link w:val="16"/>
    <w:qFormat/>
    <w:uiPriority w:val="0"/>
    <w:rPr>
      <w:rFonts w:ascii="Times New Roman" w:hAnsi="Times New Roman" w:eastAsia="宋体"/>
      <w:sz w:val="24"/>
    </w:rPr>
  </w:style>
  <w:style w:type="character" w:customStyle="1" w:styleId="43">
    <w:name w:val="批注框文本 字符"/>
    <w:link w:val="18"/>
    <w:semiHidden/>
    <w:qFormat/>
    <w:uiPriority w:val="0"/>
    <w:rPr>
      <w:rFonts w:ascii="Times New Roman" w:hAnsi="Times New Roman" w:eastAsia="宋体" w:cs="Times New Roman"/>
      <w:sz w:val="18"/>
      <w:szCs w:val="18"/>
    </w:rPr>
  </w:style>
  <w:style w:type="character" w:customStyle="1" w:styleId="44">
    <w:name w:val="页脚 字符"/>
    <w:link w:val="19"/>
    <w:qFormat/>
    <w:uiPriority w:val="99"/>
    <w:rPr>
      <w:rFonts w:cs="Times New Roman"/>
      <w:sz w:val="18"/>
      <w:szCs w:val="18"/>
    </w:rPr>
  </w:style>
  <w:style w:type="character" w:customStyle="1" w:styleId="45">
    <w:name w:val="页眉 字符"/>
    <w:link w:val="20"/>
    <w:qFormat/>
    <w:uiPriority w:val="99"/>
    <w:rPr>
      <w:rFonts w:cs="Times New Roman"/>
      <w:sz w:val="18"/>
      <w:szCs w:val="18"/>
    </w:rPr>
  </w:style>
  <w:style w:type="character" w:customStyle="1" w:styleId="46">
    <w:name w:val="普通(网站) 字符"/>
    <w:link w:val="23"/>
    <w:qFormat/>
    <w:uiPriority w:val="0"/>
    <w:rPr>
      <w:rFonts w:ascii="宋体" w:hAnsi="宋体" w:eastAsia="宋体"/>
      <w:sz w:val="24"/>
    </w:rPr>
  </w:style>
  <w:style w:type="character" w:customStyle="1" w:styleId="47">
    <w:name w:val="批注主题 字符"/>
    <w:link w:val="25"/>
    <w:semiHidden/>
    <w:qFormat/>
    <w:uiPriority w:val="0"/>
    <w:rPr>
      <w:rFonts w:ascii="Times New Roman" w:hAnsi="Times New Roman" w:eastAsia="宋体" w:cs="Times New Roman"/>
      <w:b/>
      <w:bCs/>
      <w:kern w:val="2"/>
      <w:sz w:val="24"/>
      <w:szCs w:val="24"/>
    </w:rPr>
  </w:style>
  <w:style w:type="paragraph" w:customStyle="1" w:styleId="48">
    <w:name w:val="guo-正文缩进2"/>
    <w:basedOn w:val="49"/>
    <w:qFormat/>
    <w:uiPriority w:val="0"/>
    <w:pPr>
      <w:tabs>
        <w:tab w:val="left" w:pos="1021"/>
      </w:tabs>
      <w:ind w:firstLine="562" w:firstLineChars="200"/>
    </w:pPr>
  </w:style>
  <w:style w:type="paragraph" w:customStyle="1" w:styleId="49">
    <w:name w:val="guo-正文不缩进"/>
    <w:basedOn w:val="1"/>
    <w:qFormat/>
    <w:uiPriority w:val="0"/>
    <w:pPr>
      <w:tabs>
        <w:tab w:val="left" w:pos="1021"/>
      </w:tabs>
    </w:pPr>
  </w:style>
  <w:style w:type="character" w:customStyle="1" w:styleId="50">
    <w:name w:val="样式 正文缩进s4标题4表正文正文非缩进图标题段1Body Text(ch)缩进ALT+Z特点四号正文不...2 Char"/>
    <w:link w:val="51"/>
    <w:qFormat/>
    <w:uiPriority w:val="0"/>
    <w:rPr>
      <w:rFonts w:ascii="宋体" w:hAnsi="Calibri" w:eastAsia="仿宋_GB2312" w:cs="Times New Roman"/>
      <w:kern w:val="0"/>
      <w:sz w:val="24"/>
      <w:szCs w:val="22"/>
    </w:rPr>
  </w:style>
  <w:style w:type="paragraph" w:customStyle="1" w:styleId="51">
    <w:name w:val="样式 正文缩进s4标题4表正文正文非缩进图标题段1Body Text(ch)缩进ALT+Z特点四号正文不...2"/>
    <w:basedOn w:val="7"/>
    <w:link w:val="50"/>
    <w:qFormat/>
    <w:uiPriority w:val="0"/>
    <w:pPr>
      <w:ind w:firstLine="200" w:firstLineChars="200"/>
    </w:pPr>
    <w:rPr>
      <w:rFonts w:ascii="宋体" w:hAnsi="Calibri" w:eastAsia="仿宋_GB2312"/>
      <w:kern w:val="0"/>
      <w:szCs w:val="22"/>
    </w:rPr>
  </w:style>
  <w:style w:type="character" w:customStyle="1" w:styleId="52">
    <w:name w:val="正文文本 字符1"/>
    <w:semiHidden/>
    <w:qFormat/>
    <w:uiPriority w:val="0"/>
    <w:rPr>
      <w:rFonts w:ascii="Times New Roman" w:hAnsi="Times New Roman" w:eastAsia="宋体" w:cs="Times New Roman"/>
      <w:sz w:val="24"/>
      <w:szCs w:val="24"/>
    </w:rPr>
  </w:style>
  <w:style w:type="character" w:customStyle="1" w:styleId="53">
    <w:name w:val="zw Char Char"/>
    <w:link w:val="54"/>
    <w:qFormat/>
    <w:uiPriority w:val="0"/>
    <w:rPr>
      <w:sz w:val="24"/>
      <w:szCs w:val="24"/>
      <w:shd w:val="clear" w:color="auto" w:fill="FFFFFF"/>
    </w:rPr>
  </w:style>
  <w:style w:type="paragraph" w:customStyle="1" w:styleId="54">
    <w:name w:val="zw"/>
    <w:basedOn w:val="1"/>
    <w:link w:val="53"/>
    <w:qFormat/>
    <w:uiPriority w:val="0"/>
    <w:pPr>
      <w:shd w:val="clear" w:color="auto" w:fill="FFFFFF"/>
      <w:adjustRightInd w:val="0"/>
      <w:snapToGrid w:val="0"/>
      <w:ind w:firstLine="480" w:firstLineChars="200"/>
    </w:pPr>
    <w:rPr>
      <w:kern w:val="0"/>
      <w:shd w:val="clear" w:color="auto" w:fill="FFFFFF"/>
    </w:rPr>
  </w:style>
  <w:style w:type="character" w:customStyle="1" w:styleId="55">
    <w:name w:val="font01"/>
    <w:basedOn w:val="28"/>
    <w:qFormat/>
    <w:uiPriority w:val="0"/>
    <w:rPr>
      <w:rFonts w:hint="eastAsia" w:ascii="宋体" w:hAnsi="宋体" w:eastAsia="宋体" w:cs="宋体"/>
      <w:color w:val="000000"/>
      <w:sz w:val="22"/>
      <w:szCs w:val="22"/>
      <w:u w:val="none"/>
    </w:rPr>
  </w:style>
  <w:style w:type="character" w:customStyle="1" w:styleId="56">
    <w:name w:val="font11"/>
    <w:basedOn w:val="28"/>
    <w:qFormat/>
    <w:uiPriority w:val="0"/>
    <w:rPr>
      <w:rFonts w:hint="eastAsia" w:ascii="宋体" w:hAnsi="宋体" w:eastAsia="宋体" w:cs="宋体"/>
      <w:color w:val="000000"/>
      <w:sz w:val="22"/>
      <w:szCs w:val="22"/>
      <w:u w:val="none"/>
      <w:vertAlign w:val="subscript"/>
    </w:rPr>
  </w:style>
  <w:style w:type="character" w:customStyle="1" w:styleId="57">
    <w:name w:val="font51"/>
    <w:basedOn w:val="28"/>
    <w:qFormat/>
    <w:uiPriority w:val="0"/>
    <w:rPr>
      <w:rFonts w:hint="eastAsia" w:ascii="宋体" w:hAnsi="宋体" w:eastAsia="宋体" w:cs="宋体"/>
      <w:color w:val="000000"/>
      <w:sz w:val="20"/>
      <w:szCs w:val="20"/>
      <w:u w:val="none"/>
    </w:rPr>
  </w:style>
  <w:style w:type="character" w:customStyle="1" w:styleId="58">
    <w:name w:val="font41"/>
    <w:basedOn w:val="28"/>
    <w:qFormat/>
    <w:uiPriority w:val="0"/>
    <w:rPr>
      <w:rFonts w:hint="eastAsia" w:ascii="宋体" w:hAnsi="宋体" w:eastAsia="宋体" w:cs="宋体"/>
      <w:b/>
      <w:color w:val="000000"/>
      <w:sz w:val="20"/>
      <w:szCs w:val="20"/>
      <w:u w:val="none"/>
    </w:rPr>
  </w:style>
  <w:style w:type="character" w:customStyle="1" w:styleId="59">
    <w:name w:val="font141"/>
    <w:basedOn w:val="28"/>
    <w:qFormat/>
    <w:uiPriority w:val="0"/>
    <w:rPr>
      <w:rFonts w:hint="default" w:ascii="Arial" w:hAnsi="Arial" w:eastAsia="Arial" w:cs="Arial"/>
      <w:b/>
      <w:color w:val="000000"/>
      <w:sz w:val="20"/>
      <w:szCs w:val="20"/>
      <w:u w:val="none"/>
    </w:rPr>
  </w:style>
  <w:style w:type="character" w:customStyle="1" w:styleId="60">
    <w:name w:val="普通(网站) Char"/>
    <w:qFormat/>
    <w:uiPriority w:val="0"/>
    <w:rPr>
      <w:rFonts w:ascii="宋体" w:hAnsi="宋体" w:eastAsia="宋体"/>
      <w:sz w:val="24"/>
    </w:rPr>
  </w:style>
  <w:style w:type="character" w:customStyle="1" w:styleId="61">
    <w:name w:val="font131"/>
    <w:basedOn w:val="28"/>
    <w:qFormat/>
    <w:uiPriority w:val="0"/>
    <w:rPr>
      <w:rFonts w:hint="default" w:ascii="Arial" w:hAnsi="Arial" w:cs="Arial"/>
      <w:b/>
      <w:color w:val="000000"/>
      <w:sz w:val="20"/>
      <w:szCs w:val="20"/>
      <w:u w:val="none"/>
      <w:vertAlign w:val="subscript"/>
    </w:rPr>
  </w:style>
  <w:style w:type="character" w:customStyle="1" w:styleId="62">
    <w:name w:val="表格 Char"/>
    <w:link w:val="63"/>
    <w:qFormat/>
    <w:uiPriority w:val="0"/>
    <w:rPr>
      <w:rFonts w:ascii="宋体" w:hAnsi="宋体" w:eastAsia="宋体"/>
      <w:sz w:val="21"/>
    </w:rPr>
  </w:style>
  <w:style w:type="paragraph" w:customStyle="1" w:styleId="63">
    <w:name w:val="表格"/>
    <w:basedOn w:val="21"/>
    <w:next w:val="1"/>
    <w:link w:val="62"/>
    <w:qFormat/>
    <w:uiPriority w:val="0"/>
    <w:pPr>
      <w:adjustRightInd w:val="0"/>
      <w:snapToGrid w:val="0"/>
      <w:spacing w:before="10" w:beforeLines="10" w:after="10" w:afterLines="10" w:line="240" w:lineRule="auto"/>
      <w:ind w:left="0" w:firstLine="0" w:firstLineChars="0"/>
    </w:pPr>
    <w:rPr>
      <w:rFonts w:ascii="宋体" w:hAnsi="宋体"/>
      <w:kern w:val="0"/>
      <w:sz w:val="20"/>
      <w:szCs w:val="21"/>
    </w:rPr>
  </w:style>
  <w:style w:type="character" w:customStyle="1" w:styleId="64">
    <w:name w:val="日期 字符"/>
    <w:semiHidden/>
    <w:qFormat/>
    <w:uiPriority w:val="0"/>
    <w:rPr>
      <w:rFonts w:ascii="Times New Roman" w:hAnsi="Times New Roman" w:eastAsia="宋体" w:cs="Times New Roman"/>
      <w:sz w:val="24"/>
      <w:szCs w:val="24"/>
    </w:rPr>
  </w:style>
  <w:style w:type="character" w:customStyle="1" w:styleId="65">
    <w:name w:val="批注文字 字符1"/>
    <w:semiHidden/>
    <w:qFormat/>
    <w:uiPriority w:val="0"/>
    <w:rPr>
      <w:rFonts w:ascii="Times New Roman" w:hAnsi="Times New Roman" w:eastAsia="宋体" w:cs="Times New Roman"/>
      <w:sz w:val="24"/>
      <w:szCs w:val="24"/>
    </w:rPr>
  </w:style>
  <w:style w:type="paragraph" w:customStyle="1" w:styleId="66">
    <w:name w:val="样式 正文缩进s4标题4表正文正文非缩进图标题段1Body Text(ch)缩进ALT+Z特点四号正文不...1"/>
    <w:basedOn w:val="7"/>
    <w:qFormat/>
    <w:uiPriority w:val="0"/>
    <w:pPr>
      <w:ind w:firstLine="840" w:firstLineChars="400"/>
    </w:pPr>
    <w:rPr>
      <w:rFonts w:ascii="宋体" w:hAnsi="宋体" w:eastAsia="仿宋_GB2312" w:cs="宋体"/>
      <w:kern w:val="0"/>
    </w:rPr>
  </w:style>
  <w:style w:type="paragraph" w:customStyle="1" w:styleId="67">
    <w:name w:val="表格内容"/>
    <w:basedOn w:val="63"/>
    <w:qFormat/>
    <w:uiPriority w:val="0"/>
    <w:pPr>
      <w:spacing w:before="0" w:beforeLines="0" w:after="0" w:afterLines="0"/>
    </w:pPr>
    <w:rPr>
      <w:rFonts w:ascii="Times New Roman" w:hAnsi="Times New Roman"/>
      <w:color w:val="000000"/>
    </w:rPr>
  </w:style>
  <w:style w:type="paragraph" w:customStyle="1" w:styleId="68">
    <w:name w:val="表字体"/>
    <w:basedOn w:val="1"/>
    <w:next w:val="1"/>
    <w:qFormat/>
    <w:uiPriority w:val="0"/>
    <w:pPr>
      <w:jc w:val="center"/>
    </w:pPr>
    <w:rPr>
      <w:kern w:val="0"/>
      <w:sz w:val="20"/>
      <w:szCs w:val="20"/>
    </w:rPr>
  </w:style>
  <w:style w:type="paragraph" w:customStyle="1" w:styleId="69">
    <w:name w:val="普通(网站)2"/>
    <w:basedOn w:val="1"/>
    <w:qFormat/>
    <w:uiPriority w:val="0"/>
    <w:pPr>
      <w:widowControl/>
      <w:spacing w:before="100" w:beforeAutospacing="1" w:after="100" w:afterAutospacing="1"/>
      <w:jc w:val="left"/>
    </w:pPr>
    <w:rPr>
      <w:rFonts w:ascii="宋体" w:hAnsi="宋体"/>
      <w:szCs w:val="20"/>
    </w:rPr>
  </w:style>
  <w:style w:type="paragraph" w:customStyle="1" w:styleId="70">
    <w:name w:val="表格文字"/>
    <w:basedOn w:val="10"/>
    <w:next w:val="1"/>
    <w:qFormat/>
    <w:uiPriority w:val="0"/>
    <w:pPr>
      <w:tabs>
        <w:tab w:val="left" w:pos="3720"/>
      </w:tabs>
      <w:autoSpaceDE w:val="0"/>
      <w:autoSpaceDN w:val="0"/>
      <w:adjustRightInd w:val="0"/>
      <w:spacing w:line="240" w:lineRule="auto"/>
      <w:ind w:right="0"/>
      <w:jc w:val="center"/>
      <w:textAlignment w:val="bottom"/>
    </w:pPr>
    <w:rPr>
      <w:rFonts w:ascii="宋体" w:hAnsi="宋体"/>
      <w:sz w:val="21"/>
      <w:szCs w:val="20"/>
    </w:rPr>
  </w:style>
  <w:style w:type="paragraph" w:customStyle="1" w:styleId="71">
    <w:name w:val="Default"/>
    <w:basedOn w:val="72"/>
    <w:qFormat/>
    <w:uiPriority w:val="0"/>
    <w:pPr>
      <w:autoSpaceDE w:val="0"/>
      <w:autoSpaceDN w:val="0"/>
    </w:pPr>
    <w:rPr>
      <w:rFonts w:cs="宋体"/>
      <w:color w:val="000000"/>
    </w:rPr>
  </w:style>
  <w:style w:type="paragraph" w:customStyle="1" w:styleId="72">
    <w:name w:val="纯文本1"/>
    <w:basedOn w:val="1"/>
    <w:qFormat/>
    <w:uiPriority w:val="0"/>
    <w:pPr>
      <w:adjustRightInd w:val="0"/>
      <w:textAlignment w:val="baseline"/>
    </w:pPr>
    <w:rPr>
      <w:rFonts w:ascii="宋体" w:hAnsi="Courier New"/>
    </w:rPr>
  </w:style>
  <w:style w:type="paragraph" w:customStyle="1" w:styleId="73">
    <w:name w:val="文本"/>
    <w:basedOn w:val="1"/>
    <w:semiHidden/>
    <w:qFormat/>
    <w:uiPriority w:val="0"/>
    <w:pPr>
      <w:ind w:firstLine="200" w:firstLineChars="200"/>
    </w:pPr>
  </w:style>
  <w:style w:type="paragraph" w:customStyle="1" w:styleId="74">
    <w:name w:val="3标题3"/>
    <w:basedOn w:val="1"/>
    <w:qFormat/>
    <w:uiPriority w:val="0"/>
    <w:pPr>
      <w:keepNext/>
      <w:keepLines/>
      <w:outlineLvl w:val="2"/>
    </w:pPr>
    <w:rPr>
      <w:rFonts w:ascii="黑体" w:hAnsi="黑体" w:eastAsia="黑体"/>
      <w:bCs/>
      <w:color w:val="000000"/>
      <w:kern w:val="24"/>
      <w:sz w:val="28"/>
      <w:szCs w:val="28"/>
    </w:rPr>
  </w:style>
  <w:style w:type="paragraph" w:customStyle="1" w:styleId="75">
    <w:name w:val="表文"/>
    <w:basedOn w:val="1"/>
    <w:qFormat/>
    <w:uiPriority w:val="0"/>
    <w:pPr>
      <w:spacing w:line="480" w:lineRule="exact"/>
      <w:jc w:val="center"/>
    </w:pPr>
    <w:rPr>
      <w:rFonts w:ascii="宋体"/>
      <w:b/>
      <w:bCs/>
      <w:spacing w:val="4"/>
    </w:rPr>
  </w:style>
  <w:style w:type="paragraph" w:customStyle="1" w:styleId="76">
    <w:name w:val="p0"/>
    <w:basedOn w:val="1"/>
    <w:qFormat/>
    <w:uiPriority w:val="0"/>
    <w:pPr>
      <w:widowControl/>
    </w:pPr>
    <w:rPr>
      <w:kern w:val="0"/>
    </w:rPr>
  </w:style>
  <w:style w:type="paragraph" w:customStyle="1" w:styleId="77">
    <w:name w:val="样式 小四 行距: 1.5 倍行距 首行缩进:  2 字符1"/>
    <w:basedOn w:val="1"/>
    <w:qFormat/>
    <w:uiPriority w:val="0"/>
    <w:pPr>
      <w:adjustRightInd w:val="0"/>
      <w:snapToGrid w:val="0"/>
      <w:ind w:firstLine="200" w:firstLineChars="200"/>
    </w:pPr>
    <w:rPr>
      <w:rFonts w:cs="宋体"/>
      <w:kern w:val="0"/>
    </w:rPr>
  </w:style>
  <w:style w:type="paragraph" w:customStyle="1" w:styleId="78">
    <w:name w:val="aa正文"/>
    <w:basedOn w:val="1"/>
    <w:qFormat/>
    <w:uiPriority w:val="0"/>
    <w:rPr>
      <w:rFonts w:ascii="Calibri" w:hAnsi="Calibri"/>
    </w:rPr>
  </w:style>
  <w:style w:type="paragraph" w:customStyle="1" w:styleId="79">
    <w:name w:val="1正文"/>
    <w:qFormat/>
    <w:uiPriority w:val="0"/>
    <w:pPr>
      <w:snapToGrid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80">
    <w:name w:val="报告书正文"/>
    <w:basedOn w:val="9"/>
    <w:qFormat/>
    <w:uiPriority w:val="0"/>
    <w:pPr>
      <w:spacing w:line="300" w:lineRule="auto"/>
      <w:ind w:firstLine="200" w:firstLineChars="200"/>
    </w:pPr>
    <w:rPr>
      <w:kern w:val="2"/>
      <w:szCs w:val="20"/>
    </w:rPr>
  </w:style>
  <w:style w:type="paragraph" w:customStyle="1" w:styleId="81">
    <w:name w:val="！正文"/>
    <w:basedOn w:val="1"/>
    <w:qFormat/>
    <w:uiPriority w:val="0"/>
    <w:pPr>
      <w:ind w:firstLine="200" w:firstLineChars="200"/>
    </w:pPr>
    <w:rPr>
      <w:szCs w:val="22"/>
    </w:rPr>
  </w:style>
  <w:style w:type="paragraph" w:customStyle="1" w:styleId="82">
    <w:name w:val="样式 样式 正文缩进s4标题4表正文正文非缩进图标题段1Body Text(ch)缩进ALT+Z特点四号正文不... + 首行缩..."/>
    <w:basedOn w:val="1"/>
    <w:qFormat/>
    <w:uiPriority w:val="0"/>
    <w:pPr>
      <w:ind w:firstLine="480" w:firstLineChars="200"/>
    </w:pPr>
    <w:rPr>
      <w:rFonts w:ascii="宋体" w:hAnsi="宋体" w:eastAsia="仿宋_GB2312" w:cs="宋体"/>
      <w:kern w:val="0"/>
    </w:rPr>
  </w:style>
  <w:style w:type="paragraph" w:customStyle="1" w:styleId="83">
    <w:name w:val="A0正文"/>
    <w:basedOn w:val="1"/>
    <w:qFormat/>
    <w:uiPriority w:val="0"/>
    <w:pPr>
      <w:ind w:firstLine="200" w:firstLineChars="200"/>
    </w:pPr>
    <w:rPr>
      <w:rFonts w:cs="宋体"/>
      <w:szCs w:val="20"/>
      <w:lang w:val="zh-CN"/>
    </w:rPr>
  </w:style>
  <w:style w:type="paragraph" w:customStyle="1" w:styleId="84">
    <w:name w:val="Default1"/>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85">
    <w:name w:val="正文，文本"/>
    <w:basedOn w:val="73"/>
    <w:qFormat/>
    <w:uiPriority w:val="0"/>
    <w:rPr>
      <w:kern w:val="0"/>
      <w:szCs w:val="20"/>
    </w:rPr>
  </w:style>
  <w:style w:type="paragraph" w:customStyle="1" w:styleId="86">
    <w:name w:val="样式 正文缩进s4标题4表正文正文非缩进图标题段1Body Text(ch)缩进ALT+Z特点四号正文不...3"/>
    <w:basedOn w:val="7"/>
    <w:qFormat/>
    <w:uiPriority w:val="0"/>
    <w:pPr>
      <w:ind w:firstLine="200" w:firstLineChars="200"/>
    </w:pPr>
    <w:rPr>
      <w:rFonts w:ascii="宋体" w:eastAsia="仿宋_GB2312" w:cs="宋体"/>
      <w:kern w:val="0"/>
    </w:rPr>
  </w:style>
  <w:style w:type="paragraph" w:styleId="87">
    <w:name w:val="List Paragraph"/>
    <w:basedOn w:val="1"/>
    <w:qFormat/>
    <w:uiPriority w:val="34"/>
    <w:pPr>
      <w:ind w:firstLine="420" w:firstLineChars="200"/>
    </w:pPr>
  </w:style>
  <w:style w:type="paragraph" w:customStyle="1" w:styleId="88">
    <w:name w:val="样式1"/>
    <w:basedOn w:val="10"/>
    <w:qFormat/>
    <w:uiPriority w:val="0"/>
    <w:pPr>
      <w:adjustRightInd w:val="0"/>
    </w:pPr>
    <w:rPr>
      <w:rFonts w:hint="eastAsia" w:ascii="仿宋_GB2312" w:hAnsi="仿宋_GB2312"/>
      <w:szCs w:val="36"/>
      <w:u w:val="single"/>
    </w:rPr>
  </w:style>
  <w:style w:type="paragraph" w:customStyle="1" w:styleId="89">
    <w:name w:val="表头"/>
    <w:basedOn w:val="1"/>
    <w:qFormat/>
    <w:uiPriority w:val="0"/>
    <w:pPr>
      <w:spacing w:line="300" w:lineRule="auto"/>
      <w:jc w:val="center"/>
    </w:pPr>
    <w:rPr>
      <w:b/>
      <w:kern w:val="0"/>
      <w:sz w:val="21"/>
      <w:szCs w:val="21"/>
    </w:rPr>
  </w:style>
  <w:style w:type="paragraph" w:customStyle="1" w:styleId="90">
    <w:name w:val="Table Paragraph"/>
    <w:basedOn w:val="1"/>
    <w:qFormat/>
    <w:uiPriority w:val="1"/>
    <w:pPr>
      <w:jc w:val="left"/>
    </w:pPr>
    <w:rPr>
      <w:rFonts w:ascii="Calibri" w:hAnsi="Calibri"/>
      <w:kern w:val="0"/>
      <w:sz w:val="22"/>
      <w:szCs w:val="22"/>
      <w:lang w:eastAsia="en-US"/>
    </w:rPr>
  </w:style>
  <w:style w:type="paragraph" w:customStyle="1" w:styleId="91">
    <w:name w:val="Other|1"/>
    <w:basedOn w:val="1"/>
    <w:qFormat/>
    <w:uiPriority w:val="0"/>
    <w:pPr>
      <w:spacing w:line="449" w:lineRule="auto"/>
      <w:ind w:firstLine="400"/>
    </w:pPr>
    <w:rPr>
      <w:rFonts w:ascii="宋体" w:hAnsi="宋体" w:cs="宋体"/>
      <w:sz w:val="26"/>
      <w:szCs w:val="26"/>
      <w:lang w:val="zh-TW" w:eastAsia="zh-TW" w:bidi="zh-TW"/>
    </w:rPr>
  </w:style>
  <w:style w:type="paragraph" w:customStyle="1" w:styleId="92">
    <w:name w:val="表内文字五号"/>
    <w:basedOn w:val="1"/>
    <w:qFormat/>
    <w:uiPriority w:val="0"/>
    <w:pPr>
      <w:spacing w:line="240" w:lineRule="auto"/>
      <w:jc w:val="center"/>
    </w:pPr>
    <w:rPr>
      <w:kern w:val="0"/>
      <w:sz w:val="21"/>
      <w:szCs w:val="21"/>
    </w:rPr>
  </w:style>
  <w:style w:type="paragraph" w:customStyle="1" w:styleId="93">
    <w:name w:val="表内小五"/>
    <w:basedOn w:val="94"/>
    <w:qFormat/>
    <w:uiPriority w:val="0"/>
    <w:rPr>
      <w:sz w:val="18"/>
    </w:rPr>
  </w:style>
  <w:style w:type="paragraph" w:customStyle="1" w:styleId="94">
    <w:name w:val="表内五号"/>
    <w:basedOn w:val="1"/>
    <w:qFormat/>
    <w:uiPriority w:val="0"/>
    <w:pPr>
      <w:spacing w:line="288" w:lineRule="auto"/>
      <w:jc w:val="center"/>
    </w:pPr>
    <w:rPr>
      <w:sz w:val="21"/>
    </w:rPr>
  </w:style>
  <w:style w:type="paragraph" w:customStyle="1" w:styleId="95">
    <w:name w:val="正文格式"/>
    <w:basedOn w:val="1"/>
    <w:qFormat/>
    <w:uiPriority w:val="0"/>
    <w:pPr>
      <w:ind w:firstLine="482"/>
    </w:pPr>
    <w:rPr>
      <w:rFonts w:ascii="宋体" w:hAnsi="Calibri" w:cs="宋体"/>
    </w:rPr>
  </w:style>
  <w:style w:type="character" w:customStyle="1" w:styleId="96">
    <w:name w:val="font21"/>
    <w:basedOn w:val="28"/>
    <w:qFormat/>
    <w:uiPriority w:val="0"/>
    <w:rPr>
      <w:rFonts w:hint="eastAsia" w:ascii="宋体" w:hAnsi="宋体" w:eastAsia="宋体" w:cs="宋体"/>
      <w:color w:val="000000"/>
      <w:sz w:val="21"/>
      <w:szCs w:val="21"/>
      <w:u w:val="none"/>
    </w:rPr>
  </w:style>
  <w:style w:type="character" w:customStyle="1" w:styleId="97">
    <w:name w:val="font31"/>
    <w:basedOn w:val="28"/>
    <w:qFormat/>
    <w:uiPriority w:val="0"/>
    <w:rPr>
      <w:rFonts w:hint="default" w:ascii="Times New Roman" w:hAnsi="Times New Roman" w:cs="Times New Roman"/>
      <w:color w:val="000000"/>
      <w:sz w:val="21"/>
      <w:szCs w:val="21"/>
      <w:u w:val="none"/>
    </w:rPr>
  </w:style>
  <w:style w:type="paragraph" w:customStyle="1" w:styleId="98">
    <w:name w:val="表文字1"/>
    <w:basedOn w:val="1"/>
    <w:qFormat/>
    <w:uiPriority w:val="0"/>
    <w:pPr>
      <w:ind w:left="57" w:right="57"/>
      <w:jc w:val="center"/>
    </w:pPr>
    <w:rPr>
      <w:rFonts w:eastAsia="仿宋_GB2312"/>
      <w:bCs/>
    </w:rPr>
  </w:style>
  <w:style w:type="paragraph" w:customStyle="1" w:styleId="99">
    <w:name w:val="表文字2"/>
    <w:basedOn w:val="1"/>
    <w:qFormat/>
    <w:uiPriority w:val="0"/>
    <w:pPr>
      <w:ind w:left="57" w:right="57"/>
    </w:pPr>
    <w:rPr>
      <w:rFonts w:eastAsia="仿宋_GB2312"/>
      <w:bCs/>
    </w:rPr>
  </w:style>
  <w:style w:type="paragraph" w:customStyle="1" w:styleId="100">
    <w:name w:val="样式123"/>
    <w:basedOn w:val="1"/>
    <w:qFormat/>
    <w:uiPriority w:val="0"/>
    <w:pPr>
      <w:adjustRightInd w:val="0"/>
      <w:snapToGrid w:val="0"/>
      <w:spacing w:line="460" w:lineRule="exact"/>
      <w:jc w:val="center"/>
    </w:pPr>
    <w:rPr>
      <w:rFonts w:hAnsi="宋体" w:eastAsia="黑体"/>
    </w:rPr>
  </w:style>
  <w:style w:type="character" w:customStyle="1" w:styleId="101">
    <w:name w:val="fontstyle01"/>
    <w:basedOn w:val="28"/>
    <w:qFormat/>
    <w:uiPriority w:val="0"/>
    <w:rPr>
      <w:rFonts w:hint="default" w:ascii="仿宋" w:hAnsi="仿宋"/>
      <w:color w:val="000000"/>
      <w:sz w:val="24"/>
      <w:szCs w:val="24"/>
    </w:rPr>
  </w:style>
  <w:style w:type="paragraph" w:customStyle="1" w:styleId="102">
    <w:name w:val="标准正文"/>
    <w:basedOn w:val="1"/>
    <w:qFormat/>
    <w:uiPriority w:val="0"/>
    <w:pPr>
      <w:ind w:firstLine="480" w:firstLineChars="200"/>
      <w:jc w:val="left"/>
    </w:pPr>
    <w:rPr>
      <w:rFonts w:ascii="宋体" w:hAnsi="宋体"/>
    </w:rPr>
  </w:style>
  <w:style w:type="paragraph" w:customStyle="1" w:styleId="103">
    <w:name w:val="图片标题1"/>
    <w:basedOn w:val="1"/>
    <w:qFormat/>
    <w:uiPriority w:val="0"/>
    <w:pPr>
      <w:tabs>
        <w:tab w:val="left" w:pos="1320"/>
      </w:tabs>
      <w:jc w:val="center"/>
    </w:pPr>
    <w:rPr>
      <w:rFonts w:ascii="Calibri" w:hAnsi="Calibri" w:eastAsia="黑体"/>
      <w:szCs w:val="20"/>
    </w:rPr>
  </w:style>
  <w:style w:type="paragraph" w:customStyle="1" w:styleId="104">
    <w:name w:val="无间隔1"/>
    <w:next w:val="1"/>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05">
    <w:name w:val="guo-表格标题"/>
    <w:basedOn w:val="49"/>
    <w:next w:val="48"/>
    <w:qFormat/>
    <w:uiPriority w:val="0"/>
    <w:pPr>
      <w:spacing w:line="288" w:lineRule="auto"/>
      <w:jc w:val="center"/>
      <w:outlineLvl w:val="4"/>
    </w:pPr>
    <w:rPr>
      <w:rFonts w:eastAsia="黑体"/>
    </w:rPr>
  </w:style>
  <w:style w:type="paragraph" w:customStyle="1" w:styleId="106">
    <w:name w:val="guo-表格内容-居中"/>
    <w:basedOn w:val="49"/>
    <w:qFormat/>
    <w:uiPriority w:val="0"/>
    <w:pPr>
      <w:spacing w:line="240" w:lineRule="auto"/>
      <w:jc w:val="center"/>
    </w:pPr>
    <w:rPr>
      <w:color w:val="000000"/>
      <w:sz w:val="22"/>
      <w:szCs w:val="22"/>
    </w:rPr>
  </w:style>
  <w:style w:type="paragraph" w:customStyle="1" w:styleId="107">
    <w:name w:val="wxy正文"/>
    <w:basedOn w:val="1"/>
    <w:qFormat/>
    <w:uiPriority w:val="0"/>
    <w:pPr>
      <w:ind w:firstLine="480"/>
    </w:pPr>
    <w:rPr>
      <w:snapToGrid w:val="0"/>
      <w:szCs w:val="20"/>
    </w:rPr>
  </w:style>
  <w:style w:type="paragraph" w:customStyle="1" w:styleId="108">
    <w:name w:val="列出段落1"/>
    <w:basedOn w:val="1"/>
    <w:qFormat/>
    <w:uiPriority w:val="34"/>
    <w:pPr>
      <w:ind w:firstLine="420"/>
    </w:pPr>
    <w:rPr>
      <w:kern w:val="0"/>
      <w:szCs w:val="20"/>
    </w:rPr>
  </w:style>
  <w:style w:type="table" w:customStyle="1" w:styleId="109">
    <w:name w:val="网格型17"/>
    <w:basedOn w:val="2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10">
    <w:name w:val="WPSOffice手动目录 1"/>
    <w:qFormat/>
    <w:uiPriority w:val="0"/>
    <w:pPr>
      <w:ind w:leftChars="0"/>
    </w:pPr>
    <w:rPr>
      <w:rFonts w:ascii="Times New Roman" w:hAnsi="Times New Roman" w:eastAsia="宋体" w:cs="Times New Roman"/>
      <w:sz w:val="20"/>
      <w:szCs w:val="20"/>
    </w:rPr>
  </w:style>
  <w:style w:type="paragraph" w:customStyle="1" w:styleId="111">
    <w:name w:val="普通正文"/>
    <w:basedOn w:val="1"/>
    <w:qFormat/>
    <w:uiPriority w:val="0"/>
    <w:pPr>
      <w:widowControl/>
      <w:ind w:firstLine="560"/>
      <w:jc w:val="left"/>
    </w:pPr>
    <w:rPr>
      <w:rFonts w:ascii="宋体" w:hAnsi="宋体" w:eastAsia="仿宋"/>
      <w:kern w:val="21"/>
      <w:sz w:val="28"/>
      <w:szCs w:val="20"/>
    </w:rPr>
  </w:style>
  <w:style w:type="paragraph" w:customStyle="1" w:styleId="112">
    <w:name w:val="正文缩进2"/>
    <w:basedOn w:val="1"/>
    <w:qFormat/>
    <w:uiPriority w:val="0"/>
    <w:pPr>
      <w:ind w:firstLine="420"/>
    </w:pPr>
    <w:rPr>
      <w:rFonts w:cs="Times New Roman"/>
    </w:rPr>
  </w:style>
  <w:style w:type="paragraph" w:customStyle="1" w:styleId="113">
    <w:name w:val="xl31"/>
    <w:basedOn w:val="1"/>
    <w:qFormat/>
    <w:uiPriority w:val="0"/>
    <w:pPr>
      <w:widowControl/>
      <w:pBdr>
        <w:left w:val="single" w:color="auto" w:sz="4" w:space="0"/>
        <w:right w:val="single" w:color="auto" w:sz="4" w:space="0"/>
      </w:pBdr>
      <w:spacing w:before="100" w:beforeLines="0" w:beforeAutospacing="1" w:after="100" w:afterLines="0" w:afterAutospacing="1"/>
      <w:jc w:val="center"/>
    </w:pPr>
    <w:rPr>
      <w:rFonts w:ascii="宋体" w:hAnsi="宋体"/>
      <w:kern w:val="0"/>
      <w:sz w:val="18"/>
      <w:szCs w:val="18"/>
    </w:rPr>
  </w:style>
  <w:style w:type="paragraph" w:customStyle="1" w:styleId="114">
    <w:name w:val="表头粗五"/>
    <w:basedOn w:val="94"/>
    <w:qFormat/>
    <w:uiPriority w:val="0"/>
    <w:pPr>
      <w:spacing w:line="240" w:lineRule="auto"/>
    </w:pPr>
    <w:rPr>
      <w:b/>
      <w:kern w:val="0"/>
      <w:szCs w:val="21"/>
    </w:rPr>
  </w:style>
  <w:style w:type="table" w:customStyle="1" w:styleId="115">
    <w:name w:val="Table Normal"/>
    <w:semiHidden/>
    <w:unhideWhenUsed/>
    <w:qFormat/>
    <w:uiPriority w:val="0"/>
    <w:tblPr>
      <w:tblCellMar>
        <w:top w:w="0" w:type="dxa"/>
        <w:left w:w="0" w:type="dxa"/>
        <w:bottom w:w="0" w:type="dxa"/>
        <w:right w:w="0" w:type="dxa"/>
      </w:tblCellMar>
    </w:tblPr>
  </w:style>
  <w:style w:type="paragraph" w:customStyle="1" w:styleId="116">
    <w:name w:val="样式 样式 小四 行距: 1.5 倍行距 首行缩进:  2 字符1 + 13 磅 黑色 紧缩量  0.2 磅"/>
    <w:basedOn w:val="77"/>
    <w:qFormat/>
    <w:uiPriority w:val="0"/>
    <w:rPr>
      <w:color w:val="000000"/>
      <w:spacing w:val="-4"/>
    </w:rPr>
  </w:style>
  <w:style w:type="paragraph" w:customStyle="1" w:styleId="117">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9" Type="http://schemas.openxmlformats.org/officeDocument/2006/relationships/fontTable" Target="fontTable.xml"/><Relationship Id="rId78" Type="http://schemas.openxmlformats.org/officeDocument/2006/relationships/numbering" Target="numbering.xml"/><Relationship Id="rId77" Type="http://schemas.openxmlformats.org/officeDocument/2006/relationships/customXml" Target="../customXml/item1.xml"/><Relationship Id="rId76" Type="http://schemas.openxmlformats.org/officeDocument/2006/relationships/image" Target="media/image53.jpeg"/><Relationship Id="rId75" Type="http://schemas.openxmlformats.org/officeDocument/2006/relationships/image" Target="media/image52.jpeg"/><Relationship Id="rId74" Type="http://schemas.openxmlformats.org/officeDocument/2006/relationships/image" Target="media/image51.jpeg"/><Relationship Id="rId73" Type="http://schemas.openxmlformats.org/officeDocument/2006/relationships/image" Target="media/image50.jpeg"/><Relationship Id="rId72" Type="http://schemas.openxmlformats.org/officeDocument/2006/relationships/image" Target="media/image49.jpeg"/><Relationship Id="rId71" Type="http://schemas.openxmlformats.org/officeDocument/2006/relationships/image" Target="media/image48.jpeg"/><Relationship Id="rId70" Type="http://schemas.openxmlformats.org/officeDocument/2006/relationships/image" Target="media/image47.jpeg"/><Relationship Id="rId7" Type="http://schemas.openxmlformats.org/officeDocument/2006/relationships/footer" Target="footer2.xml"/><Relationship Id="rId69" Type="http://schemas.openxmlformats.org/officeDocument/2006/relationships/image" Target="media/image46.png"/><Relationship Id="rId68" Type="http://schemas.openxmlformats.org/officeDocument/2006/relationships/image" Target="media/image45.png"/><Relationship Id="rId67" Type="http://schemas.openxmlformats.org/officeDocument/2006/relationships/image" Target="media/image44.png"/><Relationship Id="rId66" Type="http://schemas.openxmlformats.org/officeDocument/2006/relationships/image" Target="media/image43.png"/><Relationship Id="rId65" Type="http://schemas.openxmlformats.org/officeDocument/2006/relationships/image" Target="media/image42.png"/><Relationship Id="rId64" Type="http://schemas.openxmlformats.org/officeDocument/2006/relationships/image" Target="media/image41.png"/><Relationship Id="rId63" Type="http://schemas.openxmlformats.org/officeDocument/2006/relationships/image" Target="media/image40.png"/><Relationship Id="rId62" Type="http://schemas.openxmlformats.org/officeDocument/2006/relationships/image" Target="media/image39.png"/><Relationship Id="rId61" Type="http://schemas.openxmlformats.org/officeDocument/2006/relationships/image" Target="media/image38.png"/><Relationship Id="rId60" Type="http://schemas.openxmlformats.org/officeDocument/2006/relationships/image" Target="media/image37.png"/><Relationship Id="rId6" Type="http://schemas.openxmlformats.org/officeDocument/2006/relationships/footer" Target="footer1.xml"/><Relationship Id="rId59" Type="http://schemas.openxmlformats.org/officeDocument/2006/relationships/image" Target="media/image36.png"/><Relationship Id="rId58" Type="http://schemas.openxmlformats.org/officeDocument/2006/relationships/image" Target="media/image35.png"/><Relationship Id="rId57" Type="http://schemas.openxmlformats.org/officeDocument/2006/relationships/image" Target="media/image34.png"/><Relationship Id="rId56" Type="http://schemas.openxmlformats.org/officeDocument/2006/relationships/image" Target="media/image33.png"/><Relationship Id="rId55" Type="http://schemas.openxmlformats.org/officeDocument/2006/relationships/image" Target="media/image32.png"/><Relationship Id="rId54" Type="http://schemas.openxmlformats.org/officeDocument/2006/relationships/image" Target="media/image31.png"/><Relationship Id="rId53" Type="http://schemas.openxmlformats.org/officeDocument/2006/relationships/oleObject" Target="embeddings/oleObject6.bin"/><Relationship Id="rId52" Type="http://schemas.openxmlformats.org/officeDocument/2006/relationships/image" Target="media/image30.png"/><Relationship Id="rId51" Type="http://schemas.openxmlformats.org/officeDocument/2006/relationships/oleObject" Target="embeddings/oleObject5.bin"/><Relationship Id="rId50" Type="http://schemas.openxmlformats.org/officeDocument/2006/relationships/image" Target="media/image29.png"/><Relationship Id="rId5" Type="http://schemas.openxmlformats.org/officeDocument/2006/relationships/header" Target="header1.xml"/><Relationship Id="rId49" Type="http://schemas.openxmlformats.org/officeDocument/2006/relationships/oleObject" Target="embeddings/oleObject4.bin"/><Relationship Id="rId48" Type="http://schemas.openxmlformats.org/officeDocument/2006/relationships/image" Target="media/image28.png"/><Relationship Id="rId47" Type="http://schemas.openxmlformats.org/officeDocument/2006/relationships/oleObject" Target="embeddings/oleObject3.bin"/><Relationship Id="rId46" Type="http://schemas.openxmlformats.org/officeDocument/2006/relationships/image" Target="media/image27.png"/><Relationship Id="rId45" Type="http://schemas.openxmlformats.org/officeDocument/2006/relationships/oleObject" Target="embeddings/oleObject2.bin"/><Relationship Id="rId44" Type="http://schemas.openxmlformats.org/officeDocument/2006/relationships/image" Target="media/image26.png"/><Relationship Id="rId43" Type="http://schemas.openxmlformats.org/officeDocument/2006/relationships/oleObject" Target="embeddings/oleObject1.bin"/><Relationship Id="rId42" Type="http://schemas.openxmlformats.org/officeDocument/2006/relationships/image" Target="media/image25.png"/><Relationship Id="rId41" Type="http://schemas.openxmlformats.org/officeDocument/2006/relationships/image" Target="media/image24.jpeg"/><Relationship Id="rId40" Type="http://schemas.openxmlformats.org/officeDocument/2006/relationships/image" Target="media/image23.jpeg"/><Relationship Id="rId4" Type="http://schemas.openxmlformats.org/officeDocument/2006/relationships/endnotes" Target="endnotes.xml"/><Relationship Id="rId39" Type="http://schemas.openxmlformats.org/officeDocument/2006/relationships/image" Target="media/image22.jpeg"/><Relationship Id="rId38" Type="http://schemas.openxmlformats.org/officeDocument/2006/relationships/image" Target="media/image21.jpeg"/><Relationship Id="rId37" Type="http://schemas.openxmlformats.org/officeDocument/2006/relationships/image" Target="media/image20.jpeg"/><Relationship Id="rId36" Type="http://schemas.openxmlformats.org/officeDocument/2006/relationships/image" Target="media/image19.jpeg"/><Relationship Id="rId35" Type="http://schemas.openxmlformats.org/officeDocument/2006/relationships/image" Target="media/image18.png"/><Relationship Id="rId34" Type="http://schemas.openxmlformats.org/officeDocument/2006/relationships/image" Target="media/image17.jpeg"/><Relationship Id="rId33" Type="http://schemas.openxmlformats.org/officeDocument/2006/relationships/image" Target="media/image16.jpeg"/><Relationship Id="rId32" Type="http://schemas.openxmlformats.org/officeDocument/2006/relationships/image" Target="media/image15.png"/><Relationship Id="rId31" Type="http://schemas.openxmlformats.org/officeDocument/2006/relationships/image" Target="media/image14.jpeg"/><Relationship Id="rId30" Type="http://schemas.openxmlformats.org/officeDocument/2006/relationships/image" Target="media/image13.png"/><Relationship Id="rId3" Type="http://schemas.openxmlformats.org/officeDocument/2006/relationships/footnotes" Target="footnotes.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jpeg"/><Relationship Id="rId23" Type="http://schemas.openxmlformats.org/officeDocument/2006/relationships/image" Target="media/image6.png"/><Relationship Id="rId22" Type="http://schemas.openxmlformats.org/officeDocument/2006/relationships/image" Target="media/image5.jpeg"/><Relationship Id="rId21" Type="http://schemas.openxmlformats.org/officeDocument/2006/relationships/image" Target="media/image4.jpeg"/><Relationship Id="rId20" Type="http://schemas.openxmlformats.org/officeDocument/2006/relationships/image" Target="media/image3.jpe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jpeg"/><Relationship Id="rId17" Type="http://schemas.openxmlformats.org/officeDocument/2006/relationships/theme" Target="theme/theme1.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4.xml"/><Relationship Id="rId13" Type="http://schemas.openxmlformats.org/officeDocument/2006/relationships/header" Target="header3.xml"/><Relationship Id="rId12" Type="http://schemas.openxmlformats.org/officeDocument/2006/relationships/footer" Target="footer6.xml"/><Relationship Id="rId11" Type="http://schemas.openxmlformats.org/officeDocument/2006/relationships/header" Target="header2.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159</Pages>
  <Words>9497</Words>
  <Characters>10011</Characters>
  <Lines>1071</Lines>
  <Paragraphs>301</Paragraphs>
  <TotalTime>0</TotalTime>
  <ScaleCrop>false</ScaleCrop>
  <LinksUpToDate>false</LinksUpToDate>
  <CharactersWithSpaces>10063</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2022-12-14T10:32:00Z</dcterms:created>
  <dc:creator>lhj</dc:creator>
  <cp:lastModifiedBy>别茹冰</cp:lastModifiedBy>
  <cp:lastPrinted>2023-03-07T01:44:00Z</cp:lastPrinted>
  <dcterms:modified xsi:type="dcterms:W3CDTF">2025-06-09T13:48:12Z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0928B188AEF34CDD8B6E0A7FC9FC8843_13</vt:lpwstr>
  </property>
  <property fmtid="{D5CDD505-2E9C-101B-9397-08002B2CF9AE}" pid="4" name="KSOSaveFontToCloudKey">
    <vt:lpwstr>271693701_btnclosed</vt:lpwstr>
  </property>
  <property fmtid="{D5CDD505-2E9C-101B-9397-08002B2CF9AE}" pid="5" name="KSOTemplateDocerSaveRecord">
    <vt:lpwstr>eyJoZGlkIjoiODIzNDFkOTQ3MjBiNTAyYjE1MDg1ZGFiODcyMWIxOTQiLCJ1c2VySWQiOiIzMzU0ODcyMDMifQ==</vt:lpwstr>
  </property>
</Properties>
</file>