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5DA2C">
      <w:pPr>
        <w:spacing w:line="400" w:lineRule="exact"/>
        <w:rPr>
          <w:rFonts w:eastAsia="楷体_GB2312"/>
          <w:spacing w:val="-11"/>
          <w:sz w:val="28"/>
          <w:szCs w:val="28"/>
        </w:rPr>
      </w:pPr>
    </w:p>
    <w:p w14:paraId="00E2B652">
      <w:pPr>
        <w:spacing w:line="400" w:lineRule="exact"/>
        <w:rPr>
          <w:rFonts w:eastAsia="楷体_GB2312"/>
          <w:spacing w:val="-11"/>
          <w:sz w:val="28"/>
          <w:szCs w:val="28"/>
        </w:rPr>
      </w:pPr>
    </w:p>
    <w:p w14:paraId="38225D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关于通道侗族自治县</w:t>
      </w:r>
    </w:p>
    <w:p w14:paraId="37900CA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202</w:t>
      </w:r>
      <w:r>
        <w:rPr>
          <w:rFonts w:hint="eastAsia" w:ascii="方正小标宋简体" w:hAnsi="方正小标宋简体" w:eastAsia="方正小标宋简体" w:cs="方正小标宋简体"/>
          <w:color w:val="auto"/>
          <w:spacing w:val="0"/>
          <w:w w:val="100"/>
          <w:sz w:val="44"/>
          <w:szCs w:val="44"/>
          <w:lang w:val="en-US" w:eastAsia="zh-CN"/>
        </w:rPr>
        <w:t>5</w:t>
      </w:r>
      <w:r>
        <w:rPr>
          <w:rFonts w:hint="eastAsia" w:ascii="方正小标宋简体" w:hAnsi="方正小标宋简体" w:eastAsia="方正小标宋简体" w:cs="方正小标宋简体"/>
          <w:color w:val="auto"/>
          <w:spacing w:val="0"/>
          <w:w w:val="100"/>
          <w:sz w:val="44"/>
          <w:szCs w:val="44"/>
        </w:rPr>
        <w:t>年财政预算执行情况和202</w:t>
      </w:r>
      <w:r>
        <w:rPr>
          <w:rFonts w:hint="eastAsia" w:ascii="方正小标宋简体" w:hAnsi="方正小标宋简体" w:eastAsia="方正小标宋简体" w:cs="方正小标宋简体"/>
          <w:color w:val="auto"/>
          <w:spacing w:val="0"/>
          <w:w w:val="100"/>
          <w:sz w:val="44"/>
          <w:szCs w:val="44"/>
          <w:lang w:val="en-US" w:eastAsia="zh-CN"/>
        </w:rPr>
        <w:t>6</w:t>
      </w:r>
      <w:r>
        <w:rPr>
          <w:rFonts w:hint="eastAsia" w:ascii="方正小标宋简体" w:hAnsi="方正小标宋简体" w:eastAsia="方正小标宋简体" w:cs="方正小标宋简体"/>
          <w:color w:val="auto"/>
          <w:spacing w:val="0"/>
          <w:w w:val="100"/>
          <w:sz w:val="44"/>
          <w:szCs w:val="44"/>
        </w:rPr>
        <w:t>年财政</w:t>
      </w:r>
    </w:p>
    <w:p w14:paraId="338B146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pacing w:val="0"/>
          <w:w w:val="100"/>
          <w:sz w:val="44"/>
          <w:szCs w:val="44"/>
        </w:rPr>
      </w:pPr>
      <w:r>
        <w:rPr>
          <w:rFonts w:hint="eastAsia" w:ascii="方正小标宋简体" w:hAnsi="方正小标宋简体" w:eastAsia="方正小标宋简体" w:cs="方正小标宋简体"/>
          <w:color w:val="auto"/>
          <w:spacing w:val="0"/>
          <w:w w:val="100"/>
          <w:sz w:val="44"/>
          <w:szCs w:val="44"/>
        </w:rPr>
        <w:t>预算（草案）的报告</w:t>
      </w:r>
    </w:p>
    <w:p w14:paraId="74740381">
      <w:pPr>
        <w:keepNext w:val="0"/>
        <w:keepLines w:val="0"/>
        <w:pageBreakBefore w:val="0"/>
        <w:widowControl w:val="0"/>
        <w:kinsoku/>
        <w:wordWrap/>
        <w:overflowPunct w:val="0"/>
        <w:topLinePunct w:val="0"/>
        <w:autoSpaceDE/>
        <w:autoSpaceDN/>
        <w:bidi w:val="0"/>
        <w:adjustRightInd/>
        <w:snapToGrid/>
        <w:spacing w:before="313" w:beforeLines="100" w:line="460" w:lineRule="exact"/>
        <w:jc w:val="center"/>
        <w:textAlignment w:val="auto"/>
        <w:rPr>
          <w:rFonts w:hint="default" w:ascii="Times New Roman" w:hAnsi="Times New Roman" w:eastAsia="楷体" w:cs="Times New Roman"/>
          <w:snapToGrid w:val="0"/>
          <w:color w:val="auto"/>
          <w:spacing w:val="-11"/>
          <w:kern w:val="2"/>
          <w:sz w:val="28"/>
          <w:szCs w:val="28"/>
          <w:lang w:val="zh-CN" w:eastAsia="zh-CN"/>
        </w:rPr>
      </w:pPr>
      <w:r>
        <w:rPr>
          <w:rFonts w:hint="default" w:ascii="Times New Roman" w:hAnsi="Times New Roman" w:eastAsia="楷体" w:cs="Times New Roman"/>
          <w:snapToGrid w:val="0"/>
          <w:color w:val="auto"/>
          <w:spacing w:val="-11"/>
          <w:kern w:val="2"/>
          <w:sz w:val="28"/>
          <w:szCs w:val="28"/>
          <w:lang w:val="en-US" w:eastAsia="zh-CN"/>
        </w:rPr>
        <w:t>——</w:t>
      </w:r>
      <w:r>
        <w:rPr>
          <w:rFonts w:hint="default" w:ascii="Times New Roman" w:hAnsi="Times New Roman" w:eastAsia="楷体_GB2312" w:cs="Times New Roman"/>
          <w:snapToGrid w:val="0"/>
          <w:color w:val="auto"/>
          <w:spacing w:val="-11"/>
          <w:kern w:val="2"/>
          <w:sz w:val="28"/>
          <w:szCs w:val="28"/>
          <w:lang w:val="zh-CN" w:eastAsia="zh-CN"/>
        </w:rPr>
        <w:t>202</w:t>
      </w:r>
      <w:r>
        <w:rPr>
          <w:rFonts w:hint="default" w:ascii="Times New Roman" w:hAnsi="Times New Roman" w:eastAsia="楷体_GB2312" w:cs="Times New Roman"/>
          <w:snapToGrid w:val="0"/>
          <w:color w:val="auto"/>
          <w:spacing w:val="-11"/>
          <w:kern w:val="2"/>
          <w:sz w:val="28"/>
          <w:szCs w:val="28"/>
          <w:lang w:val="en-US" w:eastAsia="zh-CN"/>
        </w:rPr>
        <w:t>5</w:t>
      </w:r>
      <w:r>
        <w:rPr>
          <w:rFonts w:hint="default" w:ascii="Times New Roman" w:hAnsi="Times New Roman" w:eastAsia="楷体_GB2312" w:cs="Times New Roman"/>
          <w:snapToGrid w:val="0"/>
          <w:color w:val="auto"/>
          <w:spacing w:val="-11"/>
          <w:kern w:val="2"/>
          <w:sz w:val="28"/>
          <w:szCs w:val="28"/>
          <w:lang w:val="zh-CN" w:eastAsia="zh-CN"/>
        </w:rPr>
        <w:t>年</w:t>
      </w:r>
      <w:r>
        <w:rPr>
          <w:rFonts w:hint="default" w:ascii="Times New Roman" w:hAnsi="Times New Roman" w:eastAsia="楷体_GB2312" w:cs="Times New Roman"/>
          <w:snapToGrid w:val="0"/>
          <w:color w:val="auto"/>
          <w:spacing w:val="-11"/>
          <w:kern w:val="2"/>
          <w:sz w:val="28"/>
          <w:szCs w:val="28"/>
          <w:lang w:val="en-US" w:eastAsia="zh-CN"/>
        </w:rPr>
        <w:t>12</w:t>
      </w:r>
      <w:r>
        <w:rPr>
          <w:rFonts w:hint="default" w:ascii="Times New Roman" w:hAnsi="Times New Roman" w:eastAsia="楷体_GB2312" w:cs="Times New Roman"/>
          <w:snapToGrid w:val="0"/>
          <w:color w:val="auto"/>
          <w:spacing w:val="-11"/>
          <w:kern w:val="2"/>
          <w:sz w:val="28"/>
          <w:szCs w:val="28"/>
          <w:lang w:val="zh-CN" w:eastAsia="zh-CN"/>
        </w:rPr>
        <w:t>月</w:t>
      </w:r>
      <w:r>
        <w:rPr>
          <w:rFonts w:hint="default" w:ascii="Times New Roman" w:hAnsi="Times New Roman" w:eastAsia="楷体_GB2312" w:cs="Times New Roman"/>
          <w:snapToGrid w:val="0"/>
          <w:color w:val="auto"/>
          <w:spacing w:val="-11"/>
          <w:kern w:val="2"/>
          <w:sz w:val="28"/>
          <w:szCs w:val="28"/>
          <w:lang w:val="en-US" w:eastAsia="zh-CN"/>
        </w:rPr>
        <w:t>18</w:t>
      </w:r>
      <w:r>
        <w:rPr>
          <w:rFonts w:hint="default" w:ascii="Times New Roman" w:hAnsi="Times New Roman" w:eastAsia="楷体_GB2312" w:cs="Times New Roman"/>
          <w:snapToGrid w:val="0"/>
          <w:color w:val="auto"/>
          <w:spacing w:val="-11"/>
          <w:kern w:val="2"/>
          <w:sz w:val="28"/>
          <w:szCs w:val="28"/>
          <w:lang w:val="zh-CN" w:eastAsia="zh-CN"/>
        </w:rPr>
        <w:t>日在通道侗族自治县第十七届人民代表大会第</w:t>
      </w:r>
      <w:r>
        <w:rPr>
          <w:rFonts w:hint="default" w:ascii="Times New Roman" w:hAnsi="Times New Roman" w:eastAsia="楷体_GB2312" w:cs="Times New Roman"/>
          <w:snapToGrid w:val="0"/>
          <w:color w:val="auto"/>
          <w:spacing w:val="-11"/>
          <w:kern w:val="2"/>
          <w:sz w:val="28"/>
          <w:szCs w:val="28"/>
          <w:lang w:val="en-US" w:eastAsia="zh-CN"/>
        </w:rPr>
        <w:t>五</w:t>
      </w:r>
      <w:r>
        <w:rPr>
          <w:rFonts w:hint="default" w:ascii="Times New Roman" w:hAnsi="Times New Roman" w:eastAsia="楷体_GB2312" w:cs="Times New Roman"/>
          <w:snapToGrid w:val="0"/>
          <w:color w:val="auto"/>
          <w:spacing w:val="-11"/>
          <w:kern w:val="2"/>
          <w:sz w:val="28"/>
          <w:szCs w:val="28"/>
          <w:lang w:val="zh-CN" w:eastAsia="zh-CN"/>
        </w:rPr>
        <w:t>次会议上</w:t>
      </w:r>
    </w:p>
    <w:p w14:paraId="689FBF7C">
      <w:pPr>
        <w:keepNext w:val="0"/>
        <w:keepLines w:val="0"/>
        <w:pageBreakBefore w:val="0"/>
        <w:widowControl w:val="0"/>
        <w:tabs>
          <w:tab w:val="left" w:pos="5706"/>
        </w:tabs>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color w:val="auto"/>
          <w:spacing w:val="0"/>
          <w:w w:val="100"/>
          <w:sz w:val="28"/>
          <w:szCs w:val="28"/>
          <w:lang w:eastAsia="zh-CN"/>
        </w:rPr>
      </w:pPr>
      <w:r>
        <w:rPr>
          <w:rFonts w:hint="eastAsia" w:ascii="楷体_GB2312" w:hAnsi="楷体_GB2312" w:eastAsia="楷体_GB2312" w:cs="楷体_GB2312"/>
          <w:b w:val="0"/>
          <w:bCs w:val="0"/>
          <w:color w:val="auto"/>
          <w:spacing w:val="0"/>
          <w:w w:val="100"/>
          <w:sz w:val="28"/>
          <w:szCs w:val="28"/>
          <w:lang w:eastAsia="zh-CN"/>
        </w:rPr>
        <w:t>县人民政府副县长、</w:t>
      </w:r>
      <w:r>
        <w:rPr>
          <w:rFonts w:hint="eastAsia" w:ascii="楷体_GB2312" w:hAnsi="楷体_GB2312" w:eastAsia="楷体_GB2312" w:cs="楷体_GB2312"/>
          <w:b w:val="0"/>
          <w:bCs w:val="0"/>
          <w:color w:val="auto"/>
          <w:spacing w:val="0"/>
          <w:w w:val="100"/>
          <w:sz w:val="28"/>
          <w:szCs w:val="28"/>
        </w:rPr>
        <w:t>县财政局局长</w:t>
      </w:r>
      <w:r>
        <w:rPr>
          <w:rFonts w:hint="eastAsia" w:ascii="楷体_GB2312" w:hAnsi="楷体_GB2312" w:eastAsia="楷体_GB2312" w:cs="楷体_GB2312"/>
          <w:b w:val="0"/>
          <w:bCs w:val="0"/>
          <w:color w:val="auto"/>
          <w:spacing w:val="0"/>
          <w:w w:val="100"/>
          <w:sz w:val="28"/>
          <w:szCs w:val="28"/>
          <w:lang w:val="en-US" w:eastAsia="zh-CN"/>
        </w:rPr>
        <w:t xml:space="preserve">  杨庆恒</w:t>
      </w:r>
    </w:p>
    <w:p w14:paraId="7D028414">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bCs/>
          <w:color w:val="auto"/>
          <w:spacing w:val="0"/>
          <w:w w:val="100"/>
          <w:sz w:val="32"/>
          <w:szCs w:val="32"/>
          <w:lang w:eastAsia="zh-CN"/>
        </w:rPr>
      </w:pPr>
    </w:p>
    <w:p w14:paraId="4F55D37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eastAsia="zh-CN"/>
        </w:rPr>
      </w:pPr>
    </w:p>
    <w:p w14:paraId="753DC6F1">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hint="default" w:ascii="Times New Roman" w:hAnsi="Times New Roman" w:eastAsia="仿宋_GB2312" w:cs="Times New Roman"/>
          <w:b w:val="0"/>
          <w:bCs w:val="0"/>
          <w:color w:val="auto"/>
          <w:spacing w:val="0"/>
          <w:w w:val="100"/>
          <w:sz w:val="32"/>
          <w:szCs w:val="32"/>
          <w:lang w:eastAsia="zh-CN"/>
        </w:rPr>
      </w:pPr>
      <w:r>
        <w:rPr>
          <w:rFonts w:hint="default" w:ascii="Times New Roman" w:hAnsi="Times New Roman" w:eastAsia="仿宋_GB2312" w:cs="Times New Roman"/>
          <w:b w:val="0"/>
          <w:bCs w:val="0"/>
          <w:color w:val="auto"/>
          <w:spacing w:val="0"/>
          <w:w w:val="100"/>
          <w:sz w:val="32"/>
          <w:szCs w:val="32"/>
          <w:lang w:eastAsia="zh-CN"/>
        </w:rPr>
        <w:t>各位代表</w:t>
      </w:r>
      <w:r>
        <w:rPr>
          <w:rFonts w:hint="default" w:ascii="Times New Roman" w:hAnsi="Times New Roman" w:eastAsia="仿宋_GB2312" w:cs="Times New Roman"/>
          <w:b w:val="0"/>
          <w:bCs w:val="0"/>
          <w:color w:val="auto"/>
          <w:spacing w:val="0"/>
          <w:w w:val="100"/>
          <w:sz w:val="32"/>
          <w:szCs w:val="32"/>
          <w:lang w:val="en-US" w:eastAsia="zh-CN"/>
        </w:rPr>
        <w:t>:</w:t>
      </w:r>
    </w:p>
    <w:p w14:paraId="793F11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受县人民政府委托，向</w:t>
      </w:r>
      <w:r>
        <w:rPr>
          <w:rFonts w:hint="default" w:ascii="Times New Roman" w:hAnsi="Times New Roman" w:eastAsia="仿宋_GB2312" w:cs="Times New Roman"/>
          <w:color w:val="auto"/>
          <w:spacing w:val="0"/>
          <w:w w:val="100"/>
          <w:sz w:val="32"/>
          <w:szCs w:val="32"/>
          <w:lang w:eastAsia="zh-CN"/>
        </w:rPr>
        <w:t>大会</w:t>
      </w:r>
      <w:r>
        <w:rPr>
          <w:rFonts w:hint="default" w:ascii="Times New Roman" w:hAnsi="Times New Roman" w:eastAsia="仿宋_GB2312" w:cs="Times New Roman"/>
          <w:spacing w:val="0"/>
          <w:w w:val="100"/>
          <w:sz w:val="32"/>
          <w:szCs w:val="32"/>
        </w:rPr>
        <w:t>报告通道侗族自治县202</w:t>
      </w:r>
      <w:r>
        <w:rPr>
          <w:rFonts w:hint="default" w:ascii="Times New Roman" w:hAnsi="Times New Roman" w:eastAsia="仿宋_GB2312" w:cs="Times New Roman"/>
          <w:spacing w:val="0"/>
          <w:w w:val="100"/>
          <w:sz w:val="32"/>
          <w:szCs w:val="32"/>
          <w:lang w:val="en-US" w:eastAsia="zh-CN"/>
        </w:rPr>
        <w:t>5</w:t>
      </w:r>
      <w:r>
        <w:rPr>
          <w:rFonts w:hint="default" w:ascii="Times New Roman" w:hAnsi="Times New Roman" w:eastAsia="仿宋_GB2312" w:cs="Times New Roman"/>
          <w:spacing w:val="0"/>
          <w:w w:val="100"/>
          <w:sz w:val="32"/>
          <w:szCs w:val="32"/>
        </w:rPr>
        <w:t>年财政预算执行情况和202</w:t>
      </w:r>
      <w:r>
        <w:rPr>
          <w:rFonts w:hint="default" w:ascii="Times New Roman" w:hAnsi="Times New Roman" w:eastAsia="仿宋_GB2312" w:cs="Times New Roman"/>
          <w:spacing w:val="0"/>
          <w:w w:val="100"/>
          <w:sz w:val="32"/>
          <w:szCs w:val="32"/>
          <w:lang w:val="en-US" w:eastAsia="zh-CN"/>
        </w:rPr>
        <w:t>6</w:t>
      </w:r>
      <w:r>
        <w:rPr>
          <w:rFonts w:hint="default" w:ascii="Times New Roman" w:hAnsi="Times New Roman" w:eastAsia="仿宋_GB2312" w:cs="Times New Roman"/>
          <w:spacing w:val="0"/>
          <w:w w:val="100"/>
          <w:sz w:val="32"/>
          <w:szCs w:val="32"/>
        </w:rPr>
        <w:t>年财政预算（草案），请予审议</w:t>
      </w:r>
      <w:r>
        <w:rPr>
          <w:rFonts w:hint="default" w:ascii="Times New Roman" w:hAnsi="Times New Roman" w:eastAsia="仿宋_GB2312" w:cs="Times New Roman"/>
          <w:spacing w:val="0"/>
          <w:w w:val="100"/>
          <w:sz w:val="32"/>
          <w:szCs w:val="32"/>
          <w:lang w:eastAsia="zh-CN"/>
        </w:rPr>
        <w:t>，并请各位政协委员和列席同志提出意见。</w:t>
      </w:r>
    </w:p>
    <w:p w14:paraId="62B419B9">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一、202</w:t>
      </w:r>
      <w:r>
        <w:rPr>
          <w:rFonts w:hint="default" w:ascii="Times New Roman" w:hAnsi="Times New Roman" w:eastAsia="黑体" w:cs="Times New Roman"/>
          <w:color w:val="auto"/>
          <w:spacing w:val="0"/>
          <w:w w:val="100"/>
          <w:sz w:val="32"/>
          <w:szCs w:val="32"/>
          <w:lang w:val="en-US" w:eastAsia="zh-CN"/>
        </w:rPr>
        <w:t>5</w:t>
      </w:r>
      <w:r>
        <w:rPr>
          <w:rFonts w:hint="default" w:ascii="Times New Roman" w:hAnsi="Times New Roman" w:eastAsia="黑体" w:cs="Times New Roman"/>
          <w:color w:val="auto"/>
          <w:spacing w:val="0"/>
          <w:w w:val="100"/>
          <w:sz w:val="32"/>
          <w:szCs w:val="32"/>
        </w:rPr>
        <w:t>年财政预算执行情况</w:t>
      </w:r>
    </w:p>
    <w:p w14:paraId="165298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spacing w:val="0"/>
          <w:w w:val="100"/>
          <w:sz w:val="32"/>
          <w:szCs w:val="32"/>
          <w:lang w:val="en-US" w:eastAsia="zh-CN"/>
        </w:rPr>
      </w:pPr>
      <w:r>
        <w:rPr>
          <w:rFonts w:hint="default" w:ascii="Times New Roman" w:hAnsi="Times New Roman" w:eastAsia="仿宋_GB2312" w:cs="Times New Roman"/>
          <w:b w:val="0"/>
          <w:bCs w:val="0"/>
          <w:spacing w:val="0"/>
          <w:w w:val="100"/>
          <w:sz w:val="32"/>
          <w:szCs w:val="32"/>
          <w:lang w:val="en-US" w:eastAsia="zh-CN"/>
        </w:rPr>
        <w:t>2025年是实施</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十四五</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规划目标任务的收官之年，面对复杂严峻的经济形势，财政部门承压前行、勇挑重担，全县上下始终坚持以习近平新时代中国特色社会主义思想为指导，在县委、县政府的坚强领导下，在县人大、县政协的监督支持下，全面贯彻党的二十大和二十届历次全会精神，坚持稳中求进的工作总基调，落实实施</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适度加力、提质增效</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的积极财政政策，不断优化财政支出结构，兜牢兜实</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三保</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底线，防范化解运行风险，强化财政管理效能，全力保障经济和社会各项事业发展，预算执行和财政运行总体平稳。</w:t>
      </w:r>
    </w:p>
    <w:p w14:paraId="4894F0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val="en-US" w:eastAsia="zh-CN"/>
        </w:rPr>
      </w:pPr>
      <w:r>
        <w:rPr>
          <w:rFonts w:hint="default" w:ascii="楷体_GB2312" w:hAnsi="楷体_GB2312" w:eastAsia="楷体_GB2312" w:cs="楷体_GB2312"/>
          <w:b/>
          <w:bCs/>
          <w:color w:val="auto"/>
          <w:spacing w:val="0"/>
          <w:w w:val="100"/>
          <w:sz w:val="32"/>
          <w:szCs w:val="32"/>
          <w:highlight w:val="none"/>
          <w:lang w:val="en-US" w:eastAsia="zh-CN"/>
        </w:rPr>
        <w:t>（一）一般公共预算收支情况</w:t>
      </w:r>
    </w:p>
    <w:p w14:paraId="2AF46C0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1</w:t>
      </w:r>
      <w:r>
        <w:rPr>
          <w:rFonts w:hint="eastAsia" w:ascii="Times New Roman" w:hAnsi="Times New Roman" w:eastAsia="仿宋_GB2312" w:cs="Times New Roman"/>
          <w:b/>
          <w:bCs/>
          <w:color w:val="auto"/>
          <w:spacing w:val="0"/>
          <w:w w:val="100"/>
          <w:sz w:val="32"/>
          <w:szCs w:val="32"/>
          <w:highlight w:val="none"/>
          <w:lang w:val="en-US" w:eastAsia="zh-CN"/>
        </w:rPr>
        <w:t>．</w:t>
      </w:r>
      <w:r>
        <w:rPr>
          <w:rFonts w:hint="default" w:ascii="Times New Roman" w:hAnsi="Times New Roman" w:eastAsia="仿宋_GB2312" w:cs="Times New Roman"/>
          <w:b/>
          <w:bCs/>
          <w:color w:val="auto"/>
          <w:spacing w:val="0"/>
          <w:w w:val="100"/>
          <w:sz w:val="32"/>
          <w:szCs w:val="32"/>
          <w:highlight w:val="none"/>
          <w:lang w:val="en-US" w:eastAsia="zh-CN"/>
        </w:rPr>
        <w:t>收入情况。</w:t>
      </w:r>
      <w:r>
        <w:rPr>
          <w:rFonts w:hint="default" w:ascii="Times New Roman" w:hAnsi="Times New Roman" w:eastAsia="仿宋_GB2312" w:cs="Times New Roman"/>
          <w:b w:val="0"/>
          <w:bCs w:val="0"/>
          <w:color w:val="auto"/>
          <w:spacing w:val="0"/>
          <w:w w:val="100"/>
          <w:sz w:val="32"/>
          <w:szCs w:val="32"/>
          <w:highlight w:val="none"/>
          <w:lang w:val="en-US" w:eastAsia="zh-CN"/>
        </w:rPr>
        <w:t>一般公共预算总收入预计完成328516万元（含地方政府一般债券转贷收入45394万元），</w:t>
      </w:r>
      <w:r>
        <w:rPr>
          <w:rFonts w:hint="default" w:ascii="Times New Roman" w:hAnsi="Times New Roman" w:eastAsia="仿宋_GB2312" w:cs="Times New Roman"/>
          <w:b w:val="0"/>
          <w:bCs w:val="0"/>
          <w:spacing w:val="0"/>
          <w:w w:val="100"/>
          <w:sz w:val="32"/>
          <w:szCs w:val="32"/>
          <w:lang w:val="en-US" w:eastAsia="zh-CN"/>
        </w:rPr>
        <w:t>为预算调整数的100.7%，同比上年减少18118万元，下降5.2%，具体情况如下：</w:t>
      </w:r>
    </w:p>
    <w:p w14:paraId="5900EE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eastAsia="zh-CN"/>
        </w:rPr>
        <w:t>（</w:t>
      </w:r>
      <w:r>
        <w:rPr>
          <w:rFonts w:hint="default" w:ascii="Times New Roman" w:hAnsi="Times New Roman" w:eastAsia="仿宋_GB2312" w:cs="Times New Roman"/>
          <w:b w:val="0"/>
          <w:bCs w:val="0"/>
          <w:color w:val="auto"/>
          <w:spacing w:val="0"/>
          <w:w w:val="100"/>
          <w:sz w:val="32"/>
          <w:szCs w:val="32"/>
          <w:highlight w:val="none"/>
          <w:lang w:val="en-US" w:eastAsia="zh-CN"/>
        </w:rPr>
        <w:t>1</w:t>
      </w:r>
      <w:r>
        <w:rPr>
          <w:rFonts w:hint="default" w:ascii="Times New Roman" w:hAnsi="Times New Roman" w:eastAsia="仿宋_GB2312" w:cs="Times New Roman"/>
          <w:b w:val="0"/>
          <w:bCs w:val="0"/>
          <w:color w:val="auto"/>
          <w:spacing w:val="0"/>
          <w:w w:val="100"/>
          <w:sz w:val="32"/>
          <w:szCs w:val="32"/>
          <w:highlight w:val="none"/>
          <w:lang w:eastAsia="zh-CN"/>
        </w:rPr>
        <w:t>）地方一般公共预算收入预计完成</w:t>
      </w:r>
      <w:r>
        <w:rPr>
          <w:rFonts w:hint="default" w:ascii="Times New Roman" w:hAnsi="Times New Roman" w:eastAsia="仿宋_GB2312" w:cs="Times New Roman"/>
          <w:b w:val="0"/>
          <w:bCs w:val="0"/>
          <w:color w:val="auto"/>
          <w:spacing w:val="0"/>
          <w:w w:val="100"/>
          <w:sz w:val="32"/>
          <w:szCs w:val="32"/>
          <w:highlight w:val="none"/>
          <w:lang w:val="en-US" w:eastAsia="zh-CN"/>
        </w:rPr>
        <w:t>41885万元，为预算调整数的100%，同比上年增加1022万元，增长2.5%；</w:t>
      </w:r>
    </w:p>
    <w:p w14:paraId="7D8C95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（2）上级补助收入预计完成226880万元，为调整预算的100.1%，同比上年增加4119万元，增长1.8%；</w:t>
      </w:r>
    </w:p>
    <w:p w14:paraId="355A01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（3）债务转贷收入预计完成45394万元，为预算调整数的147.4%，同比上年增加11934万元，其中：新增一般债券</w:t>
      </w:r>
      <w:r>
        <w:rPr>
          <w:rFonts w:hint="eastAsia" w:ascii="Times New Roman" w:hAnsi="Times New Roman" w:eastAsia="仿宋_GB2312" w:cs="Times New Roman"/>
          <w:b w:val="0"/>
          <w:bCs w:val="0"/>
          <w:color w:val="auto"/>
          <w:spacing w:val="0"/>
          <w:w w:val="100"/>
          <w:sz w:val="32"/>
          <w:szCs w:val="32"/>
          <w:highlight w:val="none"/>
          <w:lang w:val="en-US" w:eastAsia="zh-CN"/>
        </w:rPr>
        <w:t>28200</w:t>
      </w:r>
      <w:r>
        <w:rPr>
          <w:rFonts w:hint="default" w:ascii="Times New Roman" w:hAnsi="Times New Roman" w:eastAsia="仿宋_GB2312" w:cs="Times New Roman"/>
          <w:b w:val="0"/>
          <w:bCs w:val="0"/>
          <w:color w:val="auto"/>
          <w:spacing w:val="0"/>
          <w:w w:val="100"/>
          <w:sz w:val="32"/>
          <w:szCs w:val="32"/>
          <w:highlight w:val="none"/>
          <w:lang w:val="en-US" w:eastAsia="zh-CN"/>
        </w:rPr>
        <w:t>万元（主要是预算调整后省转贷增加</w:t>
      </w:r>
      <w:r>
        <w:rPr>
          <w:rFonts w:hint="eastAsia" w:ascii="Times New Roman" w:hAnsi="Times New Roman" w:eastAsia="仿宋_GB2312" w:cs="Times New Roman"/>
          <w:b w:val="0"/>
          <w:bCs w:val="0"/>
          <w:color w:val="auto"/>
          <w:spacing w:val="0"/>
          <w:w w:val="100"/>
          <w:sz w:val="32"/>
          <w:szCs w:val="32"/>
          <w:highlight w:val="none"/>
          <w:lang w:val="en-US" w:eastAsia="zh-CN"/>
        </w:rPr>
        <w:t>置换</w:t>
      </w:r>
      <w:r>
        <w:rPr>
          <w:rFonts w:hint="default" w:ascii="Times New Roman" w:hAnsi="Times New Roman" w:eastAsia="仿宋_GB2312" w:cs="Times New Roman"/>
          <w:b w:val="0"/>
          <w:bCs w:val="0"/>
          <w:color w:val="auto"/>
          <w:spacing w:val="0"/>
          <w:w w:val="100"/>
          <w:sz w:val="32"/>
          <w:szCs w:val="32"/>
          <w:highlight w:val="none"/>
          <w:lang w:val="en-US" w:eastAsia="zh-CN"/>
        </w:rPr>
        <w:t>一般债券收入14600万元），再融资债券</w:t>
      </w:r>
      <w:r>
        <w:rPr>
          <w:rFonts w:hint="eastAsia" w:ascii="Times New Roman" w:hAnsi="Times New Roman" w:eastAsia="仿宋_GB2312" w:cs="Times New Roman"/>
          <w:b w:val="0"/>
          <w:bCs w:val="0"/>
          <w:color w:val="auto"/>
          <w:spacing w:val="0"/>
          <w:w w:val="100"/>
          <w:sz w:val="32"/>
          <w:szCs w:val="32"/>
          <w:highlight w:val="none"/>
          <w:lang w:val="en-US" w:eastAsia="zh-CN"/>
        </w:rPr>
        <w:t>17194</w:t>
      </w:r>
      <w:r>
        <w:rPr>
          <w:rFonts w:hint="default" w:ascii="Times New Roman" w:hAnsi="Times New Roman" w:eastAsia="仿宋_GB2312" w:cs="Times New Roman"/>
          <w:b w:val="0"/>
          <w:bCs w:val="0"/>
          <w:color w:val="auto"/>
          <w:spacing w:val="0"/>
          <w:w w:val="100"/>
          <w:sz w:val="32"/>
          <w:szCs w:val="32"/>
          <w:highlight w:val="none"/>
          <w:lang w:val="en-US" w:eastAsia="zh-CN"/>
        </w:rPr>
        <w:t>万元；</w:t>
      </w:r>
    </w:p>
    <w:p w14:paraId="4BAF0A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（4）调入资金预计完成12900万元，为预算调整数的50.5%，同比上年减少20299万元，下降61.1%（主要是可收回存量资金的减少）；</w:t>
      </w:r>
    </w:p>
    <w:p w14:paraId="2817C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（5）上年结转收入1457万元。</w:t>
      </w:r>
    </w:p>
    <w:p w14:paraId="76A7A03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2．支出情况。</w:t>
      </w:r>
      <w:r>
        <w:rPr>
          <w:rFonts w:hint="default" w:ascii="Times New Roman" w:hAnsi="Times New Roman" w:eastAsia="仿宋_GB2312" w:cs="Times New Roman"/>
          <w:b w:val="0"/>
          <w:bCs w:val="0"/>
          <w:color w:val="auto"/>
          <w:spacing w:val="0"/>
          <w:w w:val="100"/>
          <w:sz w:val="32"/>
          <w:szCs w:val="32"/>
          <w:highlight w:val="none"/>
          <w:lang w:val="en-US" w:eastAsia="zh-CN"/>
        </w:rPr>
        <w:t>一般公共预算总支出预计完成327516万元（含地方政府一般债券还本支出33707万元），为预算调整数的100.4%，同比上年减少17661万元，下降5.1%，具体情况如下：</w:t>
      </w:r>
    </w:p>
    <w:p w14:paraId="036C65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（1）本级一般公共预算支出预计完成290122万元，为预算调整数的95.6%，同比上年减少26968万元，下降8.5%；</w:t>
      </w:r>
    </w:p>
    <w:p w14:paraId="313DD3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（2）上解上级支出预计完成3687万元，为预算调整数的100%，同去年持平；</w:t>
      </w:r>
    </w:p>
    <w:p w14:paraId="1678A2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（3）地方一般债券还本支出完成33707万元（再融资债券</w:t>
      </w:r>
      <w:r>
        <w:rPr>
          <w:rFonts w:hint="eastAsia" w:ascii="Times New Roman" w:hAnsi="Times New Roman" w:eastAsia="仿宋_GB2312" w:cs="Times New Roman"/>
          <w:b w:val="0"/>
          <w:bCs w:val="0"/>
          <w:color w:val="auto"/>
          <w:spacing w:val="0"/>
          <w:w w:val="100"/>
          <w:sz w:val="32"/>
          <w:szCs w:val="32"/>
          <w:highlight w:val="none"/>
          <w:lang w:val="en-US" w:eastAsia="zh-CN"/>
        </w:rPr>
        <w:t>17194</w:t>
      </w:r>
      <w:r>
        <w:rPr>
          <w:rFonts w:hint="default" w:ascii="Times New Roman" w:hAnsi="Times New Roman" w:eastAsia="仿宋_GB2312" w:cs="Times New Roman"/>
          <w:b w:val="0"/>
          <w:bCs w:val="0"/>
          <w:color w:val="auto"/>
          <w:spacing w:val="0"/>
          <w:w w:val="100"/>
          <w:sz w:val="32"/>
          <w:szCs w:val="32"/>
          <w:highlight w:val="none"/>
          <w:lang w:val="en-US" w:eastAsia="zh-CN"/>
        </w:rPr>
        <w:t>万元，</w:t>
      </w:r>
      <w:r>
        <w:rPr>
          <w:rFonts w:hint="eastAsia" w:ascii="Times New Roman" w:hAnsi="Times New Roman" w:eastAsia="仿宋_GB2312" w:cs="Times New Roman"/>
          <w:b w:val="0"/>
          <w:bCs w:val="0"/>
          <w:color w:val="auto"/>
          <w:spacing w:val="0"/>
          <w:w w:val="100"/>
          <w:sz w:val="32"/>
          <w:szCs w:val="32"/>
          <w:highlight w:val="none"/>
          <w:lang w:val="en-US" w:eastAsia="zh-CN"/>
        </w:rPr>
        <w:t>置换一般债券14600万元，</w:t>
      </w:r>
      <w:r>
        <w:rPr>
          <w:rFonts w:hint="default" w:ascii="Times New Roman" w:hAnsi="Times New Roman" w:eastAsia="仿宋_GB2312" w:cs="Times New Roman"/>
          <w:b w:val="0"/>
          <w:bCs w:val="0"/>
          <w:color w:val="auto"/>
          <w:spacing w:val="0"/>
          <w:w w:val="100"/>
          <w:sz w:val="32"/>
          <w:szCs w:val="32"/>
          <w:highlight w:val="none"/>
          <w:lang w:val="en-US" w:eastAsia="zh-CN"/>
        </w:rPr>
        <w:t>县本级还本1913万元），为预算调整数的176.4%，同比上年增加9307万元。</w:t>
      </w:r>
    </w:p>
    <w:p w14:paraId="32380AE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3．平衡情况。</w:t>
      </w:r>
      <w:r>
        <w:rPr>
          <w:rFonts w:hint="default" w:ascii="Times New Roman" w:hAnsi="Times New Roman" w:eastAsia="仿宋_GB2312" w:cs="Times New Roman"/>
          <w:b w:val="0"/>
          <w:bCs w:val="0"/>
          <w:color w:val="auto"/>
          <w:spacing w:val="0"/>
          <w:w w:val="100"/>
          <w:sz w:val="32"/>
          <w:szCs w:val="32"/>
          <w:highlight w:val="none"/>
          <w:lang w:val="en-US" w:eastAsia="zh-CN"/>
        </w:rPr>
        <w:t>收支两抵结转下年支出1000万元。</w:t>
      </w:r>
    </w:p>
    <w:p w14:paraId="0DE9A73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val="en-US" w:eastAsia="zh-CN"/>
        </w:rPr>
      </w:pPr>
      <w:r>
        <w:rPr>
          <w:rFonts w:hint="default" w:ascii="楷体_GB2312" w:hAnsi="楷体_GB2312" w:eastAsia="楷体_GB2312" w:cs="楷体_GB2312"/>
          <w:b/>
          <w:bCs/>
          <w:color w:val="auto"/>
          <w:spacing w:val="0"/>
          <w:w w:val="100"/>
          <w:sz w:val="32"/>
          <w:szCs w:val="32"/>
          <w:highlight w:val="none"/>
          <w:lang w:val="en-US" w:eastAsia="zh-CN"/>
        </w:rPr>
        <w:t>（二）政府性基金收支情况</w:t>
      </w:r>
    </w:p>
    <w:p w14:paraId="2CA9908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1.收入情况。</w:t>
      </w:r>
      <w:r>
        <w:rPr>
          <w:rFonts w:hint="default" w:ascii="Times New Roman" w:hAnsi="Times New Roman" w:eastAsia="仿宋_GB2312" w:cs="Times New Roman"/>
          <w:b w:val="0"/>
          <w:bCs w:val="0"/>
          <w:color w:val="auto"/>
          <w:spacing w:val="0"/>
          <w:w w:val="100"/>
          <w:sz w:val="32"/>
          <w:szCs w:val="32"/>
          <w:highlight w:val="none"/>
          <w:lang w:val="en-US" w:eastAsia="zh-CN"/>
        </w:rPr>
        <w:t>政府性基金总收入预计完成117519万元，其中：本级政府性基金收入预计完成15277万元，上级补助收入预计完成1848万元，债务转贷收入预计完成63400万元（专项债券55000万元，置换专项债券8400万元），上年结转收入36994万元，为预算调整数的98.3%，同比上年增加40675万元，增长52.9%，主要上年结转结余收入和债务转贷收入的增加。</w:t>
      </w:r>
    </w:p>
    <w:p w14:paraId="5C87FF2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2．支出情况。</w:t>
      </w:r>
      <w:r>
        <w:rPr>
          <w:rFonts w:hint="default" w:ascii="Times New Roman" w:hAnsi="Times New Roman" w:eastAsia="仿宋_GB2312" w:cs="Times New Roman"/>
          <w:b w:val="0"/>
          <w:bCs w:val="0"/>
          <w:color w:val="auto"/>
          <w:spacing w:val="0"/>
          <w:w w:val="100"/>
          <w:sz w:val="32"/>
          <w:szCs w:val="32"/>
          <w:highlight w:val="none"/>
          <w:lang w:val="en-US" w:eastAsia="zh-CN"/>
        </w:rPr>
        <w:t>政府性基金总支出预计完成74019万元，为预算调整数的61.9%，同比上年增加34259万元，增长86%。</w:t>
      </w:r>
    </w:p>
    <w:p w14:paraId="1ED1284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3．平衡情况。</w:t>
      </w:r>
      <w:r>
        <w:rPr>
          <w:rFonts w:hint="default" w:ascii="Times New Roman" w:hAnsi="Times New Roman" w:eastAsia="仿宋_GB2312" w:cs="Times New Roman"/>
          <w:b w:val="0"/>
          <w:bCs w:val="0"/>
          <w:color w:val="auto"/>
          <w:spacing w:val="0"/>
          <w:w w:val="100"/>
          <w:sz w:val="32"/>
          <w:szCs w:val="32"/>
          <w:highlight w:val="none"/>
          <w:lang w:val="en-US" w:eastAsia="zh-CN"/>
        </w:rPr>
        <w:t>收支两抵预计结转下年43500万元。</w:t>
      </w:r>
    </w:p>
    <w:p w14:paraId="4A0501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val="en-US" w:eastAsia="zh-CN"/>
        </w:rPr>
      </w:pPr>
      <w:r>
        <w:rPr>
          <w:rFonts w:hint="default" w:ascii="楷体_GB2312" w:hAnsi="楷体_GB2312" w:eastAsia="楷体_GB2312" w:cs="楷体_GB2312"/>
          <w:b/>
          <w:bCs/>
          <w:color w:val="auto"/>
          <w:spacing w:val="0"/>
          <w:w w:val="100"/>
          <w:sz w:val="32"/>
          <w:szCs w:val="32"/>
          <w:highlight w:val="none"/>
          <w:lang w:val="en-US" w:eastAsia="zh-CN"/>
        </w:rPr>
        <w:t>（三）社会保险基金收支情况</w:t>
      </w:r>
    </w:p>
    <w:p w14:paraId="4A5C466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rPr>
        <w:t>全县社会保险基金收入预计完成</w:t>
      </w:r>
      <w:r>
        <w:rPr>
          <w:rFonts w:hint="default" w:ascii="Times New Roman" w:hAnsi="Times New Roman" w:eastAsia="仿宋_GB2312" w:cs="Times New Roman"/>
          <w:color w:val="auto"/>
          <w:spacing w:val="0"/>
          <w:w w:val="100"/>
          <w:sz w:val="32"/>
          <w:szCs w:val="32"/>
          <w:highlight w:val="none"/>
          <w:lang w:val="en-US" w:eastAsia="zh-CN"/>
        </w:rPr>
        <w:t>33254</w:t>
      </w:r>
      <w:r>
        <w:rPr>
          <w:rFonts w:hint="default" w:ascii="Times New Roman" w:hAnsi="Times New Roman" w:eastAsia="仿宋_GB2312" w:cs="Times New Roman"/>
          <w:color w:val="auto"/>
          <w:spacing w:val="0"/>
          <w:w w:val="100"/>
          <w:sz w:val="32"/>
          <w:szCs w:val="32"/>
          <w:highlight w:val="none"/>
        </w:rPr>
        <w:t>万元，其中：社会保险费收入</w:t>
      </w:r>
      <w:r>
        <w:rPr>
          <w:rFonts w:hint="default" w:ascii="Times New Roman" w:hAnsi="Times New Roman" w:eastAsia="仿宋_GB2312" w:cs="Times New Roman"/>
          <w:color w:val="auto"/>
          <w:spacing w:val="0"/>
          <w:w w:val="100"/>
          <w:sz w:val="32"/>
          <w:szCs w:val="32"/>
          <w:highlight w:val="none"/>
          <w:lang w:val="en-US" w:eastAsia="zh-CN"/>
        </w:rPr>
        <w:t>16531</w:t>
      </w:r>
      <w:r>
        <w:rPr>
          <w:rFonts w:hint="default" w:ascii="Times New Roman" w:hAnsi="Times New Roman" w:eastAsia="仿宋_GB2312" w:cs="Times New Roman"/>
          <w:color w:val="auto"/>
          <w:spacing w:val="0"/>
          <w:w w:val="100"/>
          <w:sz w:val="32"/>
          <w:szCs w:val="32"/>
          <w:highlight w:val="none"/>
        </w:rPr>
        <w:t>万元、财政补贴收入</w:t>
      </w:r>
      <w:r>
        <w:rPr>
          <w:rFonts w:hint="default" w:ascii="Times New Roman" w:hAnsi="Times New Roman" w:eastAsia="仿宋_GB2312" w:cs="Times New Roman"/>
          <w:color w:val="auto"/>
          <w:spacing w:val="0"/>
          <w:w w:val="100"/>
          <w:sz w:val="32"/>
          <w:szCs w:val="32"/>
          <w:highlight w:val="none"/>
          <w:lang w:val="en-US" w:eastAsia="zh-CN"/>
        </w:rPr>
        <w:t>16657</w:t>
      </w:r>
      <w:r>
        <w:rPr>
          <w:rFonts w:hint="default" w:ascii="Times New Roman" w:hAnsi="Times New Roman" w:eastAsia="仿宋_GB2312" w:cs="Times New Roman"/>
          <w:color w:val="auto"/>
          <w:spacing w:val="0"/>
          <w:w w:val="100"/>
          <w:sz w:val="32"/>
          <w:szCs w:val="32"/>
          <w:highlight w:val="none"/>
        </w:rPr>
        <w:t>万元、转移收入</w:t>
      </w:r>
      <w:r>
        <w:rPr>
          <w:rFonts w:hint="default" w:ascii="Times New Roman" w:hAnsi="Times New Roman" w:eastAsia="仿宋_GB2312" w:cs="Times New Roman"/>
          <w:color w:val="auto"/>
          <w:spacing w:val="0"/>
          <w:w w:val="100"/>
          <w:sz w:val="32"/>
          <w:szCs w:val="32"/>
          <w:highlight w:val="none"/>
          <w:lang w:val="en-US" w:eastAsia="zh-CN"/>
        </w:rPr>
        <w:t>41</w:t>
      </w:r>
      <w:r>
        <w:rPr>
          <w:rFonts w:hint="default" w:ascii="Times New Roman" w:hAnsi="Times New Roman" w:eastAsia="仿宋_GB2312" w:cs="Times New Roman"/>
          <w:color w:val="auto"/>
          <w:spacing w:val="0"/>
          <w:w w:val="100"/>
          <w:sz w:val="32"/>
          <w:szCs w:val="32"/>
          <w:highlight w:val="none"/>
        </w:rPr>
        <w:t>万元、利息及其他收入</w:t>
      </w:r>
      <w:r>
        <w:rPr>
          <w:rFonts w:hint="default" w:ascii="Times New Roman" w:hAnsi="Times New Roman" w:eastAsia="仿宋_GB2312" w:cs="Times New Roman"/>
          <w:color w:val="auto"/>
          <w:spacing w:val="0"/>
          <w:w w:val="100"/>
          <w:sz w:val="32"/>
          <w:szCs w:val="32"/>
          <w:highlight w:val="none"/>
          <w:lang w:val="en-US" w:eastAsia="zh-CN"/>
        </w:rPr>
        <w:t>25</w:t>
      </w:r>
      <w:r>
        <w:rPr>
          <w:rFonts w:hint="default" w:ascii="Times New Roman" w:hAnsi="Times New Roman" w:eastAsia="仿宋_GB2312" w:cs="Times New Roman"/>
          <w:color w:val="auto"/>
          <w:spacing w:val="0"/>
          <w:w w:val="100"/>
          <w:sz w:val="32"/>
          <w:szCs w:val="32"/>
          <w:highlight w:val="none"/>
        </w:rPr>
        <w:t>万元。全县社会保险基金支出</w:t>
      </w:r>
      <w:r>
        <w:rPr>
          <w:rFonts w:hint="default" w:ascii="Times New Roman" w:hAnsi="Times New Roman" w:eastAsia="仿宋_GB2312" w:cs="Times New Roman"/>
          <w:color w:val="auto"/>
          <w:spacing w:val="0"/>
          <w:w w:val="100"/>
          <w:sz w:val="32"/>
          <w:szCs w:val="32"/>
          <w:highlight w:val="none"/>
          <w:lang w:val="en-US" w:eastAsia="zh-CN"/>
        </w:rPr>
        <w:t>30627</w:t>
      </w:r>
      <w:r>
        <w:rPr>
          <w:rFonts w:hint="default" w:ascii="Times New Roman" w:hAnsi="Times New Roman" w:eastAsia="仿宋_GB2312" w:cs="Times New Roman"/>
          <w:color w:val="auto"/>
          <w:spacing w:val="0"/>
          <w:w w:val="100"/>
          <w:sz w:val="32"/>
          <w:szCs w:val="32"/>
          <w:highlight w:val="none"/>
        </w:rPr>
        <w:t>万元，当年收支结余</w:t>
      </w:r>
      <w:r>
        <w:rPr>
          <w:rFonts w:hint="default" w:ascii="Times New Roman" w:hAnsi="Times New Roman" w:eastAsia="仿宋_GB2312" w:cs="Times New Roman"/>
          <w:color w:val="auto"/>
          <w:spacing w:val="0"/>
          <w:w w:val="100"/>
          <w:sz w:val="32"/>
          <w:szCs w:val="32"/>
          <w:highlight w:val="none"/>
          <w:lang w:val="en-US" w:eastAsia="zh-CN"/>
        </w:rPr>
        <w:t>2627</w:t>
      </w:r>
      <w:r>
        <w:rPr>
          <w:rFonts w:hint="default" w:ascii="Times New Roman" w:hAnsi="Times New Roman" w:eastAsia="仿宋_GB2312" w:cs="Times New Roman"/>
          <w:color w:val="auto"/>
          <w:spacing w:val="0"/>
          <w:w w:val="100"/>
          <w:sz w:val="32"/>
          <w:szCs w:val="32"/>
          <w:highlight w:val="none"/>
        </w:rPr>
        <w:t xml:space="preserve">万元。 </w:t>
      </w:r>
    </w:p>
    <w:p w14:paraId="7A3C86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val="0"/>
          <w:bCs w:val="0"/>
          <w:color w:val="auto"/>
          <w:spacing w:val="0"/>
          <w:w w:val="100"/>
          <w:sz w:val="32"/>
          <w:szCs w:val="32"/>
          <w:highlight w:val="none"/>
          <w:lang w:val="en-US" w:eastAsia="zh-CN"/>
        </w:rPr>
        <w:t>分险种看：城乡居民基本养老保险基金收入12050万元，支出9425万元；机关事业单位养老保险基金收入21204万元，支出21202万元。</w:t>
      </w:r>
    </w:p>
    <w:p w14:paraId="5314C9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pacing w:val="0"/>
          <w:w w:val="100"/>
          <w:sz w:val="32"/>
          <w:szCs w:val="32"/>
          <w:highlight w:val="none"/>
          <w:lang w:val="en-US" w:eastAsia="zh-CN"/>
        </w:rPr>
      </w:pPr>
      <w:r>
        <w:rPr>
          <w:rFonts w:hint="eastAsia" w:ascii="楷体_GB2312" w:hAnsi="楷体_GB2312" w:eastAsia="楷体_GB2312" w:cs="楷体_GB2312"/>
          <w:b/>
          <w:bCs/>
          <w:color w:val="auto"/>
          <w:spacing w:val="0"/>
          <w:w w:val="100"/>
          <w:sz w:val="32"/>
          <w:szCs w:val="32"/>
          <w:highlight w:val="none"/>
          <w:lang w:val="en-US" w:eastAsia="zh-CN"/>
        </w:rPr>
        <w:t>（四）国有资本经营预算收支情况</w:t>
      </w:r>
    </w:p>
    <w:p w14:paraId="6067CD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1．收入情况。</w:t>
      </w:r>
      <w:r>
        <w:rPr>
          <w:rFonts w:hint="default" w:ascii="Times New Roman" w:hAnsi="Times New Roman" w:eastAsia="仿宋_GB2312" w:cs="Times New Roman"/>
          <w:b w:val="0"/>
          <w:bCs w:val="0"/>
          <w:color w:val="auto"/>
          <w:spacing w:val="0"/>
          <w:w w:val="100"/>
          <w:sz w:val="32"/>
          <w:szCs w:val="32"/>
          <w:highlight w:val="none"/>
          <w:lang w:val="en-US" w:eastAsia="zh-CN"/>
        </w:rPr>
        <w:t>国有资本经营预算总收入预计完成23万元，上级转移支付收入5万元，本级其他国有资本经营预算收入18万元。</w:t>
      </w:r>
    </w:p>
    <w:p w14:paraId="283E6B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2．支出情况。</w:t>
      </w:r>
      <w:r>
        <w:rPr>
          <w:rFonts w:hint="default" w:ascii="Times New Roman" w:hAnsi="Times New Roman" w:eastAsia="仿宋_GB2312" w:cs="Times New Roman"/>
          <w:b w:val="0"/>
          <w:bCs w:val="0"/>
          <w:color w:val="auto"/>
          <w:spacing w:val="0"/>
          <w:w w:val="100"/>
          <w:sz w:val="32"/>
          <w:szCs w:val="32"/>
          <w:highlight w:val="none"/>
          <w:lang w:val="en-US" w:eastAsia="zh-CN"/>
        </w:rPr>
        <w:t>国有资本经营预算总支出预计完成23万元，主要用于解决历史遗留问题及改革成本支出5万元及其他国有资本经营预算支出18万元。</w:t>
      </w:r>
    </w:p>
    <w:p w14:paraId="29868E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3．平衡情况。</w:t>
      </w:r>
      <w:r>
        <w:rPr>
          <w:rFonts w:hint="default" w:ascii="Times New Roman" w:hAnsi="Times New Roman" w:eastAsia="仿宋_GB2312" w:cs="Times New Roman"/>
          <w:b w:val="0"/>
          <w:bCs w:val="0"/>
          <w:color w:val="auto"/>
          <w:spacing w:val="0"/>
          <w:w w:val="100"/>
          <w:sz w:val="32"/>
          <w:szCs w:val="32"/>
          <w:highlight w:val="none"/>
          <w:lang w:val="en-US" w:eastAsia="zh-CN"/>
        </w:rPr>
        <w:t>收支两抵平衡。</w:t>
      </w:r>
    </w:p>
    <w:p w14:paraId="36AE53B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color w:val="auto"/>
          <w:spacing w:val="0"/>
          <w:w w:val="100"/>
          <w:sz w:val="32"/>
          <w:szCs w:val="32"/>
        </w:rPr>
      </w:pPr>
      <w:r>
        <w:rPr>
          <w:rFonts w:hint="eastAsia" w:ascii="楷体_GB2312" w:hAnsi="楷体_GB2312" w:eastAsia="楷体_GB2312" w:cs="楷体_GB2312"/>
          <w:b/>
          <w:bCs/>
          <w:color w:val="auto"/>
          <w:spacing w:val="0"/>
          <w:w w:val="100"/>
          <w:sz w:val="32"/>
          <w:szCs w:val="32"/>
        </w:rPr>
        <w:t>（五）政府债务情况</w:t>
      </w:r>
    </w:p>
    <w:p w14:paraId="4B3EEC2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b/>
          <w:bCs/>
          <w:color w:val="auto"/>
          <w:spacing w:val="0"/>
          <w:w w:val="100"/>
          <w:sz w:val="32"/>
          <w:szCs w:val="32"/>
        </w:rPr>
        <w:t>1</w:t>
      </w:r>
      <w:r>
        <w:rPr>
          <w:rFonts w:hint="default" w:ascii="Times New Roman" w:hAnsi="Times New Roman" w:eastAsia="仿宋_GB2312" w:cs="Times New Roman"/>
          <w:b/>
          <w:bCs/>
          <w:color w:val="auto"/>
          <w:spacing w:val="0"/>
          <w:w w:val="100"/>
          <w:sz w:val="32"/>
          <w:szCs w:val="32"/>
          <w:lang w:eastAsia="zh-CN"/>
        </w:rPr>
        <w:t>．新增</w:t>
      </w:r>
      <w:r>
        <w:rPr>
          <w:rFonts w:hint="default" w:ascii="Times New Roman" w:hAnsi="Times New Roman" w:eastAsia="仿宋_GB2312" w:cs="Times New Roman"/>
          <w:b/>
          <w:bCs/>
          <w:color w:val="auto"/>
          <w:spacing w:val="0"/>
          <w:w w:val="100"/>
          <w:sz w:val="32"/>
          <w:szCs w:val="32"/>
        </w:rPr>
        <w:t>政府债券发行情况。</w:t>
      </w: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年发行新增债券</w:t>
      </w:r>
      <w:r>
        <w:rPr>
          <w:rFonts w:hint="eastAsia" w:ascii="Times New Roman" w:hAnsi="Times New Roman" w:eastAsia="仿宋_GB2312" w:cs="Times New Roman"/>
          <w:color w:val="auto"/>
          <w:spacing w:val="0"/>
          <w:w w:val="100"/>
          <w:sz w:val="32"/>
          <w:szCs w:val="32"/>
          <w:highlight w:val="none"/>
          <w:lang w:val="en-US" w:eastAsia="zh-CN"/>
        </w:rPr>
        <w:t>91600</w:t>
      </w:r>
      <w:r>
        <w:rPr>
          <w:rFonts w:hint="default" w:ascii="Times New Roman" w:hAnsi="Times New Roman" w:eastAsia="仿宋_GB2312" w:cs="Times New Roman"/>
          <w:color w:val="auto"/>
          <w:spacing w:val="0"/>
          <w:w w:val="100"/>
          <w:sz w:val="32"/>
          <w:szCs w:val="32"/>
          <w:highlight w:val="none"/>
        </w:rPr>
        <w:t>万元，其中：一般债券</w:t>
      </w:r>
      <w:r>
        <w:rPr>
          <w:rFonts w:hint="eastAsia" w:ascii="Times New Roman" w:hAnsi="Times New Roman" w:eastAsia="仿宋_GB2312" w:cs="Times New Roman"/>
          <w:color w:val="auto"/>
          <w:spacing w:val="0"/>
          <w:w w:val="100"/>
          <w:sz w:val="32"/>
          <w:szCs w:val="32"/>
          <w:highlight w:val="none"/>
          <w:lang w:val="en-US" w:eastAsia="zh-CN"/>
        </w:rPr>
        <w:t>28200</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专项债券</w:t>
      </w:r>
      <w:r>
        <w:rPr>
          <w:rFonts w:hint="default" w:ascii="Times New Roman" w:hAnsi="Times New Roman" w:eastAsia="仿宋_GB2312" w:cs="Times New Roman"/>
          <w:color w:val="auto"/>
          <w:spacing w:val="0"/>
          <w:w w:val="100"/>
          <w:sz w:val="32"/>
          <w:szCs w:val="32"/>
          <w:highlight w:val="none"/>
          <w:lang w:val="en-US" w:eastAsia="zh-CN"/>
        </w:rPr>
        <w:t>63400</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w:t>
      </w:r>
      <w:r>
        <w:rPr>
          <w:rFonts w:hint="default" w:ascii="Times New Roman" w:hAnsi="Times New Roman" w:eastAsia="仿宋_GB2312" w:cs="Times New Roman"/>
          <w:color w:val="auto"/>
          <w:spacing w:val="0"/>
          <w:w w:val="100"/>
          <w:sz w:val="32"/>
          <w:szCs w:val="32"/>
          <w:highlight w:val="none"/>
        </w:rPr>
        <w:t>发行再融资债券</w:t>
      </w:r>
      <w:r>
        <w:rPr>
          <w:rFonts w:hint="eastAsia" w:ascii="Times New Roman" w:hAnsi="Times New Roman" w:eastAsia="仿宋_GB2312" w:cs="Times New Roman"/>
          <w:color w:val="auto"/>
          <w:spacing w:val="0"/>
          <w:w w:val="100"/>
          <w:sz w:val="32"/>
          <w:szCs w:val="32"/>
          <w:highlight w:val="none"/>
          <w:lang w:val="en-US" w:eastAsia="zh-CN"/>
        </w:rPr>
        <w:t>17194</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，均为发行再融资</w:t>
      </w:r>
      <w:r>
        <w:rPr>
          <w:rFonts w:hint="default" w:ascii="Times New Roman" w:hAnsi="Times New Roman" w:eastAsia="仿宋_GB2312" w:cs="Times New Roman"/>
          <w:color w:val="auto"/>
          <w:spacing w:val="0"/>
          <w:w w:val="100"/>
          <w:sz w:val="32"/>
          <w:szCs w:val="32"/>
          <w:highlight w:val="none"/>
        </w:rPr>
        <w:t>一般债券。</w:t>
      </w:r>
    </w:p>
    <w:p w14:paraId="7DEED3F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2．</w:t>
      </w:r>
      <w:r>
        <w:rPr>
          <w:rFonts w:hint="default" w:ascii="Times New Roman" w:hAnsi="Times New Roman" w:eastAsia="仿宋_GB2312" w:cs="Times New Roman"/>
          <w:b/>
          <w:bCs/>
          <w:color w:val="auto"/>
          <w:spacing w:val="0"/>
          <w:w w:val="100"/>
          <w:sz w:val="32"/>
          <w:szCs w:val="32"/>
          <w:highlight w:val="none"/>
          <w:lang w:val="en-US" w:eastAsia="zh-CN"/>
        </w:rPr>
        <w:t>新增政府债券资金安排使用情况。</w:t>
      </w:r>
      <w:r>
        <w:rPr>
          <w:rFonts w:hint="default" w:ascii="Times New Roman" w:hAnsi="Times New Roman" w:eastAsia="仿宋_GB2312" w:cs="Times New Roman"/>
          <w:b w:val="0"/>
          <w:bCs w:val="0"/>
          <w:color w:val="auto"/>
          <w:spacing w:val="0"/>
          <w:w w:val="100"/>
          <w:sz w:val="32"/>
          <w:szCs w:val="32"/>
          <w:lang w:val="en-US" w:eastAsia="zh-CN"/>
        </w:rPr>
        <w:t>2025年全县新增政府债券资金</w:t>
      </w:r>
      <w:r>
        <w:rPr>
          <w:rFonts w:hint="eastAsia" w:ascii="Times New Roman" w:hAnsi="Times New Roman" w:eastAsia="仿宋_GB2312" w:cs="Times New Roman"/>
          <w:b w:val="0"/>
          <w:bCs w:val="0"/>
          <w:color w:val="auto"/>
          <w:spacing w:val="0"/>
          <w:w w:val="100"/>
          <w:sz w:val="32"/>
          <w:szCs w:val="32"/>
          <w:highlight w:val="none"/>
          <w:lang w:val="en-US" w:eastAsia="zh-CN"/>
        </w:rPr>
        <w:t>91600</w:t>
      </w:r>
      <w:r>
        <w:rPr>
          <w:rFonts w:hint="default" w:ascii="Times New Roman" w:hAnsi="Times New Roman" w:eastAsia="仿宋_GB2312" w:cs="Times New Roman"/>
          <w:b w:val="0"/>
          <w:bCs w:val="0"/>
          <w:color w:val="auto"/>
          <w:spacing w:val="0"/>
          <w:w w:val="100"/>
          <w:sz w:val="32"/>
          <w:szCs w:val="32"/>
          <w:lang w:val="en-US" w:eastAsia="zh-CN"/>
        </w:rPr>
        <w:t>万元，主要用于置换存量债务、农贸市场改造、中药材冷链物流、养老服务体系、林业综合开发、智慧停车场及充电桩、城市基础设施、公共基础设施、公共卫生设施、第一中学基础设施、文化旅游、农业、水利等领域项目，全年新增债券预计</w:t>
      </w:r>
      <w:r>
        <w:rPr>
          <w:rFonts w:hint="default" w:ascii="Times New Roman" w:hAnsi="Times New Roman" w:eastAsia="仿宋_GB2312" w:cs="Times New Roman"/>
          <w:b w:val="0"/>
          <w:bCs w:val="0"/>
          <w:color w:val="auto"/>
          <w:spacing w:val="0"/>
          <w:w w:val="100"/>
          <w:sz w:val="32"/>
          <w:szCs w:val="32"/>
          <w:highlight w:val="none"/>
          <w:lang w:val="en-US" w:eastAsia="zh-CN"/>
        </w:rPr>
        <w:t>支出51456万元，支出进度66.8%。</w:t>
      </w:r>
    </w:p>
    <w:p w14:paraId="29BD03A4">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default" w:ascii="Times New Roman" w:hAnsi="Times New Roman" w:eastAsia="仿宋_GB2312" w:cs="Times New Roman"/>
          <w:b w:val="0"/>
          <w:bCs w:val="0"/>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3．再融资债券安排使用情况。</w:t>
      </w:r>
      <w:r>
        <w:rPr>
          <w:rFonts w:hint="default" w:ascii="Times New Roman" w:hAnsi="Times New Roman" w:eastAsia="仿宋_GB2312" w:cs="Times New Roman"/>
          <w:b w:val="0"/>
          <w:bCs w:val="0"/>
          <w:color w:val="auto"/>
          <w:spacing w:val="0"/>
          <w:w w:val="100"/>
          <w:sz w:val="32"/>
          <w:szCs w:val="32"/>
          <w:lang w:val="en-US" w:eastAsia="zh-CN"/>
        </w:rPr>
        <w:t>2025年全县再融资债券</w:t>
      </w:r>
      <w:r>
        <w:rPr>
          <w:rFonts w:hint="eastAsia" w:ascii="Times New Roman" w:hAnsi="Times New Roman" w:eastAsia="仿宋_GB2312" w:cs="Times New Roman"/>
          <w:b w:val="0"/>
          <w:bCs w:val="0"/>
          <w:color w:val="auto"/>
          <w:spacing w:val="0"/>
          <w:w w:val="100"/>
          <w:sz w:val="32"/>
          <w:szCs w:val="32"/>
          <w:lang w:val="en-US" w:eastAsia="zh-CN"/>
        </w:rPr>
        <w:t>17194</w:t>
      </w:r>
      <w:r>
        <w:rPr>
          <w:rFonts w:hint="default" w:ascii="Times New Roman" w:hAnsi="Times New Roman" w:eastAsia="仿宋_GB2312" w:cs="Times New Roman"/>
          <w:b w:val="0"/>
          <w:bCs w:val="0"/>
          <w:color w:val="auto"/>
          <w:spacing w:val="0"/>
          <w:w w:val="100"/>
          <w:sz w:val="32"/>
          <w:szCs w:val="32"/>
          <w:lang w:val="en-US" w:eastAsia="zh-CN"/>
        </w:rPr>
        <w:t>万元均为一般债券资金，全部用于偿还到期的债务本金。</w:t>
      </w:r>
    </w:p>
    <w:p w14:paraId="1B084BB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pacing w:val="0"/>
          <w:w w:val="100"/>
          <w:sz w:val="32"/>
          <w:szCs w:val="32"/>
          <w:lang w:val="en-US" w:eastAsia="zh-CN"/>
        </w:rPr>
      </w:pPr>
      <w:r>
        <w:rPr>
          <w:rFonts w:hint="default" w:ascii="Times New Roman" w:hAnsi="Times New Roman" w:eastAsia="仿宋_GB2312" w:cs="Times New Roman"/>
          <w:b/>
          <w:bCs/>
          <w:color w:val="auto"/>
          <w:spacing w:val="0"/>
          <w:w w:val="100"/>
          <w:sz w:val="32"/>
          <w:szCs w:val="32"/>
          <w:lang w:val="en-US" w:eastAsia="zh-CN"/>
        </w:rPr>
        <w:t>4</w:t>
      </w:r>
      <w:r>
        <w:rPr>
          <w:rFonts w:hint="default" w:ascii="Times New Roman" w:hAnsi="Times New Roman" w:eastAsia="仿宋_GB2312" w:cs="Times New Roman"/>
          <w:b/>
          <w:bCs/>
          <w:color w:val="auto"/>
          <w:spacing w:val="0"/>
          <w:w w:val="100"/>
          <w:sz w:val="32"/>
          <w:szCs w:val="32"/>
          <w:lang w:eastAsia="zh-CN"/>
        </w:rPr>
        <w:t>．</w:t>
      </w:r>
      <w:r>
        <w:rPr>
          <w:rFonts w:hint="default" w:ascii="Times New Roman" w:hAnsi="Times New Roman" w:eastAsia="仿宋_GB2312" w:cs="Times New Roman"/>
          <w:b/>
          <w:bCs/>
          <w:color w:val="auto"/>
          <w:spacing w:val="0"/>
          <w:w w:val="100"/>
          <w:sz w:val="32"/>
          <w:szCs w:val="32"/>
        </w:rPr>
        <w:t>政府债务限额余额情况。</w:t>
      </w:r>
      <w:r>
        <w:rPr>
          <w:rFonts w:hint="default" w:ascii="Times New Roman" w:hAnsi="Times New Roman" w:eastAsia="仿宋_GB2312" w:cs="Times New Roman"/>
          <w:color w:val="auto"/>
          <w:spacing w:val="0"/>
          <w:w w:val="100"/>
          <w:sz w:val="32"/>
          <w:szCs w:val="32"/>
          <w:lang w:eastAsia="zh-CN"/>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年政府债务总限额为</w:t>
      </w:r>
      <w:r>
        <w:rPr>
          <w:rFonts w:hint="default" w:ascii="Times New Roman" w:hAnsi="Times New Roman" w:eastAsia="仿宋_GB2312" w:cs="Times New Roman"/>
          <w:color w:val="auto"/>
          <w:spacing w:val="0"/>
          <w:w w:val="100"/>
          <w:sz w:val="32"/>
          <w:szCs w:val="32"/>
          <w:lang w:val="en-US" w:eastAsia="zh-CN"/>
        </w:rPr>
        <w:t>547217</w:t>
      </w:r>
      <w:r>
        <w:rPr>
          <w:rFonts w:hint="default" w:ascii="Times New Roman" w:hAnsi="Times New Roman" w:eastAsia="仿宋_GB2312" w:cs="Times New Roman"/>
          <w:color w:val="auto"/>
          <w:spacing w:val="0"/>
          <w:w w:val="100"/>
          <w:sz w:val="32"/>
          <w:szCs w:val="32"/>
          <w:lang w:eastAsia="zh-CN"/>
        </w:rPr>
        <w:t>万元（一般债券限额</w:t>
      </w:r>
      <w:r>
        <w:rPr>
          <w:rFonts w:hint="default" w:ascii="Times New Roman" w:hAnsi="Times New Roman" w:eastAsia="仿宋_GB2312" w:cs="Times New Roman"/>
          <w:color w:val="auto"/>
          <w:spacing w:val="0"/>
          <w:w w:val="100"/>
          <w:sz w:val="32"/>
          <w:szCs w:val="32"/>
          <w:lang w:val="en-US" w:eastAsia="zh-CN"/>
        </w:rPr>
        <w:t>255157</w:t>
      </w:r>
      <w:r>
        <w:rPr>
          <w:rFonts w:hint="default" w:ascii="Times New Roman" w:hAnsi="Times New Roman" w:eastAsia="仿宋_GB2312" w:cs="Times New Roman"/>
          <w:color w:val="auto"/>
          <w:spacing w:val="0"/>
          <w:w w:val="100"/>
          <w:sz w:val="32"/>
          <w:szCs w:val="32"/>
          <w:lang w:eastAsia="zh-CN"/>
        </w:rPr>
        <w:t>万元，专项债券限额</w:t>
      </w:r>
      <w:r>
        <w:rPr>
          <w:rFonts w:hint="default" w:ascii="Times New Roman" w:hAnsi="Times New Roman" w:eastAsia="仿宋_GB2312" w:cs="Times New Roman"/>
          <w:color w:val="auto"/>
          <w:spacing w:val="0"/>
          <w:w w:val="100"/>
          <w:sz w:val="32"/>
          <w:szCs w:val="32"/>
          <w:lang w:val="en-US" w:eastAsia="zh-CN"/>
        </w:rPr>
        <w:t>292060</w:t>
      </w:r>
      <w:r>
        <w:rPr>
          <w:rFonts w:hint="default" w:ascii="Times New Roman" w:hAnsi="Times New Roman" w:eastAsia="仿宋_GB2312" w:cs="Times New Roman"/>
          <w:color w:val="auto"/>
          <w:spacing w:val="0"/>
          <w:w w:val="100"/>
          <w:sz w:val="32"/>
          <w:szCs w:val="32"/>
          <w:lang w:eastAsia="zh-CN"/>
        </w:rPr>
        <w:t>万元），其中202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年新增债务限额</w:t>
      </w:r>
      <w:r>
        <w:rPr>
          <w:rFonts w:hint="eastAsia" w:ascii="Times New Roman" w:hAnsi="Times New Roman" w:eastAsia="仿宋_GB2312" w:cs="Times New Roman"/>
          <w:color w:val="auto"/>
          <w:spacing w:val="0"/>
          <w:w w:val="100"/>
          <w:sz w:val="32"/>
          <w:szCs w:val="32"/>
          <w:highlight w:val="none"/>
          <w:lang w:val="en-US" w:eastAsia="zh-CN"/>
        </w:rPr>
        <w:t>91600</w:t>
      </w:r>
      <w:r>
        <w:rPr>
          <w:rFonts w:hint="default" w:ascii="Times New Roman" w:hAnsi="Times New Roman" w:eastAsia="仿宋_GB2312" w:cs="Times New Roman"/>
          <w:color w:val="auto"/>
          <w:spacing w:val="0"/>
          <w:w w:val="100"/>
          <w:sz w:val="32"/>
          <w:szCs w:val="32"/>
          <w:lang w:eastAsia="zh-CN"/>
        </w:rPr>
        <w:t>万元（新增一般债券限额</w:t>
      </w:r>
      <w:r>
        <w:rPr>
          <w:rFonts w:hint="default" w:ascii="Times New Roman" w:hAnsi="Times New Roman" w:eastAsia="仿宋_GB2312" w:cs="Times New Roman"/>
          <w:color w:val="auto"/>
          <w:spacing w:val="0"/>
          <w:w w:val="100"/>
          <w:sz w:val="32"/>
          <w:szCs w:val="32"/>
          <w:lang w:val="en-US" w:eastAsia="zh-CN"/>
        </w:rPr>
        <w:t>28200</w:t>
      </w:r>
      <w:r>
        <w:rPr>
          <w:rFonts w:hint="default" w:ascii="Times New Roman" w:hAnsi="Times New Roman" w:eastAsia="仿宋_GB2312" w:cs="Times New Roman"/>
          <w:color w:val="auto"/>
          <w:spacing w:val="0"/>
          <w:w w:val="100"/>
          <w:sz w:val="32"/>
          <w:szCs w:val="32"/>
          <w:lang w:eastAsia="zh-CN"/>
        </w:rPr>
        <w:t>万元，新增专项债券限额</w:t>
      </w:r>
      <w:r>
        <w:rPr>
          <w:rFonts w:hint="default" w:ascii="Times New Roman" w:hAnsi="Times New Roman" w:eastAsia="仿宋_GB2312" w:cs="Times New Roman"/>
          <w:color w:val="auto"/>
          <w:spacing w:val="0"/>
          <w:w w:val="100"/>
          <w:sz w:val="32"/>
          <w:szCs w:val="32"/>
          <w:lang w:val="en-US" w:eastAsia="zh-CN"/>
        </w:rPr>
        <w:t>63400</w:t>
      </w:r>
      <w:r>
        <w:rPr>
          <w:rFonts w:hint="default" w:ascii="Times New Roman" w:hAnsi="Times New Roman" w:eastAsia="仿宋_GB2312" w:cs="Times New Roman"/>
          <w:color w:val="auto"/>
          <w:spacing w:val="0"/>
          <w:w w:val="100"/>
          <w:sz w:val="32"/>
          <w:szCs w:val="32"/>
          <w:lang w:eastAsia="zh-CN"/>
        </w:rPr>
        <w:t>万元）；202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年政府债务总余额为</w:t>
      </w:r>
      <w:r>
        <w:rPr>
          <w:rFonts w:hint="default" w:ascii="Times New Roman" w:hAnsi="Times New Roman" w:eastAsia="仿宋_GB2312" w:cs="Times New Roman"/>
          <w:color w:val="auto"/>
          <w:spacing w:val="0"/>
          <w:w w:val="100"/>
          <w:sz w:val="32"/>
          <w:szCs w:val="32"/>
          <w:lang w:val="en-US" w:eastAsia="zh-CN"/>
        </w:rPr>
        <w:t>542555.01</w:t>
      </w:r>
      <w:r>
        <w:rPr>
          <w:rFonts w:hint="default" w:ascii="Times New Roman" w:hAnsi="Times New Roman" w:eastAsia="仿宋_GB2312" w:cs="Times New Roman"/>
          <w:color w:val="auto"/>
          <w:spacing w:val="0"/>
          <w:w w:val="100"/>
          <w:sz w:val="32"/>
          <w:szCs w:val="32"/>
          <w:lang w:eastAsia="zh-CN"/>
        </w:rPr>
        <w:t>万元，其中一般债务余额</w:t>
      </w:r>
      <w:r>
        <w:rPr>
          <w:rFonts w:hint="default" w:ascii="Times New Roman" w:hAnsi="Times New Roman" w:eastAsia="仿宋_GB2312" w:cs="Times New Roman"/>
          <w:color w:val="auto"/>
          <w:spacing w:val="0"/>
          <w:w w:val="100"/>
          <w:sz w:val="32"/>
          <w:szCs w:val="32"/>
          <w:lang w:val="en-US" w:eastAsia="zh-CN"/>
        </w:rPr>
        <w:t>250796</w:t>
      </w:r>
      <w:r>
        <w:rPr>
          <w:rFonts w:hint="default" w:ascii="Times New Roman" w:hAnsi="Times New Roman" w:eastAsia="仿宋_GB2312" w:cs="Times New Roman"/>
          <w:color w:val="auto"/>
          <w:spacing w:val="0"/>
          <w:w w:val="100"/>
          <w:sz w:val="32"/>
          <w:szCs w:val="32"/>
          <w:lang w:eastAsia="zh-CN"/>
        </w:rPr>
        <w:t>万元、专项债务余额</w:t>
      </w:r>
      <w:r>
        <w:rPr>
          <w:rFonts w:hint="default" w:ascii="Times New Roman" w:hAnsi="Times New Roman" w:eastAsia="仿宋_GB2312" w:cs="Times New Roman"/>
          <w:color w:val="auto"/>
          <w:spacing w:val="0"/>
          <w:w w:val="100"/>
          <w:sz w:val="32"/>
          <w:szCs w:val="32"/>
          <w:lang w:val="en-US" w:eastAsia="zh-CN"/>
        </w:rPr>
        <w:t>291759.01</w:t>
      </w:r>
      <w:r>
        <w:rPr>
          <w:rFonts w:hint="default" w:ascii="Times New Roman" w:hAnsi="Times New Roman" w:eastAsia="仿宋_GB2312" w:cs="Times New Roman"/>
          <w:color w:val="auto"/>
          <w:spacing w:val="0"/>
          <w:w w:val="100"/>
          <w:sz w:val="32"/>
          <w:szCs w:val="32"/>
          <w:lang w:eastAsia="zh-CN"/>
        </w:rPr>
        <w:t>万元。一般债务余额和专项债务余额均未突破省财政厅核定限额。</w:t>
      </w:r>
    </w:p>
    <w:p w14:paraId="509FFF4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b/>
          <w:bCs/>
          <w:color w:val="auto"/>
          <w:spacing w:val="0"/>
          <w:w w:val="100"/>
          <w:sz w:val="32"/>
          <w:szCs w:val="32"/>
          <w:lang w:val="en-US" w:eastAsia="zh-CN"/>
        </w:rPr>
        <w:t>5</w:t>
      </w:r>
      <w:r>
        <w:rPr>
          <w:rFonts w:hint="eastAsia" w:ascii="Times New Roman" w:hAnsi="Times New Roman" w:eastAsia="仿宋_GB2312" w:cs="Times New Roman"/>
          <w:b/>
          <w:bCs/>
          <w:color w:val="auto"/>
          <w:spacing w:val="0"/>
          <w:w w:val="100"/>
          <w:sz w:val="32"/>
          <w:szCs w:val="32"/>
          <w:lang w:val="en-US" w:eastAsia="zh-CN"/>
        </w:rPr>
        <w:t>．</w:t>
      </w:r>
      <w:r>
        <w:rPr>
          <w:rFonts w:hint="default" w:ascii="Times New Roman" w:hAnsi="Times New Roman" w:eastAsia="仿宋_GB2312" w:cs="Times New Roman"/>
          <w:b/>
          <w:bCs/>
          <w:color w:val="auto"/>
          <w:spacing w:val="0"/>
          <w:w w:val="100"/>
          <w:sz w:val="32"/>
          <w:szCs w:val="32"/>
        </w:rPr>
        <w:t>还本付息、债务年限等情况。</w:t>
      </w:r>
      <w:r>
        <w:rPr>
          <w:rFonts w:hint="default" w:ascii="Times New Roman" w:hAnsi="Times New Roman" w:eastAsia="仿宋_GB2312" w:cs="Times New Roman"/>
          <w:color w:val="auto"/>
          <w:spacing w:val="0"/>
          <w:w w:val="100"/>
          <w:sz w:val="32"/>
          <w:szCs w:val="32"/>
          <w:lang w:eastAsia="zh-CN"/>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年政府债券还本</w:t>
      </w:r>
      <w:r>
        <w:rPr>
          <w:rFonts w:hint="default" w:ascii="Times New Roman" w:hAnsi="Times New Roman" w:eastAsia="仿宋_GB2312" w:cs="Times New Roman"/>
          <w:color w:val="auto"/>
          <w:spacing w:val="0"/>
          <w:w w:val="100"/>
          <w:sz w:val="32"/>
          <w:szCs w:val="32"/>
          <w:lang w:val="en-US" w:eastAsia="zh-CN"/>
        </w:rPr>
        <w:t>33707.01</w:t>
      </w:r>
      <w:r>
        <w:rPr>
          <w:rFonts w:hint="default" w:ascii="Times New Roman" w:hAnsi="Times New Roman" w:eastAsia="仿宋_GB2312" w:cs="Times New Roman"/>
          <w:color w:val="auto"/>
          <w:spacing w:val="0"/>
          <w:w w:val="100"/>
          <w:sz w:val="32"/>
          <w:szCs w:val="32"/>
          <w:lang w:eastAsia="zh-CN"/>
        </w:rPr>
        <w:t>万元，其中：再融资一般债券还本</w:t>
      </w:r>
      <w:r>
        <w:rPr>
          <w:rFonts w:hint="default" w:ascii="Times New Roman" w:hAnsi="Times New Roman" w:eastAsia="仿宋_GB2312" w:cs="Times New Roman"/>
          <w:color w:val="auto"/>
          <w:spacing w:val="0"/>
          <w:w w:val="100"/>
          <w:sz w:val="32"/>
          <w:szCs w:val="32"/>
          <w:lang w:val="en-US" w:eastAsia="zh-CN"/>
        </w:rPr>
        <w:t>17194万元，置换一般债券还本14600万元，本级一般债券还本1913.01万元</w:t>
      </w:r>
      <w:r>
        <w:rPr>
          <w:rFonts w:hint="default" w:ascii="Times New Roman" w:hAnsi="Times New Roman" w:eastAsia="仿宋_GB2312" w:cs="Times New Roman"/>
          <w:color w:val="auto"/>
          <w:spacing w:val="0"/>
          <w:w w:val="100"/>
          <w:sz w:val="32"/>
          <w:szCs w:val="32"/>
          <w:lang w:eastAsia="zh-CN"/>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年政府债券付息支出</w:t>
      </w:r>
      <w:r>
        <w:rPr>
          <w:rFonts w:hint="default" w:ascii="Times New Roman" w:hAnsi="Times New Roman" w:eastAsia="仿宋_GB2312" w:cs="Times New Roman"/>
          <w:color w:val="auto"/>
          <w:spacing w:val="0"/>
          <w:w w:val="100"/>
          <w:sz w:val="32"/>
          <w:szCs w:val="32"/>
          <w:lang w:val="en-US" w:eastAsia="zh-CN"/>
        </w:rPr>
        <w:t>14353.81</w:t>
      </w:r>
      <w:r>
        <w:rPr>
          <w:rFonts w:hint="default" w:ascii="Times New Roman" w:hAnsi="Times New Roman" w:eastAsia="仿宋_GB2312" w:cs="Times New Roman"/>
          <w:color w:val="auto"/>
          <w:spacing w:val="0"/>
          <w:w w:val="100"/>
          <w:sz w:val="32"/>
          <w:szCs w:val="32"/>
          <w:lang w:eastAsia="zh-CN"/>
        </w:rPr>
        <w:t>万元（一般债券付息</w:t>
      </w:r>
      <w:r>
        <w:rPr>
          <w:rFonts w:hint="default" w:ascii="Times New Roman" w:hAnsi="Times New Roman" w:eastAsia="仿宋_GB2312" w:cs="Times New Roman"/>
          <w:color w:val="auto"/>
          <w:spacing w:val="0"/>
          <w:w w:val="100"/>
          <w:sz w:val="32"/>
          <w:szCs w:val="32"/>
          <w:lang w:val="en-US" w:eastAsia="zh-CN"/>
        </w:rPr>
        <w:t>7068.68</w:t>
      </w:r>
      <w:r>
        <w:rPr>
          <w:rFonts w:hint="default" w:ascii="Times New Roman" w:hAnsi="Times New Roman" w:eastAsia="仿宋_GB2312" w:cs="Times New Roman"/>
          <w:color w:val="auto"/>
          <w:spacing w:val="0"/>
          <w:w w:val="100"/>
          <w:sz w:val="32"/>
          <w:szCs w:val="32"/>
          <w:lang w:eastAsia="zh-CN"/>
        </w:rPr>
        <w:t>万元，专项债券付息</w:t>
      </w:r>
      <w:r>
        <w:rPr>
          <w:rFonts w:hint="default" w:ascii="Times New Roman" w:hAnsi="Times New Roman" w:eastAsia="仿宋_GB2312" w:cs="Times New Roman"/>
          <w:color w:val="auto"/>
          <w:spacing w:val="0"/>
          <w:w w:val="100"/>
          <w:sz w:val="32"/>
          <w:szCs w:val="32"/>
          <w:lang w:val="en-US" w:eastAsia="zh-CN"/>
        </w:rPr>
        <w:t>7285.13</w:t>
      </w:r>
      <w:r>
        <w:rPr>
          <w:rFonts w:hint="default" w:ascii="Times New Roman" w:hAnsi="Times New Roman" w:eastAsia="仿宋_GB2312" w:cs="Times New Roman"/>
          <w:color w:val="auto"/>
          <w:spacing w:val="0"/>
          <w:w w:val="100"/>
          <w:sz w:val="32"/>
          <w:szCs w:val="32"/>
          <w:lang w:eastAsia="zh-CN"/>
        </w:rPr>
        <w:t>万元）。202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lang w:eastAsia="zh-CN"/>
        </w:rPr>
        <w:t>年新增债券期限</w:t>
      </w:r>
      <w:r>
        <w:rPr>
          <w:rFonts w:hint="default" w:ascii="Times New Roman" w:hAnsi="Times New Roman" w:eastAsia="仿宋_GB2312" w:cs="Times New Roman"/>
          <w:color w:val="auto"/>
          <w:spacing w:val="0"/>
          <w:w w:val="100"/>
          <w:sz w:val="32"/>
          <w:szCs w:val="32"/>
          <w:highlight w:val="none"/>
          <w:lang w:eastAsia="zh-CN"/>
        </w:rPr>
        <w:t>为</w:t>
      </w:r>
      <w:r>
        <w:rPr>
          <w:rFonts w:hint="default" w:ascii="Times New Roman" w:hAnsi="Times New Roman" w:eastAsia="仿宋_GB2312" w:cs="Times New Roman"/>
          <w:color w:val="auto"/>
          <w:spacing w:val="0"/>
          <w:w w:val="100"/>
          <w:sz w:val="32"/>
          <w:szCs w:val="32"/>
          <w:highlight w:val="none"/>
          <w:lang w:val="en-US" w:eastAsia="zh-CN"/>
        </w:rPr>
        <w:t>7年、10年、15年、20年、30年，平均发行利率为2.03%。</w:t>
      </w:r>
    </w:p>
    <w:p w14:paraId="77CDB9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上述预算执行</w:t>
      </w:r>
      <w:r>
        <w:rPr>
          <w:rFonts w:hint="default" w:ascii="Times New Roman" w:hAnsi="Times New Roman" w:eastAsia="仿宋_GB2312" w:cs="Times New Roman"/>
          <w:color w:val="auto"/>
          <w:spacing w:val="0"/>
          <w:w w:val="100"/>
          <w:sz w:val="32"/>
          <w:szCs w:val="32"/>
          <w:lang w:eastAsia="zh-CN"/>
        </w:rPr>
        <w:t>数据</w:t>
      </w:r>
      <w:r>
        <w:rPr>
          <w:rFonts w:hint="default" w:ascii="Times New Roman" w:hAnsi="Times New Roman" w:eastAsia="仿宋_GB2312" w:cs="Times New Roman"/>
          <w:color w:val="auto"/>
          <w:spacing w:val="0"/>
          <w:w w:val="100"/>
          <w:sz w:val="32"/>
          <w:szCs w:val="32"/>
        </w:rPr>
        <w:t>在决算编制汇总后，会有部分变化，最终结果将向县人大常委会报告，并按规定公开。</w:t>
      </w:r>
    </w:p>
    <w:p w14:paraId="262920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二、落实县人大</w:t>
      </w:r>
      <w:r>
        <w:rPr>
          <w:rFonts w:hint="default" w:ascii="Times New Roman" w:hAnsi="Times New Roman" w:eastAsia="黑体" w:cs="Times New Roman"/>
          <w:color w:val="auto"/>
          <w:spacing w:val="0"/>
          <w:w w:val="100"/>
          <w:sz w:val="32"/>
          <w:szCs w:val="32"/>
          <w:lang w:eastAsia="zh-CN"/>
        </w:rPr>
        <w:t>预算</w:t>
      </w:r>
      <w:r>
        <w:rPr>
          <w:rFonts w:hint="default" w:ascii="Times New Roman" w:hAnsi="Times New Roman" w:eastAsia="黑体" w:cs="Times New Roman"/>
          <w:color w:val="auto"/>
          <w:spacing w:val="0"/>
          <w:w w:val="100"/>
          <w:sz w:val="32"/>
          <w:szCs w:val="32"/>
        </w:rPr>
        <w:t>决议和主要财政工作情况</w:t>
      </w:r>
    </w:p>
    <w:p w14:paraId="3E78B1C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color w:val="auto"/>
          <w:spacing w:val="0"/>
          <w:w w:val="100"/>
          <w:sz w:val="32"/>
          <w:szCs w:val="32"/>
        </w:rPr>
        <w:t>202</w:t>
      </w:r>
      <w:r>
        <w:rPr>
          <w:rFonts w:hint="default" w:ascii="Times New Roman" w:hAnsi="Times New Roman" w:eastAsia="仿宋_GB2312" w:cs="Times New Roman"/>
          <w:color w:val="auto"/>
          <w:spacing w:val="0"/>
          <w:w w:val="100"/>
          <w:sz w:val="32"/>
          <w:szCs w:val="32"/>
          <w:lang w:val="en-US" w:eastAsia="zh-CN"/>
        </w:rPr>
        <w:t>5</w:t>
      </w:r>
      <w:r>
        <w:rPr>
          <w:rFonts w:hint="default" w:ascii="Times New Roman" w:hAnsi="Times New Roman" w:eastAsia="仿宋_GB2312" w:cs="Times New Roman"/>
          <w:color w:val="auto"/>
          <w:spacing w:val="0"/>
          <w:w w:val="100"/>
          <w:sz w:val="32"/>
          <w:szCs w:val="32"/>
        </w:rPr>
        <w:t>年，</w:t>
      </w:r>
      <w:r>
        <w:rPr>
          <w:rFonts w:hint="default" w:ascii="Times New Roman" w:hAnsi="Times New Roman" w:eastAsia="仿宋_GB2312" w:cs="Times New Roman"/>
          <w:color w:val="auto"/>
          <w:spacing w:val="0"/>
          <w:w w:val="100"/>
          <w:sz w:val="32"/>
          <w:szCs w:val="32"/>
          <w:lang w:eastAsia="zh-CN"/>
        </w:rPr>
        <w:t>财政部门</w:t>
      </w:r>
      <w:r>
        <w:rPr>
          <w:rFonts w:hint="default" w:ascii="Times New Roman" w:hAnsi="Times New Roman" w:eastAsia="仿宋_GB2312" w:cs="Times New Roman"/>
          <w:color w:val="auto"/>
          <w:spacing w:val="0"/>
          <w:w w:val="100"/>
          <w:sz w:val="32"/>
          <w:szCs w:val="32"/>
        </w:rPr>
        <w:t>认真</w:t>
      </w:r>
      <w:r>
        <w:rPr>
          <w:rFonts w:hint="default" w:ascii="Times New Roman" w:hAnsi="Times New Roman" w:eastAsia="仿宋_GB2312" w:cs="Times New Roman"/>
          <w:color w:val="auto"/>
          <w:spacing w:val="0"/>
          <w:w w:val="100"/>
          <w:sz w:val="32"/>
          <w:szCs w:val="32"/>
          <w:lang w:eastAsia="zh-CN"/>
        </w:rPr>
        <w:t>贯彻中央、省、市决策部署和</w:t>
      </w:r>
      <w:r>
        <w:rPr>
          <w:rFonts w:hint="default" w:ascii="Times New Roman" w:hAnsi="Times New Roman" w:eastAsia="仿宋_GB2312" w:cs="Times New Roman"/>
          <w:color w:val="auto"/>
          <w:spacing w:val="0"/>
          <w:w w:val="100"/>
          <w:sz w:val="32"/>
          <w:szCs w:val="32"/>
        </w:rPr>
        <w:t>县委</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rPr>
        <w:t>县政府</w:t>
      </w:r>
      <w:r>
        <w:rPr>
          <w:rFonts w:hint="default" w:ascii="Times New Roman" w:hAnsi="Times New Roman" w:eastAsia="仿宋_GB2312" w:cs="Times New Roman"/>
          <w:color w:val="auto"/>
          <w:spacing w:val="0"/>
          <w:w w:val="100"/>
          <w:sz w:val="32"/>
          <w:szCs w:val="32"/>
          <w:lang w:eastAsia="zh-CN"/>
        </w:rPr>
        <w:t>工作要求，对照县</w:t>
      </w:r>
      <w:r>
        <w:rPr>
          <w:rFonts w:hint="default" w:ascii="Times New Roman" w:hAnsi="Times New Roman" w:eastAsia="仿宋_GB2312" w:cs="Times New Roman"/>
          <w:color w:val="auto"/>
          <w:spacing w:val="0"/>
          <w:w w:val="100"/>
          <w:sz w:val="32"/>
          <w:szCs w:val="32"/>
        </w:rPr>
        <w:t>人大</w:t>
      </w:r>
      <w:r>
        <w:rPr>
          <w:rFonts w:hint="default" w:ascii="Times New Roman" w:hAnsi="Times New Roman" w:eastAsia="仿宋_GB2312" w:cs="Times New Roman"/>
          <w:color w:val="auto"/>
          <w:spacing w:val="0"/>
          <w:w w:val="100"/>
          <w:sz w:val="32"/>
          <w:szCs w:val="32"/>
          <w:lang w:eastAsia="zh-CN"/>
        </w:rPr>
        <w:t>对</w:t>
      </w:r>
      <w:r>
        <w:rPr>
          <w:rFonts w:hint="default" w:ascii="Times New Roman" w:hAnsi="Times New Roman" w:eastAsia="仿宋_GB2312" w:cs="Times New Roman"/>
          <w:color w:val="auto"/>
          <w:spacing w:val="0"/>
          <w:w w:val="100"/>
          <w:sz w:val="32"/>
          <w:szCs w:val="32"/>
        </w:rPr>
        <w:t>预算</w:t>
      </w:r>
      <w:r>
        <w:rPr>
          <w:rFonts w:hint="default" w:ascii="Times New Roman" w:hAnsi="Times New Roman" w:eastAsia="仿宋_GB2312" w:cs="Times New Roman"/>
          <w:color w:val="auto"/>
          <w:spacing w:val="0"/>
          <w:w w:val="100"/>
          <w:sz w:val="32"/>
          <w:szCs w:val="32"/>
          <w:lang w:eastAsia="zh-CN"/>
        </w:rPr>
        <w:t>草案有关</w:t>
      </w:r>
      <w:r>
        <w:rPr>
          <w:rFonts w:hint="default" w:ascii="Times New Roman" w:hAnsi="Times New Roman" w:eastAsia="仿宋_GB2312" w:cs="Times New Roman"/>
          <w:color w:val="auto"/>
          <w:spacing w:val="0"/>
          <w:w w:val="100"/>
          <w:sz w:val="32"/>
          <w:szCs w:val="32"/>
        </w:rPr>
        <w:t>决议情况，</w:t>
      </w:r>
      <w:r>
        <w:rPr>
          <w:rFonts w:hint="default" w:ascii="Times New Roman" w:hAnsi="Times New Roman" w:eastAsia="仿宋_GB2312" w:cs="Times New Roman"/>
          <w:color w:val="auto"/>
          <w:spacing w:val="0"/>
          <w:w w:val="100"/>
          <w:sz w:val="32"/>
          <w:szCs w:val="32"/>
          <w:lang w:eastAsia="zh-CN"/>
        </w:rPr>
        <w:t>紧盯短板弱项，攻坚克难，以保促稳，以稳促进，切实抓好财政收支管理，强化财政资源统筹，努力防范债务风险，不断推动全县经济社会平稳发展。</w:t>
      </w:r>
    </w:p>
    <w:p w14:paraId="7EEE7FCD">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楷体_GB2312" w:hAnsi="楷体_GB2312" w:eastAsia="楷体_GB2312" w:cs="楷体_GB2312"/>
          <w:b/>
          <w:bCs/>
          <w:color w:val="auto"/>
          <w:spacing w:val="0"/>
          <w:w w:val="100"/>
          <w:sz w:val="32"/>
          <w:szCs w:val="32"/>
          <w:highlight w:val="none"/>
          <w:lang w:eastAsia="zh-CN"/>
        </w:rPr>
      </w:pPr>
      <w:r>
        <w:rPr>
          <w:rFonts w:hint="eastAsia" w:ascii="楷体_GB2312" w:hAnsi="楷体_GB2312" w:eastAsia="楷体_GB2312" w:cs="楷体_GB2312"/>
          <w:b/>
          <w:bCs/>
          <w:color w:val="auto"/>
          <w:spacing w:val="0"/>
          <w:w w:val="100"/>
          <w:sz w:val="32"/>
          <w:szCs w:val="32"/>
          <w:highlight w:val="none"/>
          <w:lang w:eastAsia="zh-CN"/>
        </w:rPr>
        <w:t>（一）凝心聚力抓财源，增强财政保障能力</w:t>
      </w:r>
    </w:p>
    <w:p w14:paraId="7A80401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eastAsia="zh-CN"/>
        </w:rPr>
      </w:pPr>
      <w:r>
        <w:rPr>
          <w:rFonts w:hint="default" w:ascii="Times New Roman" w:hAnsi="Times New Roman" w:eastAsia="仿宋_GB2312" w:cs="Times New Roman"/>
          <w:b w:val="0"/>
          <w:bCs w:val="0"/>
          <w:color w:val="auto"/>
          <w:spacing w:val="0"/>
          <w:w w:val="100"/>
          <w:sz w:val="32"/>
          <w:szCs w:val="32"/>
          <w:highlight w:val="none"/>
          <w:lang w:eastAsia="zh-CN"/>
        </w:rPr>
        <w:t>始终坚持将提高财政保障能力作为财政部门的首要职责和使命任务，全力以赴为我县高质量发展持续注入新动力。</w:t>
      </w:r>
      <w:r>
        <w:rPr>
          <w:rFonts w:hint="default" w:ascii="Times New Roman" w:hAnsi="Times New Roman" w:eastAsia="仿宋_GB2312" w:cs="Times New Roman"/>
          <w:b/>
          <w:bCs/>
          <w:color w:val="auto"/>
          <w:spacing w:val="0"/>
          <w:w w:val="100"/>
          <w:sz w:val="32"/>
          <w:szCs w:val="32"/>
          <w:highlight w:val="none"/>
          <w:lang w:val="en-US" w:eastAsia="zh-CN"/>
        </w:rPr>
        <w:t>一是着力培育优质财源，壮大财政收入基础。</w:t>
      </w:r>
      <w:r>
        <w:rPr>
          <w:rFonts w:hint="default" w:ascii="Times New Roman" w:hAnsi="Times New Roman" w:eastAsia="仿宋_GB2312" w:cs="Times New Roman"/>
          <w:b w:val="0"/>
          <w:bCs w:val="0"/>
          <w:color w:val="auto"/>
          <w:spacing w:val="0"/>
          <w:w w:val="100"/>
          <w:sz w:val="32"/>
          <w:szCs w:val="32"/>
          <w:highlight w:val="none"/>
          <w:lang w:val="en-US" w:eastAsia="zh-CN"/>
        </w:rPr>
        <w:t>财税部门加强对接协</w:t>
      </w:r>
      <w:r>
        <w:rPr>
          <w:rFonts w:hint="default" w:ascii="Times New Roman" w:hAnsi="Times New Roman" w:eastAsia="仿宋_GB2312" w:cs="Times New Roman"/>
          <w:b w:val="0"/>
          <w:bCs w:val="0"/>
          <w:color w:val="000000"/>
          <w:spacing w:val="0"/>
          <w:w w:val="100"/>
          <w:kern w:val="0"/>
          <w:sz w:val="32"/>
          <w:szCs w:val="32"/>
          <w:lang w:val="en-US" w:eastAsia="zh-CN" w:bidi="ar-SA"/>
        </w:rPr>
        <w:t>同，</w:t>
      </w:r>
      <w:r>
        <w:rPr>
          <w:rFonts w:hint="default" w:ascii="Times New Roman" w:hAnsi="Times New Roman" w:eastAsia="仿宋_GB2312" w:cs="Times New Roman"/>
          <w:b w:val="0"/>
          <w:bCs w:val="0"/>
          <w:color w:val="000000"/>
          <w:spacing w:val="0"/>
          <w:w w:val="100"/>
          <w:sz w:val="32"/>
          <w:szCs w:val="32"/>
          <w:lang w:val="en-US" w:eastAsia="zh-CN"/>
        </w:rPr>
        <w:t>建立</w:t>
      </w:r>
      <w:r>
        <w:rPr>
          <w:rFonts w:hint="eastAsia" w:ascii="Times New Roman" w:hAnsi="Times New Roman" w:eastAsia="仿宋_GB2312" w:cs="Times New Roman"/>
          <w:b w:val="0"/>
          <w:bCs w:val="0"/>
          <w:color w:val="000000"/>
          <w:spacing w:val="0"/>
          <w:w w:val="100"/>
          <w:sz w:val="32"/>
          <w:szCs w:val="32"/>
          <w:lang w:val="en-US" w:eastAsia="zh-CN"/>
        </w:rPr>
        <w:t>“</w:t>
      </w:r>
      <w:r>
        <w:rPr>
          <w:rFonts w:hint="default" w:ascii="Times New Roman" w:hAnsi="Times New Roman" w:eastAsia="仿宋_GB2312" w:cs="Times New Roman"/>
          <w:b w:val="0"/>
          <w:bCs w:val="0"/>
          <w:color w:val="000000"/>
          <w:spacing w:val="0"/>
          <w:w w:val="100"/>
          <w:sz w:val="32"/>
          <w:szCs w:val="32"/>
          <w:lang w:val="en-US" w:eastAsia="zh-CN"/>
        </w:rPr>
        <w:t>财税联动+动态研判</w:t>
      </w:r>
      <w:r>
        <w:rPr>
          <w:rFonts w:hint="eastAsia" w:ascii="Times New Roman" w:hAnsi="Times New Roman" w:eastAsia="仿宋_GB2312" w:cs="Times New Roman"/>
          <w:b w:val="0"/>
          <w:bCs w:val="0"/>
          <w:color w:val="000000"/>
          <w:spacing w:val="0"/>
          <w:w w:val="100"/>
          <w:sz w:val="32"/>
          <w:szCs w:val="32"/>
          <w:lang w:val="en-US" w:eastAsia="zh-CN"/>
        </w:rPr>
        <w:t>”</w:t>
      </w:r>
      <w:r>
        <w:rPr>
          <w:rFonts w:hint="default" w:ascii="Times New Roman" w:hAnsi="Times New Roman" w:eastAsia="仿宋_GB2312" w:cs="Times New Roman"/>
          <w:b w:val="0"/>
          <w:bCs w:val="0"/>
          <w:color w:val="000000"/>
          <w:spacing w:val="0"/>
          <w:w w:val="100"/>
          <w:sz w:val="32"/>
          <w:szCs w:val="32"/>
          <w:lang w:val="en-US" w:eastAsia="zh-CN"/>
        </w:rPr>
        <w:t>的收入管理机制，聚</w:t>
      </w:r>
      <w:r>
        <w:rPr>
          <w:rFonts w:hint="default" w:ascii="Times New Roman" w:hAnsi="Times New Roman" w:eastAsia="仿宋_GB2312" w:cs="Times New Roman"/>
          <w:color w:val="000000"/>
          <w:spacing w:val="0"/>
          <w:w w:val="100"/>
          <w:sz w:val="32"/>
          <w:szCs w:val="32"/>
          <w:lang w:val="en-US" w:eastAsia="zh-CN"/>
        </w:rPr>
        <w:t>焦重点行业、重点税源、重点项目，及时准确研判收入形势，依法征收、应收尽收，确保完成地方一般公共预算收入目标任务。</w:t>
      </w:r>
      <w:r>
        <w:rPr>
          <w:rFonts w:hint="default" w:ascii="Times New Roman" w:hAnsi="Times New Roman" w:eastAsia="仿宋_GB2312" w:cs="Times New Roman"/>
          <w:b/>
          <w:bCs/>
          <w:color w:val="000000"/>
          <w:spacing w:val="0"/>
          <w:w w:val="100"/>
          <w:kern w:val="0"/>
          <w:sz w:val="32"/>
          <w:szCs w:val="32"/>
          <w:lang w:val="en-US" w:eastAsia="zh-CN" w:bidi="ar-SA"/>
        </w:rPr>
        <w:t>二是主动对接积极争取，拓宽资金引入渠道。</w:t>
      </w:r>
      <w:r>
        <w:rPr>
          <w:rFonts w:hint="default" w:ascii="Times New Roman" w:hAnsi="Times New Roman" w:eastAsia="仿宋_GB2312" w:cs="Times New Roman"/>
          <w:b w:val="0"/>
          <w:bCs w:val="0"/>
          <w:color w:val="000000"/>
          <w:spacing w:val="0"/>
          <w:w w:val="100"/>
          <w:kern w:val="2"/>
          <w:sz w:val="32"/>
          <w:szCs w:val="32"/>
          <w:lang w:val="en-US" w:eastAsia="zh-CN" w:bidi="ar-SA"/>
        </w:rPr>
        <w:t>紧盯国家政策导向和资金投向，建立</w:t>
      </w:r>
      <w:r>
        <w:rPr>
          <w:rFonts w:hint="eastAsia" w:ascii="Times New Roman" w:hAnsi="Times New Roman" w:eastAsia="仿宋_GB2312" w:cs="Times New Roman"/>
          <w:b w:val="0"/>
          <w:bCs w:val="0"/>
          <w:color w:val="000000"/>
          <w:spacing w:val="0"/>
          <w:w w:val="100"/>
          <w:kern w:val="2"/>
          <w:sz w:val="32"/>
          <w:szCs w:val="32"/>
          <w:lang w:val="en-US" w:eastAsia="zh-CN" w:bidi="ar-SA"/>
        </w:rPr>
        <w:t>“</w:t>
      </w:r>
      <w:r>
        <w:rPr>
          <w:rFonts w:hint="default" w:ascii="Times New Roman" w:hAnsi="Times New Roman" w:eastAsia="仿宋_GB2312" w:cs="Times New Roman"/>
          <w:b w:val="0"/>
          <w:bCs w:val="0"/>
          <w:color w:val="000000"/>
          <w:spacing w:val="0"/>
          <w:w w:val="100"/>
          <w:kern w:val="2"/>
          <w:sz w:val="32"/>
          <w:szCs w:val="32"/>
          <w:lang w:val="en-US" w:eastAsia="zh-CN" w:bidi="ar-SA"/>
        </w:rPr>
        <w:t>政策研判+项目储备+争取资金</w:t>
      </w:r>
      <w:r>
        <w:rPr>
          <w:rFonts w:hint="eastAsia" w:ascii="Times New Roman" w:hAnsi="Times New Roman" w:eastAsia="仿宋_GB2312" w:cs="Times New Roman"/>
          <w:b w:val="0"/>
          <w:bCs w:val="0"/>
          <w:color w:val="000000"/>
          <w:spacing w:val="0"/>
          <w:w w:val="100"/>
          <w:kern w:val="2"/>
          <w:sz w:val="32"/>
          <w:szCs w:val="32"/>
          <w:lang w:val="en-US" w:eastAsia="zh-CN" w:bidi="ar-SA"/>
        </w:rPr>
        <w:t>”</w:t>
      </w:r>
      <w:r>
        <w:rPr>
          <w:rFonts w:hint="default" w:ascii="Times New Roman" w:hAnsi="Times New Roman" w:eastAsia="仿宋_GB2312" w:cs="Times New Roman"/>
          <w:b w:val="0"/>
          <w:bCs w:val="0"/>
          <w:color w:val="000000"/>
          <w:spacing w:val="0"/>
          <w:w w:val="100"/>
          <w:kern w:val="2"/>
          <w:sz w:val="32"/>
          <w:szCs w:val="32"/>
          <w:lang w:val="en-US" w:eastAsia="zh-CN" w:bidi="ar-SA"/>
        </w:rPr>
        <w:t>的联动机制，抢抓政策机遇，全年大力争取各类政策资金共计11.71亿元。</w:t>
      </w:r>
      <w:r>
        <w:rPr>
          <w:rFonts w:hint="default" w:ascii="Times New Roman" w:hAnsi="Times New Roman" w:eastAsia="仿宋_GB2312" w:cs="Times New Roman"/>
          <w:b/>
          <w:bCs/>
          <w:color w:val="000000"/>
          <w:spacing w:val="0"/>
          <w:w w:val="100"/>
          <w:kern w:val="0"/>
          <w:sz w:val="32"/>
          <w:szCs w:val="32"/>
          <w:lang w:val="en-US" w:eastAsia="zh-CN" w:bidi="ar-SA"/>
        </w:rPr>
        <w:t>三是全力盘活国有</w:t>
      </w:r>
      <w:r>
        <w:rPr>
          <w:rFonts w:hint="eastAsia" w:ascii="Times New Roman" w:hAnsi="Times New Roman" w:eastAsia="仿宋_GB2312" w:cs="Times New Roman"/>
          <w:b/>
          <w:bCs/>
          <w:color w:val="000000"/>
          <w:spacing w:val="0"/>
          <w:w w:val="100"/>
          <w:kern w:val="0"/>
          <w:sz w:val="32"/>
          <w:szCs w:val="32"/>
          <w:lang w:val="en-US" w:eastAsia="zh-CN" w:bidi="ar-SA"/>
        </w:rPr>
        <w:t>“</w:t>
      </w:r>
      <w:r>
        <w:rPr>
          <w:rFonts w:hint="default" w:ascii="Times New Roman" w:hAnsi="Times New Roman" w:eastAsia="仿宋_GB2312" w:cs="Times New Roman"/>
          <w:b/>
          <w:bCs/>
          <w:color w:val="000000"/>
          <w:spacing w:val="0"/>
          <w:w w:val="100"/>
          <w:kern w:val="0"/>
          <w:sz w:val="32"/>
          <w:szCs w:val="32"/>
          <w:lang w:val="en-US" w:eastAsia="zh-CN" w:bidi="ar-SA"/>
        </w:rPr>
        <w:t>三资</w:t>
      </w:r>
      <w:r>
        <w:rPr>
          <w:rFonts w:hint="eastAsia" w:ascii="Times New Roman" w:hAnsi="Times New Roman" w:eastAsia="仿宋_GB2312" w:cs="Times New Roman"/>
          <w:b/>
          <w:bCs/>
          <w:color w:val="000000"/>
          <w:spacing w:val="0"/>
          <w:w w:val="100"/>
          <w:kern w:val="0"/>
          <w:sz w:val="32"/>
          <w:szCs w:val="32"/>
          <w:lang w:val="en-US" w:eastAsia="zh-CN" w:bidi="ar-SA"/>
        </w:rPr>
        <w:t>”</w:t>
      </w:r>
      <w:r>
        <w:rPr>
          <w:rFonts w:hint="default" w:ascii="Times New Roman" w:hAnsi="Times New Roman" w:eastAsia="仿宋_GB2312" w:cs="Times New Roman"/>
          <w:b/>
          <w:bCs/>
          <w:color w:val="000000"/>
          <w:spacing w:val="0"/>
          <w:w w:val="100"/>
          <w:kern w:val="0"/>
          <w:sz w:val="32"/>
          <w:szCs w:val="32"/>
          <w:lang w:val="en-US" w:eastAsia="zh-CN" w:bidi="ar-SA"/>
        </w:rPr>
        <w:t>，释放资产资源效益</w:t>
      </w:r>
      <w:r>
        <w:rPr>
          <w:rFonts w:hint="default" w:ascii="Times New Roman" w:hAnsi="Times New Roman" w:cs="Times New Roman"/>
          <w:b/>
          <w:bCs/>
          <w:color w:val="000000"/>
          <w:spacing w:val="0"/>
          <w:w w:val="100"/>
          <w:kern w:val="0"/>
          <w:sz w:val="32"/>
          <w:szCs w:val="32"/>
          <w:lang w:val="en-US" w:eastAsia="zh-CN" w:bidi="ar-SA"/>
        </w:rPr>
        <w:t>。</w:t>
      </w:r>
      <w:r>
        <w:rPr>
          <w:rFonts w:hint="default" w:ascii="Times New Roman" w:hAnsi="Times New Roman" w:eastAsia="仿宋_GB2312" w:cs="Times New Roman"/>
          <w:color w:val="000000"/>
          <w:spacing w:val="0"/>
          <w:w w:val="100"/>
          <w:sz w:val="32"/>
          <w:szCs w:val="40"/>
        </w:rPr>
        <w:t>夯实管理基础，实现资产</w:t>
      </w:r>
      <w:r>
        <w:rPr>
          <w:rFonts w:hint="eastAsia" w:ascii="Times New Roman" w:hAnsi="Times New Roman" w:eastAsia="仿宋_GB2312" w:cs="Times New Roman"/>
          <w:color w:val="000000"/>
          <w:spacing w:val="0"/>
          <w:w w:val="100"/>
          <w:sz w:val="32"/>
          <w:szCs w:val="40"/>
          <w:lang w:eastAsia="zh-CN"/>
        </w:rPr>
        <w:t>“</w:t>
      </w:r>
      <w:r>
        <w:rPr>
          <w:rFonts w:hint="default" w:ascii="Times New Roman" w:hAnsi="Times New Roman" w:eastAsia="仿宋_GB2312" w:cs="Times New Roman"/>
          <w:color w:val="000000"/>
          <w:spacing w:val="0"/>
          <w:w w:val="100"/>
          <w:sz w:val="32"/>
          <w:szCs w:val="40"/>
        </w:rPr>
        <w:t>家底清</w:t>
      </w:r>
      <w:r>
        <w:rPr>
          <w:rFonts w:hint="eastAsia" w:ascii="Times New Roman" w:hAnsi="Times New Roman" w:eastAsia="仿宋_GB2312" w:cs="Times New Roman"/>
          <w:color w:val="000000"/>
          <w:spacing w:val="0"/>
          <w:w w:val="100"/>
          <w:sz w:val="32"/>
          <w:szCs w:val="40"/>
          <w:lang w:eastAsia="zh-CN"/>
        </w:rPr>
        <w:t>”</w:t>
      </w:r>
      <w:r>
        <w:rPr>
          <w:rFonts w:hint="default" w:ascii="Times New Roman" w:hAnsi="Times New Roman" w:cs="Times New Roman"/>
          <w:color w:val="000000"/>
          <w:spacing w:val="0"/>
          <w:w w:val="100"/>
          <w:sz w:val="32"/>
          <w:szCs w:val="40"/>
          <w:lang w:eastAsia="zh-CN"/>
        </w:rPr>
        <w:t>，</w:t>
      </w:r>
      <w:r>
        <w:rPr>
          <w:rFonts w:hint="default" w:ascii="Times New Roman" w:hAnsi="Times New Roman" w:eastAsia="仿宋_GB2312" w:cs="Times New Roman"/>
          <w:color w:val="000000"/>
          <w:spacing w:val="0"/>
          <w:w w:val="100"/>
          <w:sz w:val="32"/>
          <w:szCs w:val="40"/>
        </w:rPr>
        <w:t>组织开展了年度资产清查盘点工作，重点对闲置、待报废资产进行核查登记，确保账实相符、账卡相符。全年</w:t>
      </w:r>
      <w:r>
        <w:rPr>
          <w:rFonts w:hint="default" w:ascii="Times New Roman" w:hAnsi="Times New Roman" w:eastAsia="仿宋_GB2312" w:cs="Times New Roman"/>
          <w:color w:val="000000"/>
          <w:spacing w:val="0"/>
          <w:w w:val="100"/>
          <w:sz w:val="32"/>
          <w:szCs w:val="40"/>
          <w:lang w:eastAsia="zh-CN"/>
        </w:rPr>
        <w:t>预计</w:t>
      </w:r>
      <w:r>
        <w:rPr>
          <w:rFonts w:hint="default" w:ascii="Times New Roman" w:hAnsi="Times New Roman" w:eastAsia="仿宋_GB2312" w:cs="Times New Roman"/>
          <w:color w:val="000000"/>
          <w:spacing w:val="0"/>
          <w:w w:val="100"/>
          <w:sz w:val="32"/>
          <w:szCs w:val="40"/>
        </w:rPr>
        <w:t>共盘活闲置资产</w:t>
      </w:r>
      <w:r>
        <w:rPr>
          <w:rFonts w:hint="default" w:ascii="Times New Roman" w:hAnsi="Times New Roman" w:eastAsia="仿宋_GB2312" w:cs="Times New Roman"/>
          <w:color w:val="000000"/>
          <w:spacing w:val="0"/>
          <w:w w:val="100"/>
          <w:sz w:val="32"/>
          <w:szCs w:val="40"/>
          <w:lang w:val="en-US" w:eastAsia="zh-CN"/>
        </w:rPr>
        <w:t>22</w:t>
      </w:r>
      <w:r>
        <w:rPr>
          <w:rFonts w:hint="default" w:ascii="Times New Roman" w:hAnsi="Times New Roman" w:eastAsia="仿宋_GB2312" w:cs="Times New Roman"/>
          <w:color w:val="000000"/>
          <w:spacing w:val="0"/>
          <w:w w:val="100"/>
          <w:sz w:val="32"/>
          <w:szCs w:val="40"/>
        </w:rPr>
        <w:t>处，涉及价值约</w:t>
      </w:r>
      <w:r>
        <w:rPr>
          <w:rFonts w:hint="default" w:ascii="Times New Roman" w:hAnsi="Times New Roman" w:eastAsia="仿宋_GB2312" w:cs="Times New Roman"/>
          <w:color w:val="000000"/>
          <w:spacing w:val="0"/>
          <w:w w:val="100"/>
          <w:sz w:val="32"/>
          <w:szCs w:val="40"/>
          <w:lang w:val="en-US" w:eastAsia="zh-CN"/>
        </w:rPr>
        <w:t>1.5亿</w:t>
      </w:r>
      <w:r>
        <w:rPr>
          <w:rFonts w:hint="default" w:ascii="Times New Roman" w:hAnsi="Times New Roman" w:eastAsia="仿宋_GB2312" w:cs="Times New Roman"/>
          <w:color w:val="000000"/>
          <w:spacing w:val="0"/>
          <w:w w:val="100"/>
          <w:sz w:val="32"/>
          <w:szCs w:val="40"/>
        </w:rPr>
        <w:t>元，有效提升了资产使用效益。</w:t>
      </w:r>
      <w:r>
        <w:rPr>
          <w:rFonts w:hint="default" w:ascii="Times New Roman" w:hAnsi="Times New Roman" w:eastAsia="仿宋_GB2312" w:cs="Times New Roman"/>
          <w:b/>
          <w:bCs/>
          <w:color w:val="000000"/>
          <w:spacing w:val="0"/>
          <w:w w:val="100"/>
          <w:kern w:val="0"/>
          <w:sz w:val="32"/>
          <w:szCs w:val="32"/>
          <w:lang w:val="en-US" w:eastAsia="zh-CN" w:bidi="ar-SA"/>
        </w:rPr>
        <w:t>四是强化非税收入征管，提升资金统筹效能。</w:t>
      </w:r>
      <w:r>
        <w:rPr>
          <w:rFonts w:hint="default" w:ascii="Times New Roman" w:hAnsi="Times New Roman" w:eastAsia="仿宋_GB2312" w:cs="Times New Roman"/>
          <w:color w:val="000000"/>
          <w:spacing w:val="0"/>
          <w:w w:val="100"/>
          <w:kern w:val="0"/>
          <w:sz w:val="32"/>
          <w:szCs w:val="32"/>
          <w:lang w:val="en-US" w:eastAsia="zh-CN" w:bidi="ar-SA"/>
        </w:rPr>
        <w:t>科学编制、严格执行非税收入年度预算，加强预期管理，确保依法征收、应收尽收。规范执收行为，持续推行电子化票据管理。全年共开具</w:t>
      </w:r>
      <w:r>
        <w:rPr>
          <w:rFonts w:hint="default" w:ascii="Times New Roman" w:hAnsi="Times New Roman" w:eastAsia="仿宋_GB2312" w:cs="Times New Roman"/>
          <w:b w:val="0"/>
          <w:bCs w:val="0"/>
          <w:color w:val="000000"/>
          <w:spacing w:val="0"/>
          <w:w w:val="100"/>
          <w:kern w:val="2"/>
          <w:sz w:val="32"/>
          <w:szCs w:val="32"/>
          <w:highlight w:val="none"/>
          <w:lang w:val="en-US" w:eastAsia="zh-CN" w:bidi="ar-SA"/>
        </w:rPr>
        <w:t>非税电子票据9.17万份，合计金额1.19亿元。</w:t>
      </w:r>
    </w:p>
    <w:p w14:paraId="78D1CB0F">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eastAsia="zh-CN"/>
        </w:rPr>
      </w:pPr>
      <w:r>
        <w:rPr>
          <w:rFonts w:hint="default" w:ascii="楷体_GB2312" w:hAnsi="楷体_GB2312" w:eastAsia="楷体_GB2312" w:cs="楷体_GB2312"/>
          <w:b/>
          <w:bCs/>
          <w:color w:val="auto"/>
          <w:spacing w:val="0"/>
          <w:w w:val="100"/>
          <w:sz w:val="32"/>
          <w:szCs w:val="32"/>
          <w:highlight w:val="none"/>
          <w:lang w:eastAsia="zh-CN"/>
        </w:rPr>
        <w:t>（二）优化支出强结构，着力促进重点领域</w:t>
      </w:r>
    </w:p>
    <w:p w14:paraId="74BA4E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bCs/>
          <w:color w:val="auto"/>
          <w:spacing w:val="0"/>
          <w:w w:val="100"/>
          <w:sz w:val="32"/>
          <w:szCs w:val="32"/>
          <w:highlight w:val="none"/>
          <w:lang w:eastAsia="zh-CN"/>
        </w:rPr>
        <w:t>一是统筹资源全面支持乡村振兴工作。</w:t>
      </w:r>
      <w:r>
        <w:rPr>
          <w:rFonts w:hint="default" w:ascii="Times New Roman" w:hAnsi="Times New Roman" w:eastAsia="仿宋_GB2312" w:cs="Times New Roman"/>
          <w:color w:val="000000"/>
          <w:spacing w:val="0"/>
          <w:w w:val="100"/>
          <w:kern w:val="0"/>
          <w:sz w:val="32"/>
          <w:szCs w:val="32"/>
          <w:lang w:val="en-US" w:eastAsia="zh-CN" w:bidi="ar-SA"/>
        </w:rPr>
        <w:t>持续巩固拓展脱贫攻坚成果同乡村振兴有效衔接，全县累计投入衔接资金13119万元，用于农业生产发展和农业基础设施建设等项目，其中县本级投入资金460万元，始终保持资金投入</w:t>
      </w:r>
      <w:r>
        <w:rPr>
          <w:rFonts w:hint="eastAsia" w:ascii="Times New Roman" w:hAnsi="Times New Roman" w:eastAsia="仿宋_GB2312" w:cs="Times New Roman"/>
          <w:color w:val="000000"/>
          <w:spacing w:val="0"/>
          <w:w w:val="100"/>
          <w:kern w:val="0"/>
          <w:sz w:val="32"/>
          <w:szCs w:val="32"/>
          <w:lang w:val="en-US" w:eastAsia="zh-CN" w:bidi="ar-SA"/>
        </w:rPr>
        <w:t>“</w:t>
      </w:r>
      <w:r>
        <w:rPr>
          <w:rFonts w:hint="default" w:ascii="Times New Roman" w:hAnsi="Times New Roman" w:eastAsia="仿宋_GB2312" w:cs="Times New Roman"/>
          <w:color w:val="000000"/>
          <w:spacing w:val="0"/>
          <w:w w:val="100"/>
          <w:kern w:val="0"/>
          <w:sz w:val="32"/>
          <w:szCs w:val="32"/>
          <w:lang w:val="en-US" w:eastAsia="zh-CN" w:bidi="ar-SA"/>
        </w:rPr>
        <w:t>只增不减</w:t>
      </w:r>
      <w:r>
        <w:rPr>
          <w:rFonts w:hint="eastAsia" w:ascii="Times New Roman" w:hAnsi="Times New Roman" w:eastAsia="仿宋_GB2312" w:cs="Times New Roman"/>
          <w:color w:val="000000"/>
          <w:spacing w:val="0"/>
          <w:w w:val="100"/>
          <w:kern w:val="0"/>
          <w:sz w:val="32"/>
          <w:szCs w:val="32"/>
          <w:lang w:val="en-US" w:eastAsia="zh-CN" w:bidi="ar-SA"/>
        </w:rPr>
        <w:t>”</w:t>
      </w:r>
      <w:r>
        <w:rPr>
          <w:rFonts w:hint="default" w:ascii="Times New Roman" w:hAnsi="Times New Roman" w:eastAsia="仿宋_GB2312" w:cs="Times New Roman"/>
          <w:color w:val="000000"/>
          <w:spacing w:val="0"/>
          <w:w w:val="100"/>
          <w:kern w:val="0"/>
          <w:sz w:val="32"/>
          <w:szCs w:val="32"/>
          <w:lang w:val="en-US" w:eastAsia="zh-CN" w:bidi="ar-SA"/>
        </w:rPr>
        <w:t>。落实高标准农田建设资金1207万元，</w:t>
      </w:r>
      <w:r>
        <w:rPr>
          <w:rFonts w:hint="default" w:ascii="Times New Roman" w:hAnsi="Times New Roman" w:eastAsia="仿宋_GB2312" w:cs="Times New Roman"/>
          <w:spacing w:val="0"/>
          <w:w w:val="100"/>
          <w:kern w:val="0"/>
          <w:sz w:val="32"/>
          <w:szCs w:val="32"/>
          <w:lang w:val="en-US" w:eastAsia="zh-CN" w:bidi="ar-SA"/>
        </w:rPr>
        <w:t>稳步推进高标准农田建设，提升粮食生产能力。争取上级救灾资金3050万元，帮助受灾群众恢复生产生活，同时积极调度农险承担机构快速开展理赔兑付，把受灾损失降到最低。</w:t>
      </w:r>
      <w:r>
        <w:rPr>
          <w:rFonts w:hint="default" w:ascii="Times New Roman" w:hAnsi="Times New Roman" w:eastAsia="仿宋_GB2312" w:cs="Times New Roman"/>
          <w:b/>
          <w:bCs/>
          <w:spacing w:val="0"/>
          <w:w w:val="100"/>
          <w:kern w:val="0"/>
          <w:sz w:val="32"/>
          <w:szCs w:val="32"/>
          <w:lang w:val="en-US" w:eastAsia="zh-CN" w:bidi="ar-SA"/>
        </w:rPr>
        <w:t>二是加快新型城镇化建设步伐。</w:t>
      </w:r>
      <w:r>
        <w:rPr>
          <w:rFonts w:hint="default" w:ascii="Times New Roman" w:hAnsi="Times New Roman" w:eastAsia="仿宋_GB2312" w:cs="Times New Roman"/>
          <w:b w:val="0"/>
          <w:bCs w:val="0"/>
          <w:spacing w:val="0"/>
          <w:w w:val="100"/>
          <w:kern w:val="0"/>
          <w:sz w:val="32"/>
          <w:szCs w:val="32"/>
          <w:lang w:val="en-US" w:eastAsia="zh-CN" w:bidi="ar-SA"/>
        </w:rPr>
        <w:t>精准对接上级政策，筹措中央预算内投资项目资金14632万元，用于城区雨污分流管网改扩建项目，有效提高居民生活质量，进一步加快新型城镇化建设。</w:t>
      </w:r>
      <w:r>
        <w:rPr>
          <w:rFonts w:hint="default" w:ascii="Times New Roman" w:hAnsi="Times New Roman" w:eastAsia="仿宋_GB2312" w:cs="Times New Roman"/>
          <w:b/>
          <w:bCs/>
          <w:spacing w:val="0"/>
          <w:w w:val="100"/>
          <w:kern w:val="0"/>
          <w:sz w:val="32"/>
          <w:szCs w:val="32"/>
          <w:lang w:val="en-US" w:eastAsia="zh-CN" w:bidi="ar-SA"/>
        </w:rPr>
        <w:t>三是加大传统村落保护投入力度。</w:t>
      </w:r>
      <w:r>
        <w:rPr>
          <w:rFonts w:hint="default" w:ascii="Times New Roman" w:hAnsi="Times New Roman" w:eastAsia="仿宋_GB2312" w:cs="Times New Roman"/>
          <w:b w:val="0"/>
          <w:bCs w:val="0"/>
          <w:spacing w:val="0"/>
          <w:w w:val="100"/>
          <w:kern w:val="0"/>
          <w:sz w:val="32"/>
          <w:szCs w:val="32"/>
          <w:lang w:val="en-US" w:eastAsia="zh-CN" w:bidi="ar-SA"/>
        </w:rPr>
        <w:t>争取中央传统村落保护资金3816万元，重点支持宜居宜业和美乡村，进一步推动乡村振兴与文化传承的深度融合，推动乡村全面振兴发展。</w:t>
      </w:r>
      <w:r>
        <w:rPr>
          <w:rFonts w:hint="default" w:ascii="Times New Roman" w:hAnsi="Times New Roman" w:eastAsia="仿宋_GB2312" w:cs="Times New Roman"/>
          <w:b/>
          <w:bCs/>
          <w:spacing w:val="0"/>
          <w:w w:val="100"/>
          <w:kern w:val="0"/>
          <w:sz w:val="32"/>
          <w:szCs w:val="32"/>
          <w:lang w:val="en-US" w:eastAsia="zh-CN" w:bidi="ar-SA"/>
        </w:rPr>
        <w:t>四是全力助推生态环境建设。</w:t>
      </w:r>
      <w:r>
        <w:rPr>
          <w:rFonts w:hint="default" w:ascii="Times New Roman" w:hAnsi="Times New Roman" w:eastAsia="仿宋_GB2312" w:cs="Times New Roman"/>
          <w:b w:val="0"/>
          <w:bCs w:val="0"/>
          <w:spacing w:val="0"/>
          <w:w w:val="100"/>
          <w:kern w:val="0"/>
          <w:sz w:val="32"/>
          <w:szCs w:val="32"/>
          <w:lang w:val="en-US" w:eastAsia="zh-CN" w:bidi="ar-SA"/>
        </w:rPr>
        <w:t>落实中央水污染防治资金2250万元，重点支持渠水流域重点生态功能区集中式生活污水处理设施及配套管网建设。落实县本级财政资金4323万元，大力支持城乡环境卫生、城乡污水处理、生活垃圾处理、农村环境整治等项目，不断推动生态环境持续改善。</w:t>
      </w:r>
    </w:p>
    <w:p w14:paraId="779EAAF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val="en-US" w:eastAsia="zh-CN"/>
        </w:rPr>
      </w:pPr>
      <w:r>
        <w:rPr>
          <w:rFonts w:hint="default" w:ascii="楷体_GB2312" w:hAnsi="楷体_GB2312" w:eastAsia="楷体_GB2312" w:cs="楷体_GB2312"/>
          <w:b/>
          <w:bCs/>
          <w:color w:val="auto"/>
          <w:spacing w:val="0"/>
          <w:w w:val="100"/>
          <w:sz w:val="32"/>
          <w:szCs w:val="32"/>
          <w:highlight w:val="none"/>
          <w:lang w:val="en-US" w:eastAsia="zh-CN"/>
        </w:rPr>
        <w:t>（三）惠民利民办实事，持续增进民生福祉</w:t>
      </w:r>
    </w:p>
    <w:p w14:paraId="2DE352A9">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color w:val="auto"/>
          <w:spacing w:val="0"/>
          <w:w w:val="100"/>
          <w:kern w:val="2"/>
          <w:sz w:val="32"/>
          <w:szCs w:val="32"/>
          <w:highlight w:val="none"/>
          <w:lang w:val="en-US" w:eastAsia="zh-CN" w:bidi="ar-SA"/>
        </w:rPr>
      </w:pPr>
      <w:r>
        <w:rPr>
          <w:rFonts w:hint="default" w:ascii="Times New Roman" w:hAnsi="Times New Roman" w:eastAsia="仿宋_GB2312" w:cs="Times New Roman"/>
          <w:b/>
          <w:bCs/>
          <w:color w:val="auto"/>
          <w:spacing w:val="0"/>
          <w:w w:val="100"/>
          <w:kern w:val="2"/>
          <w:sz w:val="32"/>
          <w:szCs w:val="32"/>
          <w:highlight w:val="none"/>
          <w:lang w:val="en-US" w:eastAsia="zh-CN" w:bidi="ar-SA"/>
        </w:rPr>
        <w:t>一是精准高效落实惠农补贴政策。</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全县惠农惠民补贴发放资金20204万元，</w:t>
      </w:r>
      <w:r>
        <w:rPr>
          <w:rFonts w:hint="default" w:ascii="Times New Roman" w:hAnsi="Times New Roman" w:eastAsia="仿宋_GB2312" w:cs="Times New Roman"/>
          <w:b w:val="0"/>
          <w:bCs w:val="0"/>
          <w:color w:val="000000"/>
          <w:spacing w:val="0"/>
          <w:w w:val="100"/>
          <w:kern w:val="2"/>
          <w:sz w:val="32"/>
          <w:szCs w:val="32"/>
          <w:lang w:val="en-US" w:eastAsia="zh-CN" w:bidi="ar-SA"/>
        </w:rPr>
        <w:t>涉及75项，惠及群众约36万户人次，用于</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保障耕地地力补贴、种粮农民一次性补贴、农机购置补贴、林地生态保护补贴等一系列惠农惠民政策落实到位。</w:t>
      </w:r>
      <w:r>
        <w:rPr>
          <w:rFonts w:hint="default" w:ascii="Times New Roman" w:hAnsi="Times New Roman" w:eastAsia="仿宋_GB2312" w:cs="Times New Roman"/>
          <w:b/>
          <w:bCs/>
          <w:color w:val="auto"/>
          <w:spacing w:val="0"/>
          <w:w w:val="100"/>
          <w:kern w:val="2"/>
          <w:sz w:val="32"/>
          <w:szCs w:val="32"/>
          <w:highlight w:val="none"/>
          <w:lang w:val="en-US" w:eastAsia="zh-CN" w:bidi="ar-SA"/>
        </w:rPr>
        <w:t>二是大力支持教育强县战略。</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在地方一般公共预算收入增幅放缓的情况下，全县教育事业投入51550万元，落实财政一般公共预算教育支出逐年</w:t>
      </w:r>
      <w:r>
        <w:rPr>
          <w:rFonts w:hint="eastAsia" w:ascii="Times New Roman" w:hAnsi="Times New Roman" w:eastAsia="仿宋_GB2312" w:cs="Times New Roman"/>
          <w:b w:val="0"/>
          <w:bC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两个只增不减</w:t>
      </w:r>
      <w:r>
        <w:rPr>
          <w:rFonts w:hint="eastAsia" w:ascii="Times New Roman" w:hAnsi="Times New Roman" w:eastAsia="仿宋_GB2312" w:cs="Times New Roman"/>
          <w:b w:val="0"/>
          <w:bCs w:val="0"/>
          <w:color w:val="auto"/>
          <w:spacing w:val="0"/>
          <w:w w:val="100"/>
          <w:kern w:val="2"/>
          <w:sz w:val="32"/>
          <w:szCs w:val="32"/>
          <w:highlight w:val="none"/>
          <w:lang w:val="en-US" w:eastAsia="zh-CN" w:bidi="ar-SA"/>
        </w:rPr>
        <w:t>”</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的原则，主要用于支持城乡义务教育补助、义务教育薄弱环节改善与能力提升、改善普通高中办学条件、教育质量提升项目等。</w:t>
      </w:r>
      <w:r>
        <w:rPr>
          <w:rFonts w:hint="default" w:ascii="Times New Roman" w:hAnsi="Times New Roman" w:eastAsia="仿宋_GB2312" w:cs="Times New Roman"/>
          <w:b/>
          <w:bCs/>
          <w:color w:val="auto"/>
          <w:spacing w:val="0"/>
          <w:w w:val="100"/>
          <w:kern w:val="2"/>
          <w:sz w:val="32"/>
          <w:szCs w:val="32"/>
          <w:highlight w:val="none"/>
          <w:lang w:val="en-US" w:eastAsia="zh-CN" w:bidi="ar-SA"/>
        </w:rPr>
        <w:t>三是扎实做好社会保障和就业工作。</w:t>
      </w:r>
      <w:r>
        <w:rPr>
          <w:rFonts w:hint="default" w:ascii="Times New Roman" w:hAnsi="Times New Roman" w:eastAsia="仿宋_GB2312" w:cs="Times New Roman"/>
          <w:b w:val="0"/>
          <w:bCs w:val="0"/>
          <w:color w:val="auto"/>
          <w:spacing w:val="0"/>
          <w:w w:val="100"/>
          <w:kern w:val="2"/>
          <w:sz w:val="32"/>
          <w:szCs w:val="32"/>
          <w:highlight w:val="none"/>
          <w:lang w:val="en-US" w:eastAsia="zh-CN" w:bidi="ar-SA"/>
        </w:rPr>
        <w:t>社会保障和就业投入37352万元，按时足额发放困难群众基本生活救助、城乡居民基础养老金、稳岗就业等社会保障资金，稳步提高社会保障待遇水平，不断提升群众满意度。</w:t>
      </w:r>
      <w:r>
        <w:rPr>
          <w:rFonts w:hint="default" w:ascii="Times New Roman" w:hAnsi="Times New Roman" w:eastAsia="仿宋_GB2312" w:cs="Times New Roman"/>
          <w:b/>
          <w:bCs/>
          <w:color w:val="auto"/>
          <w:spacing w:val="0"/>
          <w:w w:val="100"/>
          <w:kern w:val="2"/>
          <w:sz w:val="32"/>
          <w:szCs w:val="32"/>
          <w:highlight w:val="none"/>
          <w:lang w:val="en-US" w:eastAsia="zh-CN" w:bidi="ar-SA"/>
        </w:rPr>
        <w:t>四是提升卫生健康服务能力。</w:t>
      </w:r>
      <w:r>
        <w:rPr>
          <w:rFonts w:hint="default" w:ascii="Times New Roman" w:hAnsi="Times New Roman" w:eastAsia="仿宋_GB2312" w:cs="Times New Roman"/>
          <w:b w:val="0"/>
          <w:bCs w:val="0"/>
          <w:spacing w:val="0"/>
          <w:w w:val="100"/>
          <w:kern w:val="0"/>
          <w:sz w:val="32"/>
          <w:szCs w:val="32"/>
          <w:lang w:val="en-US" w:eastAsia="zh-CN" w:bidi="ar-SA"/>
        </w:rPr>
        <w:t>落实卫生健康支出18560万元，有效支持基本公共卫生服务、医疗卫生项目建设，及时补齐医疗卫生领域短板，提升了重大突发公共卫生事件的应急处置和救治能力。</w:t>
      </w:r>
    </w:p>
    <w:p w14:paraId="5530E130">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val="en-US" w:eastAsia="zh-CN"/>
        </w:rPr>
      </w:pPr>
      <w:r>
        <w:rPr>
          <w:rFonts w:hint="default" w:ascii="楷体_GB2312" w:hAnsi="楷体_GB2312" w:eastAsia="楷体_GB2312" w:cs="楷体_GB2312"/>
          <w:b/>
          <w:bCs/>
          <w:color w:val="auto"/>
          <w:spacing w:val="0"/>
          <w:w w:val="100"/>
          <w:sz w:val="32"/>
          <w:szCs w:val="32"/>
          <w:highlight w:val="none"/>
          <w:lang w:val="en-US" w:eastAsia="zh-CN"/>
        </w:rPr>
        <w:t>（四）坚定不移抓落实，提升财政治理能力</w:t>
      </w:r>
    </w:p>
    <w:p w14:paraId="2A3DE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pacing w:val="0"/>
          <w:w w:val="100"/>
          <w:kern w:val="0"/>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一是全面深化推进零基预算改革。</w:t>
      </w:r>
      <w:r>
        <w:rPr>
          <w:rFonts w:hint="default" w:ascii="Times New Roman" w:hAnsi="Times New Roman" w:eastAsia="仿宋_GB2312" w:cs="Times New Roman"/>
          <w:spacing w:val="0"/>
          <w:w w:val="100"/>
          <w:sz w:val="32"/>
          <w:szCs w:val="32"/>
          <w:lang w:val="en-US" w:eastAsia="zh-CN"/>
        </w:rPr>
        <w:t>打破基数概念和支出固化格局，统一预算分配权，</w:t>
      </w:r>
      <w:r>
        <w:rPr>
          <w:rFonts w:hint="default" w:ascii="Times New Roman" w:hAnsi="Times New Roman" w:eastAsia="仿宋_GB2312" w:cs="Times New Roman"/>
          <w:spacing w:val="0"/>
          <w:w w:val="100"/>
          <w:sz w:val="32"/>
          <w:lang w:val="en-US" w:eastAsia="zh-CN"/>
        </w:rPr>
        <w:t>坚持</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以零为基</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编制预算、</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以事定钱</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安排预算、</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以效促用</w:t>
      </w:r>
      <w:r>
        <w:rPr>
          <w:rFonts w:hint="eastAsia" w:ascii="Times New Roman" w:hAnsi="Times New Roman" w:eastAsia="仿宋_GB2312" w:cs="Times New Roman"/>
          <w:spacing w:val="0"/>
          <w:w w:val="100"/>
          <w:sz w:val="32"/>
          <w:lang w:val="en-US" w:eastAsia="zh-CN"/>
        </w:rPr>
        <w:t>”</w:t>
      </w:r>
      <w:r>
        <w:rPr>
          <w:rFonts w:hint="default" w:ascii="Times New Roman" w:hAnsi="Times New Roman" w:eastAsia="仿宋_GB2312" w:cs="Times New Roman"/>
          <w:spacing w:val="0"/>
          <w:w w:val="100"/>
          <w:sz w:val="32"/>
          <w:lang w:val="en-US" w:eastAsia="zh-CN"/>
        </w:rPr>
        <w:t>执行预算，</w:t>
      </w:r>
      <w:r>
        <w:rPr>
          <w:rFonts w:hint="default" w:ascii="Times New Roman" w:hAnsi="Times New Roman" w:eastAsia="仿宋_GB2312" w:cs="Times New Roman"/>
          <w:spacing w:val="0"/>
          <w:w w:val="100"/>
          <w:sz w:val="32"/>
          <w:szCs w:val="32"/>
          <w:lang w:val="en-US" w:eastAsia="zh-CN"/>
        </w:rPr>
        <w:t>大力压减非刚性、非重点、非急需支出，取消低效无效支出。</w:t>
      </w:r>
      <w:r>
        <w:rPr>
          <w:rFonts w:hint="default" w:ascii="Times New Roman" w:hAnsi="Times New Roman" w:eastAsia="仿宋_GB2312" w:cs="Times New Roman"/>
          <w:b w:val="0"/>
          <w:bCs w:val="0"/>
          <w:color w:val="auto"/>
          <w:spacing w:val="0"/>
          <w:w w:val="100"/>
          <w:sz w:val="32"/>
          <w:szCs w:val="32"/>
          <w:highlight w:val="none"/>
          <w:lang w:val="en-US" w:eastAsia="zh-CN"/>
        </w:rPr>
        <w:t>压减部门项目支出4479万元，减幅18%；</w:t>
      </w:r>
      <w:r>
        <w:rPr>
          <w:rFonts w:hint="default" w:ascii="Times New Roman" w:hAnsi="Times New Roman" w:eastAsia="仿宋_GB2312" w:cs="Times New Roman"/>
          <w:spacing w:val="0"/>
          <w:w w:val="100"/>
          <w:sz w:val="32"/>
          <w:szCs w:val="32"/>
          <w:lang w:val="en-US" w:eastAsia="zh-CN"/>
        </w:rPr>
        <w:t>清理退出现有政策2项，涉及资金440万元；</w:t>
      </w:r>
      <w:r>
        <w:rPr>
          <w:rFonts w:hint="default" w:ascii="Times New Roman" w:hAnsi="Times New Roman" w:eastAsia="仿宋_GB2312" w:cs="Times New Roman"/>
          <w:spacing w:val="0"/>
          <w:w w:val="100"/>
          <w:sz w:val="32"/>
          <w:lang w:val="en-US" w:eastAsia="zh-CN"/>
        </w:rPr>
        <w:t>清理出财政专户9个，清理社保资金子账户26个，清理出单位账户14个，清理账户余额7908万元。</w:t>
      </w:r>
      <w:r>
        <w:rPr>
          <w:rFonts w:hint="default" w:ascii="Times New Roman" w:hAnsi="Times New Roman" w:eastAsia="仿宋_GB2312" w:cs="Times New Roman"/>
          <w:b/>
          <w:bCs/>
          <w:spacing w:val="0"/>
          <w:w w:val="100"/>
          <w:sz w:val="32"/>
          <w:lang w:val="en-US" w:eastAsia="zh-CN"/>
        </w:rPr>
        <w:t>二是规范政府投资项目管理。</w:t>
      </w:r>
      <w:r>
        <w:rPr>
          <w:rFonts w:hint="default" w:ascii="Times New Roman" w:hAnsi="Times New Roman" w:eastAsia="仿宋_GB2312" w:cs="Times New Roman"/>
          <w:b w:val="0"/>
          <w:bCs w:val="0"/>
          <w:spacing w:val="0"/>
          <w:w w:val="100"/>
          <w:kern w:val="0"/>
          <w:sz w:val="32"/>
          <w:szCs w:val="32"/>
          <w:lang w:val="en-US" w:eastAsia="zh-CN" w:bidi="ar-SA"/>
        </w:rPr>
        <w:t>加强政府投资项目的监管力度，坚持实事求是、节约资金的原则，全年预计完成控制价评审项目60个，送审金额13.59亿元，审定金额11.6亿元，审减金额1.99亿元，审减率14.64%</w:t>
      </w:r>
      <w:r>
        <w:rPr>
          <w:rFonts w:hint="default" w:ascii="Times New Roman" w:hAnsi="Times New Roman" w:eastAsia="仿宋_GB2312" w:cs="Times New Roman"/>
          <w:i w:val="0"/>
          <w:iCs w:val="0"/>
          <w:caps w:val="0"/>
          <w:color w:val="000000"/>
          <w:spacing w:val="0"/>
          <w:w w:val="100"/>
          <w:sz w:val="32"/>
          <w:szCs w:val="32"/>
          <w:shd w:val="clear" w:fill="FFFFFF"/>
        </w:rPr>
        <w:t>。</w:t>
      </w:r>
      <w:r>
        <w:rPr>
          <w:rFonts w:hint="default" w:ascii="Times New Roman" w:hAnsi="Times New Roman" w:eastAsia="仿宋_GB2312" w:cs="Times New Roman"/>
          <w:b/>
          <w:bCs/>
          <w:i w:val="0"/>
          <w:iCs w:val="0"/>
          <w:caps w:val="0"/>
          <w:color w:val="000000"/>
          <w:spacing w:val="0"/>
          <w:w w:val="100"/>
          <w:sz w:val="32"/>
          <w:szCs w:val="32"/>
          <w:shd w:val="clear" w:fill="FFFFFF"/>
          <w:lang w:eastAsia="zh-CN"/>
        </w:rPr>
        <w:t>三是精细把控政府采购节点。</w:t>
      </w:r>
      <w:r>
        <w:rPr>
          <w:rFonts w:hint="default" w:ascii="Times New Roman" w:hAnsi="Times New Roman" w:eastAsia="仿宋_GB2312" w:cs="Times New Roman"/>
          <w:b w:val="0"/>
          <w:bCs w:val="0"/>
          <w:spacing w:val="0"/>
          <w:w w:val="100"/>
          <w:kern w:val="0"/>
          <w:sz w:val="32"/>
          <w:szCs w:val="32"/>
          <w:lang w:val="en-US" w:eastAsia="zh-CN" w:bidi="ar-SA"/>
        </w:rPr>
        <w:t>持续推进政府采购领域改革，促进政府采购项目切实做到公开、公平、公正，提高政府采购工作效率。政府采购监管服务平台备案政府采购项目101个，完成采购项目86个，完成采购金额3.05亿元，节约财政资金0.53亿元。</w:t>
      </w:r>
      <w:r>
        <w:rPr>
          <w:rFonts w:hint="default" w:ascii="Times New Roman" w:hAnsi="Times New Roman" w:eastAsia="仿宋_GB2312" w:cs="Times New Roman"/>
          <w:b/>
          <w:bCs/>
          <w:spacing w:val="0"/>
          <w:w w:val="100"/>
          <w:kern w:val="0"/>
          <w:sz w:val="32"/>
          <w:szCs w:val="32"/>
          <w:lang w:val="en-US" w:eastAsia="zh-CN" w:bidi="ar-SA"/>
        </w:rPr>
        <w:t>四是有效防范债务风险。</w:t>
      </w:r>
      <w:r>
        <w:rPr>
          <w:rFonts w:hint="default" w:ascii="Times New Roman" w:hAnsi="Times New Roman" w:eastAsia="仿宋_GB2312" w:cs="Times New Roman"/>
          <w:b w:val="0"/>
          <w:bCs w:val="0"/>
          <w:spacing w:val="0"/>
          <w:w w:val="100"/>
          <w:kern w:val="0"/>
          <w:sz w:val="32"/>
          <w:szCs w:val="32"/>
          <w:lang w:val="en-US" w:eastAsia="zh-CN" w:bidi="ar-SA"/>
        </w:rPr>
        <w:t>坚持化存量、遏增量，通过制定一揽子化债政策，扎实推进地方政府债务风险化解，牢牢守住财政运行安全</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底线</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，多渠道筹集上级资金12900万元和县本级财政资金5500万元积极化解拖欠企业账款，按时足额偿还法定债务到期本息51836万元，未发生逾期。</w:t>
      </w:r>
      <w:r>
        <w:rPr>
          <w:rFonts w:hint="default" w:ascii="Times New Roman" w:hAnsi="Times New Roman" w:eastAsia="仿宋_GB2312" w:cs="Times New Roman"/>
          <w:b/>
          <w:bCs/>
          <w:spacing w:val="0"/>
          <w:w w:val="100"/>
          <w:kern w:val="0"/>
          <w:sz w:val="32"/>
          <w:szCs w:val="32"/>
          <w:lang w:val="en-US" w:eastAsia="zh-CN" w:bidi="ar-SA"/>
        </w:rPr>
        <w:t>五是持续强化财政监督工作。</w:t>
      </w:r>
      <w:r>
        <w:rPr>
          <w:rFonts w:hint="default" w:ascii="Times New Roman" w:hAnsi="Times New Roman" w:eastAsia="仿宋_GB2312" w:cs="Times New Roman"/>
          <w:b w:val="0"/>
          <w:bCs w:val="0"/>
          <w:spacing w:val="0"/>
          <w:w w:val="100"/>
          <w:kern w:val="0"/>
          <w:sz w:val="32"/>
          <w:szCs w:val="32"/>
          <w:lang w:val="en-US" w:eastAsia="zh-CN" w:bidi="ar-SA"/>
        </w:rPr>
        <w:t>以</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规范、精细、透明、高效</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为目标，聚焦财政基础管理薄弱环节，对全县重点行政事业单位开展</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强基固本</w:t>
      </w:r>
      <w:r>
        <w:rPr>
          <w:rFonts w:hint="eastAsia" w:ascii="Times New Roman" w:hAnsi="Times New Roman" w:eastAsia="仿宋_GB2312" w:cs="Times New Roman"/>
          <w:b w:val="0"/>
          <w:bCs w:val="0"/>
          <w:spacing w:val="0"/>
          <w:w w:val="100"/>
          <w:kern w:val="0"/>
          <w:sz w:val="32"/>
          <w:szCs w:val="32"/>
          <w:lang w:val="en-US" w:eastAsia="zh-CN" w:bidi="ar-SA"/>
        </w:rPr>
        <w:t>”</w:t>
      </w:r>
      <w:r>
        <w:rPr>
          <w:rFonts w:hint="default" w:ascii="Times New Roman" w:hAnsi="Times New Roman" w:eastAsia="仿宋_GB2312" w:cs="Times New Roman"/>
          <w:b w:val="0"/>
          <w:bCs w:val="0"/>
          <w:spacing w:val="0"/>
          <w:w w:val="100"/>
          <w:kern w:val="0"/>
          <w:sz w:val="32"/>
          <w:szCs w:val="32"/>
          <w:lang w:val="en-US" w:eastAsia="zh-CN" w:bidi="ar-SA"/>
        </w:rPr>
        <w:t>专项检查，配合省、市财政部门开展交叉复查，强化整改落实，防范财政风险。落实省委巡视交办的问题，逐一销号处理，督促相关单位健全完善财务管理制度、单位内控制度、强化会计基础，推进单位制度建设和财务管理法律法规落实工作。</w:t>
      </w:r>
    </w:p>
    <w:p w14:paraId="500CCF9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一年以来，全县财政改革发展工作取得的成绩，是坚决贯彻落实县委、县政府决策的结果，是县人大、县政协依法监督、有力监督的结果，是全县各部门以及全县人民团结奋斗的结果。但也清醒地认识到，财政运行中存在一些困难和问题：财政增收面临较大的压力，财政收支矛盾仍然突出，民生保障等刚性支出不断加大，政府债务化解压力大，预算平衡艰难，财经纪律还需不断强化等等。对此，我们将高度重视，认真研究，采取有力措施加以解决。</w:t>
      </w:r>
    </w:p>
    <w:p w14:paraId="7B654388">
      <w:pPr>
        <w:pStyle w:val="7"/>
        <w:keepNext w:val="0"/>
        <w:keepLines w:val="0"/>
        <w:pageBreakBefore w:val="0"/>
        <w:widowControl w:val="0"/>
        <w:kinsoku/>
        <w:wordWrap/>
        <w:overflowPunct/>
        <w:topLinePunct w:val="0"/>
        <w:autoSpaceDE/>
        <w:autoSpaceDN/>
        <w:bidi w:val="0"/>
        <w:adjustRightInd/>
        <w:snapToGrid/>
        <w:spacing w:after="0" w:line="620" w:lineRule="exact"/>
        <w:ind w:left="0" w:leftChars="0" w:firstLine="640"/>
        <w:textAlignment w:val="auto"/>
        <w:rPr>
          <w:rFonts w:hint="default" w:ascii="Times New Roman" w:hAnsi="Times New Roman" w:eastAsia="黑体" w:cs="Times New Roman"/>
          <w:color w:val="auto"/>
          <w:spacing w:val="0"/>
          <w:w w:val="100"/>
          <w:sz w:val="32"/>
          <w:szCs w:val="32"/>
          <w:lang w:eastAsia="zh-CN"/>
        </w:rPr>
      </w:pPr>
      <w:r>
        <w:rPr>
          <w:rFonts w:hint="default" w:ascii="Times New Roman" w:hAnsi="Times New Roman" w:eastAsia="黑体" w:cs="Times New Roman"/>
          <w:color w:val="auto"/>
          <w:spacing w:val="0"/>
          <w:w w:val="100"/>
          <w:sz w:val="32"/>
          <w:szCs w:val="32"/>
        </w:rPr>
        <w:t>三、202</w:t>
      </w:r>
      <w:r>
        <w:rPr>
          <w:rFonts w:hint="default" w:ascii="Times New Roman" w:hAnsi="Times New Roman" w:eastAsia="黑体" w:cs="Times New Roman"/>
          <w:color w:val="auto"/>
          <w:spacing w:val="0"/>
          <w:w w:val="100"/>
          <w:sz w:val="32"/>
          <w:szCs w:val="32"/>
          <w:lang w:val="en-US" w:eastAsia="zh-CN"/>
        </w:rPr>
        <w:t>6</w:t>
      </w:r>
      <w:r>
        <w:rPr>
          <w:rFonts w:hint="default" w:ascii="Times New Roman" w:hAnsi="Times New Roman" w:eastAsia="黑体" w:cs="Times New Roman"/>
          <w:color w:val="auto"/>
          <w:spacing w:val="0"/>
          <w:w w:val="100"/>
          <w:sz w:val="32"/>
          <w:szCs w:val="32"/>
        </w:rPr>
        <w:t>年财政预算</w:t>
      </w:r>
      <w:r>
        <w:rPr>
          <w:rFonts w:hint="default" w:ascii="Times New Roman" w:hAnsi="Times New Roman" w:eastAsia="黑体" w:cs="Times New Roman"/>
          <w:color w:val="auto"/>
          <w:spacing w:val="0"/>
          <w:w w:val="100"/>
          <w:sz w:val="32"/>
          <w:szCs w:val="32"/>
          <w:lang w:eastAsia="zh-CN"/>
        </w:rPr>
        <w:t>（草案）</w:t>
      </w:r>
    </w:p>
    <w:p w14:paraId="3592A490">
      <w:pPr>
        <w:keepNext w:val="0"/>
        <w:keepLines w:val="0"/>
        <w:pageBreakBefore w:val="0"/>
        <w:widowControl w:val="0"/>
        <w:shd w:val="clear" w:color="auto" w:fill="FFFFFF"/>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lang w:val="en-US" w:eastAsia="zh-CN"/>
        </w:rPr>
        <w:t>2026年是实施</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十五五</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规划的开局之年，财政工作将始终坚持以习近平新时代中国特色社会主义思想为指导，全面深入贯彻党的二十大和二十届历次全会精神，坚持稳中求进的工作总基调，全面贯彻新的发展理念，全力推进零基预算管理改革，坚持党政机关过紧日子，大力优化支出结构，兜牢基层</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三保</w:t>
      </w:r>
      <w:r>
        <w:rPr>
          <w:rFonts w:hint="eastAsia" w:ascii="Times New Roman" w:hAnsi="Times New Roman" w:eastAsia="仿宋_GB2312" w:cs="Times New Roman"/>
          <w:color w:val="auto"/>
          <w:spacing w:val="0"/>
          <w:w w:val="100"/>
          <w:sz w:val="32"/>
          <w:szCs w:val="32"/>
          <w:lang w:val="en-US" w:eastAsia="zh-CN"/>
        </w:rPr>
        <w:t>”</w:t>
      </w:r>
      <w:r>
        <w:rPr>
          <w:rFonts w:hint="default" w:ascii="Times New Roman" w:hAnsi="Times New Roman" w:eastAsia="仿宋_GB2312" w:cs="Times New Roman"/>
          <w:color w:val="auto"/>
          <w:spacing w:val="0"/>
          <w:w w:val="100"/>
          <w:sz w:val="32"/>
          <w:szCs w:val="32"/>
          <w:lang w:val="en-US" w:eastAsia="zh-CN"/>
        </w:rPr>
        <w:t>底线，加强政府债务管理，提高财政资金绩效，确保财政平稳可持续运行。</w:t>
      </w:r>
    </w:p>
    <w:p w14:paraId="688F53A3">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3" w:firstLineChars="200"/>
        <w:textAlignment w:val="auto"/>
        <w:rPr>
          <w:rFonts w:hint="default" w:ascii="楷体_GB2312" w:hAnsi="楷体_GB2312" w:eastAsia="楷体_GB2312" w:cs="楷体_GB2312"/>
          <w:b/>
          <w:bCs/>
          <w:color w:val="auto"/>
          <w:spacing w:val="0"/>
          <w:w w:val="100"/>
          <w:sz w:val="32"/>
          <w:szCs w:val="32"/>
          <w:highlight w:val="none"/>
          <w:lang w:eastAsia="zh-CN"/>
        </w:rPr>
      </w:pPr>
      <w:r>
        <w:rPr>
          <w:rFonts w:hint="default" w:ascii="楷体_GB2312" w:hAnsi="楷体_GB2312" w:eastAsia="楷体_GB2312" w:cs="楷体_GB2312"/>
          <w:b/>
          <w:bCs/>
          <w:color w:val="auto"/>
          <w:spacing w:val="0"/>
          <w:w w:val="100"/>
          <w:sz w:val="32"/>
          <w:szCs w:val="32"/>
          <w:highlight w:val="none"/>
          <w:lang w:eastAsia="zh-CN"/>
        </w:rPr>
        <w:t>（一）一般公共预算收支情况</w:t>
      </w:r>
    </w:p>
    <w:p w14:paraId="1254445C">
      <w:pPr>
        <w:keepNext w:val="0"/>
        <w:keepLines w:val="0"/>
        <w:pageBreakBefore w:val="0"/>
        <w:widowControl w:val="0"/>
        <w:kinsoku/>
        <w:wordWrap/>
        <w:overflowPunct/>
        <w:topLinePunct w:val="0"/>
        <w:autoSpaceDE/>
        <w:autoSpaceDN/>
        <w:bidi w:val="0"/>
        <w:adjustRightInd/>
        <w:snapToGrid/>
        <w:spacing w:line="620" w:lineRule="exact"/>
        <w:ind w:left="0" w:leftChars="0" w:firstLine="630" w:firstLineChars="196"/>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b/>
          <w:bCs/>
          <w:color w:val="auto"/>
          <w:spacing w:val="0"/>
          <w:w w:val="100"/>
          <w:sz w:val="32"/>
          <w:szCs w:val="32"/>
          <w:highlight w:val="none"/>
        </w:rPr>
        <w:t>1</w:t>
      </w:r>
      <w:r>
        <w:rPr>
          <w:rFonts w:hint="eastAsia" w:ascii="Times New Roman" w:hAnsi="Times New Roman" w:eastAsia="仿宋_GB2312" w:cs="Times New Roman"/>
          <w:b/>
          <w:bCs/>
          <w:color w:val="auto"/>
          <w:spacing w:val="0"/>
          <w:w w:val="100"/>
          <w:sz w:val="32"/>
          <w:szCs w:val="32"/>
          <w:highlight w:val="none"/>
          <w:lang w:eastAsia="zh-CN"/>
        </w:rPr>
        <w:t>．</w:t>
      </w:r>
      <w:r>
        <w:rPr>
          <w:rFonts w:hint="default" w:ascii="Times New Roman" w:hAnsi="Times New Roman" w:eastAsia="仿宋_GB2312" w:cs="Times New Roman"/>
          <w:b/>
          <w:bCs/>
          <w:color w:val="auto"/>
          <w:spacing w:val="0"/>
          <w:w w:val="100"/>
          <w:sz w:val="32"/>
          <w:szCs w:val="32"/>
          <w:highlight w:val="none"/>
        </w:rPr>
        <w:t>收入情况。</w:t>
      </w:r>
      <w:r>
        <w:rPr>
          <w:rFonts w:hint="default" w:ascii="Times New Roman" w:hAnsi="Times New Roman" w:eastAsia="仿宋_GB2312" w:cs="Times New Roman"/>
          <w:color w:val="auto"/>
          <w:spacing w:val="0"/>
          <w:w w:val="100"/>
          <w:sz w:val="32"/>
          <w:szCs w:val="32"/>
          <w:highlight w:val="none"/>
        </w:rPr>
        <w:t>202</w:t>
      </w:r>
      <w:r>
        <w:rPr>
          <w:rFonts w:hint="default" w:ascii="Times New Roman" w:hAnsi="Times New Roman" w:eastAsia="仿宋_GB2312" w:cs="Times New Roman"/>
          <w:color w:val="auto"/>
          <w:spacing w:val="0"/>
          <w:w w:val="100"/>
          <w:sz w:val="32"/>
          <w:szCs w:val="32"/>
          <w:highlight w:val="none"/>
          <w:lang w:val="en-US" w:eastAsia="zh-CN"/>
        </w:rPr>
        <w:t>6</w:t>
      </w:r>
      <w:r>
        <w:rPr>
          <w:rFonts w:hint="default" w:ascii="Times New Roman" w:hAnsi="Times New Roman" w:eastAsia="仿宋_GB2312" w:cs="Times New Roman"/>
          <w:color w:val="auto"/>
          <w:spacing w:val="0"/>
          <w:w w:val="100"/>
          <w:sz w:val="32"/>
          <w:szCs w:val="32"/>
          <w:highlight w:val="none"/>
        </w:rPr>
        <w:t>年全县一般公共预算</w:t>
      </w:r>
      <w:r>
        <w:rPr>
          <w:rFonts w:hint="default" w:ascii="Times New Roman" w:hAnsi="Times New Roman" w:eastAsia="仿宋_GB2312" w:cs="Times New Roman"/>
          <w:color w:val="auto"/>
          <w:spacing w:val="0"/>
          <w:w w:val="100"/>
          <w:sz w:val="32"/>
          <w:szCs w:val="32"/>
          <w:highlight w:val="none"/>
          <w:lang w:eastAsia="zh-CN"/>
        </w:rPr>
        <w:t>总</w:t>
      </w:r>
      <w:r>
        <w:rPr>
          <w:rFonts w:hint="default" w:ascii="Times New Roman" w:hAnsi="Times New Roman" w:eastAsia="仿宋_GB2312" w:cs="Times New Roman"/>
          <w:color w:val="auto"/>
          <w:spacing w:val="0"/>
          <w:w w:val="100"/>
          <w:sz w:val="32"/>
          <w:szCs w:val="32"/>
          <w:highlight w:val="none"/>
        </w:rPr>
        <w:t>收入预计完成</w:t>
      </w:r>
      <w:r>
        <w:rPr>
          <w:rFonts w:hint="default" w:ascii="Times New Roman" w:hAnsi="Times New Roman" w:eastAsia="仿宋_GB2312" w:cs="Times New Roman"/>
          <w:color w:val="auto"/>
          <w:spacing w:val="0"/>
          <w:w w:val="100"/>
          <w:sz w:val="32"/>
          <w:szCs w:val="32"/>
          <w:highlight w:val="none"/>
          <w:lang w:val="en-US" w:eastAsia="zh-CN"/>
        </w:rPr>
        <w:t>292520</w:t>
      </w:r>
      <w:r>
        <w:rPr>
          <w:rFonts w:hint="default" w:ascii="Times New Roman" w:hAnsi="Times New Roman" w:eastAsia="仿宋_GB2312" w:cs="Times New Roman"/>
          <w:color w:val="auto"/>
          <w:spacing w:val="0"/>
          <w:w w:val="100"/>
          <w:sz w:val="32"/>
          <w:szCs w:val="32"/>
          <w:highlight w:val="none"/>
        </w:rPr>
        <w:t>万元，较上年</w:t>
      </w:r>
      <w:r>
        <w:rPr>
          <w:rFonts w:hint="default" w:ascii="Times New Roman" w:hAnsi="Times New Roman" w:eastAsia="仿宋_GB2312" w:cs="Times New Roman"/>
          <w:color w:val="auto"/>
          <w:spacing w:val="0"/>
          <w:w w:val="100"/>
          <w:sz w:val="32"/>
          <w:szCs w:val="32"/>
          <w:highlight w:val="none"/>
          <w:lang w:eastAsia="zh-CN"/>
        </w:rPr>
        <w:t>年初</w:t>
      </w:r>
      <w:r>
        <w:rPr>
          <w:rFonts w:hint="default" w:ascii="Times New Roman" w:hAnsi="Times New Roman" w:eastAsia="仿宋_GB2312" w:cs="Times New Roman"/>
          <w:color w:val="auto"/>
          <w:spacing w:val="0"/>
          <w:w w:val="100"/>
          <w:sz w:val="32"/>
          <w:szCs w:val="32"/>
          <w:highlight w:val="none"/>
        </w:rPr>
        <w:t>预算</w:t>
      </w:r>
      <w:r>
        <w:rPr>
          <w:rFonts w:hint="default" w:ascii="Times New Roman" w:hAnsi="Times New Roman" w:eastAsia="仿宋_GB2312" w:cs="Times New Roman"/>
          <w:color w:val="auto"/>
          <w:spacing w:val="0"/>
          <w:w w:val="100"/>
          <w:sz w:val="32"/>
          <w:szCs w:val="32"/>
          <w:highlight w:val="none"/>
          <w:lang w:eastAsia="zh-CN"/>
        </w:rPr>
        <w:t>增加</w:t>
      </w:r>
      <w:r>
        <w:rPr>
          <w:rFonts w:hint="default" w:ascii="Times New Roman" w:hAnsi="Times New Roman" w:eastAsia="仿宋_GB2312" w:cs="Times New Roman"/>
          <w:color w:val="auto"/>
          <w:spacing w:val="0"/>
          <w:w w:val="100"/>
          <w:sz w:val="32"/>
          <w:szCs w:val="32"/>
          <w:highlight w:val="none"/>
          <w:lang w:val="en-US" w:eastAsia="zh-CN"/>
        </w:rPr>
        <w:t>4092</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增长</w:t>
      </w:r>
      <w:r>
        <w:rPr>
          <w:rFonts w:hint="default" w:ascii="Times New Roman" w:hAnsi="Times New Roman" w:eastAsia="仿宋_GB2312" w:cs="Times New Roman"/>
          <w:color w:val="auto"/>
          <w:spacing w:val="0"/>
          <w:w w:val="100"/>
          <w:sz w:val="32"/>
          <w:szCs w:val="32"/>
          <w:highlight w:val="none"/>
          <w:lang w:val="en-US" w:eastAsia="zh-CN"/>
        </w:rPr>
        <w:t>0.14</w:t>
      </w:r>
      <w:r>
        <w:rPr>
          <w:rFonts w:hint="default" w:ascii="Times New Roman" w:hAnsi="Times New Roman" w:eastAsia="仿宋_GB2312" w:cs="Times New Roman"/>
          <w:color w:val="auto"/>
          <w:spacing w:val="0"/>
          <w:w w:val="100"/>
          <w:sz w:val="32"/>
          <w:szCs w:val="32"/>
          <w:highlight w:val="none"/>
        </w:rPr>
        <w:t>%。</w:t>
      </w:r>
    </w:p>
    <w:p w14:paraId="49C506A9">
      <w:pPr>
        <w:pStyle w:val="7"/>
        <w:keepNext w:val="0"/>
        <w:keepLines w:val="0"/>
        <w:pageBreakBefore w:val="0"/>
        <w:widowControl w:val="0"/>
        <w:kinsoku/>
        <w:wordWrap/>
        <w:overflowPunct/>
        <w:topLinePunct w:val="0"/>
        <w:autoSpaceDE/>
        <w:autoSpaceDN/>
        <w:bidi w:val="0"/>
        <w:adjustRightInd/>
        <w:snapToGrid/>
        <w:spacing w:after="0" w:line="620" w:lineRule="exact"/>
        <w:ind w:left="0" w:leftChars="0" w:firstLine="640"/>
        <w:textAlignment w:val="auto"/>
        <w:rPr>
          <w:rFonts w:hint="default" w:ascii="Times New Roman" w:hAnsi="Times New Roman" w:eastAsia="仿宋_GB2312" w:cs="Times New Roman"/>
          <w:color w:val="auto"/>
          <w:spacing w:val="0"/>
          <w:w w:val="100"/>
          <w:sz w:val="32"/>
          <w:szCs w:val="32"/>
          <w:highlight w:val="none"/>
          <w:lang w:eastAsia="zh-CN"/>
        </w:rPr>
      </w:pPr>
      <w:r>
        <w:rPr>
          <w:rFonts w:hint="default" w:ascii="Times New Roman" w:hAnsi="Times New Roman" w:eastAsia="仿宋_GB2312" w:cs="Times New Roman"/>
          <w:color w:val="auto"/>
          <w:spacing w:val="0"/>
          <w:w w:val="100"/>
          <w:sz w:val="32"/>
          <w:szCs w:val="32"/>
          <w:highlight w:val="none"/>
        </w:rPr>
        <w:t>（1）地方一般公共预算收入预计完成</w:t>
      </w:r>
      <w:r>
        <w:rPr>
          <w:rFonts w:hint="default" w:ascii="Times New Roman" w:hAnsi="Times New Roman" w:eastAsia="仿宋_GB2312" w:cs="Times New Roman"/>
          <w:color w:val="auto"/>
          <w:spacing w:val="0"/>
          <w:w w:val="100"/>
          <w:sz w:val="32"/>
          <w:szCs w:val="32"/>
          <w:highlight w:val="none"/>
          <w:lang w:val="en-US" w:eastAsia="zh-CN"/>
        </w:rPr>
        <w:t>42932</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较</w:t>
      </w:r>
      <w:r>
        <w:rPr>
          <w:rFonts w:hint="default" w:ascii="Times New Roman" w:hAnsi="Times New Roman" w:eastAsia="仿宋_GB2312" w:cs="Times New Roman"/>
          <w:color w:val="auto"/>
          <w:spacing w:val="0"/>
          <w:w w:val="100"/>
          <w:sz w:val="32"/>
          <w:szCs w:val="32"/>
          <w:highlight w:val="none"/>
        </w:rPr>
        <w:t>上年</w:t>
      </w:r>
      <w:r>
        <w:rPr>
          <w:rFonts w:hint="default" w:ascii="Times New Roman" w:hAnsi="Times New Roman" w:eastAsia="仿宋_GB2312" w:cs="Times New Roman"/>
          <w:color w:val="auto"/>
          <w:spacing w:val="0"/>
          <w:w w:val="100"/>
          <w:sz w:val="32"/>
          <w:szCs w:val="32"/>
          <w:highlight w:val="none"/>
          <w:lang w:eastAsia="zh-CN"/>
        </w:rPr>
        <w:t>预计完成数</w:t>
      </w:r>
      <w:r>
        <w:rPr>
          <w:rFonts w:hint="default" w:ascii="Times New Roman" w:hAnsi="Times New Roman" w:eastAsia="仿宋_GB2312" w:cs="Times New Roman"/>
          <w:color w:val="auto"/>
          <w:spacing w:val="0"/>
          <w:w w:val="100"/>
          <w:sz w:val="32"/>
          <w:szCs w:val="32"/>
          <w:highlight w:val="none"/>
        </w:rPr>
        <w:t>增加</w:t>
      </w:r>
      <w:r>
        <w:rPr>
          <w:rFonts w:hint="default" w:ascii="Times New Roman" w:hAnsi="Times New Roman" w:eastAsia="仿宋_GB2312" w:cs="Times New Roman"/>
          <w:color w:val="auto"/>
          <w:spacing w:val="0"/>
          <w:w w:val="100"/>
          <w:sz w:val="32"/>
          <w:szCs w:val="32"/>
          <w:highlight w:val="none"/>
          <w:lang w:val="en-US" w:eastAsia="zh-CN"/>
        </w:rPr>
        <w:t>1047</w:t>
      </w:r>
      <w:r>
        <w:rPr>
          <w:rFonts w:hint="default" w:ascii="Times New Roman" w:hAnsi="Times New Roman" w:eastAsia="仿宋_GB2312" w:cs="Times New Roman"/>
          <w:color w:val="auto"/>
          <w:spacing w:val="0"/>
          <w:w w:val="100"/>
          <w:sz w:val="32"/>
          <w:szCs w:val="32"/>
          <w:highlight w:val="none"/>
        </w:rPr>
        <w:t>万元，增长</w:t>
      </w:r>
      <w:r>
        <w:rPr>
          <w:rFonts w:hint="default" w:ascii="Times New Roman" w:hAnsi="Times New Roman" w:eastAsia="仿宋_GB2312" w:cs="Times New Roman"/>
          <w:color w:val="auto"/>
          <w:spacing w:val="0"/>
          <w:w w:val="100"/>
          <w:sz w:val="32"/>
          <w:szCs w:val="32"/>
          <w:highlight w:val="none"/>
          <w:lang w:val="en-US" w:eastAsia="zh-CN"/>
        </w:rPr>
        <w:t>2.5</w:t>
      </w:r>
      <w:r>
        <w:rPr>
          <w:rFonts w:hint="default" w:ascii="Times New Roman" w:hAnsi="Times New Roman" w:eastAsia="仿宋_GB2312" w:cs="Times New Roman"/>
          <w:color w:val="auto"/>
          <w:spacing w:val="0"/>
          <w:w w:val="100"/>
          <w:sz w:val="32"/>
          <w:szCs w:val="32"/>
          <w:highlight w:val="none"/>
        </w:rPr>
        <w:t>%</w:t>
      </w:r>
      <w:r>
        <w:rPr>
          <w:rFonts w:hint="default" w:ascii="Times New Roman" w:hAnsi="Times New Roman" w:eastAsia="仿宋_GB2312" w:cs="Times New Roman"/>
          <w:color w:val="auto"/>
          <w:spacing w:val="0"/>
          <w:w w:val="100"/>
          <w:sz w:val="32"/>
          <w:szCs w:val="32"/>
          <w:highlight w:val="none"/>
          <w:lang w:eastAsia="zh-CN"/>
        </w:rPr>
        <w:t>；</w:t>
      </w:r>
    </w:p>
    <w:p w14:paraId="73C83E50">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default" w:ascii="Times New Roman" w:hAnsi="Times New Roman" w:eastAsia="仿宋_GB2312" w:cs="Times New Roman"/>
          <w:color w:val="auto"/>
          <w:spacing w:val="0"/>
          <w:w w:val="100"/>
          <w:sz w:val="32"/>
          <w:szCs w:val="32"/>
          <w:highlight w:val="none"/>
        </w:rPr>
        <w:t>（2）上级补助收入预计完成</w:t>
      </w:r>
      <w:r>
        <w:rPr>
          <w:rFonts w:hint="default" w:ascii="Times New Roman" w:hAnsi="Times New Roman" w:eastAsia="仿宋_GB2312" w:cs="Times New Roman"/>
          <w:color w:val="auto"/>
          <w:spacing w:val="0"/>
          <w:w w:val="100"/>
          <w:sz w:val="32"/>
          <w:szCs w:val="32"/>
          <w:highlight w:val="none"/>
          <w:lang w:val="en-US" w:eastAsia="zh-CN"/>
        </w:rPr>
        <w:t>233588</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，其中：返还性收入</w:t>
      </w:r>
      <w:r>
        <w:rPr>
          <w:rFonts w:hint="default" w:ascii="Times New Roman" w:hAnsi="Times New Roman" w:eastAsia="仿宋_GB2312" w:cs="Times New Roman"/>
          <w:color w:val="auto"/>
          <w:spacing w:val="0"/>
          <w:w w:val="100"/>
          <w:sz w:val="32"/>
          <w:szCs w:val="32"/>
          <w:highlight w:val="none"/>
          <w:lang w:val="en-US" w:eastAsia="zh-CN"/>
        </w:rPr>
        <w:t>4043万元，一般性转移支付收入191545万元、专项转移支付收入38000万元；</w:t>
      </w:r>
    </w:p>
    <w:p w14:paraId="58F4C268">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color w:val="auto"/>
          <w:spacing w:val="0"/>
          <w:w w:val="100"/>
          <w:sz w:val="32"/>
          <w:szCs w:val="32"/>
          <w:highlight w:val="none"/>
          <w:lang w:val="en-US" w:eastAsia="zh-CN"/>
        </w:rPr>
      </w:pPr>
      <w:r>
        <w:rPr>
          <w:rFonts w:hint="default" w:ascii="Times New Roman" w:hAnsi="Times New Roman" w:eastAsia="仿宋_GB2312" w:cs="Times New Roman"/>
          <w:color w:val="auto"/>
          <w:spacing w:val="0"/>
          <w:w w:val="100"/>
          <w:sz w:val="32"/>
          <w:szCs w:val="32"/>
          <w:highlight w:val="none"/>
        </w:rPr>
        <w:t>（3）调入资金预计完成</w:t>
      </w:r>
      <w:r>
        <w:rPr>
          <w:rFonts w:hint="default" w:ascii="Times New Roman" w:hAnsi="Times New Roman" w:eastAsia="仿宋_GB2312" w:cs="Times New Roman"/>
          <w:color w:val="auto"/>
          <w:spacing w:val="0"/>
          <w:w w:val="100"/>
          <w:sz w:val="32"/>
          <w:szCs w:val="32"/>
          <w:highlight w:val="none"/>
          <w:lang w:val="en-US" w:eastAsia="zh-CN"/>
        </w:rPr>
        <w:t>15000</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val="en-US" w:eastAsia="zh-CN"/>
        </w:rPr>
        <w:t>；</w:t>
      </w:r>
    </w:p>
    <w:p w14:paraId="012FDDCC">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rPr>
        <w:t>（4）上年结转结余资金1000万元。</w:t>
      </w:r>
    </w:p>
    <w:p w14:paraId="43EE97A9">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0" w:firstLineChars="200"/>
        <w:textAlignment w:val="auto"/>
        <w:rPr>
          <w:rFonts w:hint="default" w:ascii="Times New Roman" w:hAnsi="Times New Roman" w:cs="Times New Roman"/>
          <w:color w:val="auto"/>
          <w:spacing w:val="0"/>
          <w:w w:val="100"/>
          <w:highlight w:val="none"/>
        </w:rPr>
      </w:pPr>
      <w:r>
        <w:rPr>
          <w:rFonts w:hint="default" w:ascii="Times New Roman" w:hAnsi="Times New Roman" w:eastAsia="仿宋_GB2312" w:cs="Times New Roman"/>
          <w:color w:val="auto"/>
          <w:spacing w:val="0"/>
          <w:w w:val="100"/>
          <w:kern w:val="2"/>
          <w:sz w:val="32"/>
          <w:szCs w:val="32"/>
          <w:highlight w:val="none"/>
          <w:lang w:val="en-US" w:eastAsia="zh-CN" w:bidi="ar-SA"/>
        </w:rPr>
        <w:t>地方一般债券转贷收入年初预算不进行编制，调整预算时按实际收入数进行编制。</w:t>
      </w:r>
    </w:p>
    <w:p w14:paraId="7A4B54AF">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val="0"/>
          <w:bCs w:val="0"/>
          <w:color w:val="auto"/>
          <w:spacing w:val="0"/>
          <w:w w:val="100"/>
          <w:sz w:val="32"/>
          <w:szCs w:val="32"/>
          <w:highlight w:val="none"/>
        </w:rPr>
      </w:pPr>
      <w:r>
        <w:rPr>
          <w:rFonts w:hint="default" w:ascii="Times New Roman" w:hAnsi="Times New Roman" w:eastAsia="仿宋_GB2312" w:cs="Times New Roman"/>
          <w:b/>
          <w:bCs/>
          <w:color w:val="auto"/>
          <w:spacing w:val="0"/>
          <w:w w:val="100"/>
          <w:sz w:val="32"/>
          <w:szCs w:val="32"/>
          <w:highlight w:val="none"/>
        </w:rPr>
        <w:t>2</w:t>
      </w:r>
      <w:r>
        <w:rPr>
          <w:rFonts w:hint="eastAsia" w:ascii="Times New Roman" w:hAnsi="Times New Roman" w:eastAsia="仿宋_GB2312" w:cs="Times New Roman"/>
          <w:b/>
          <w:bCs/>
          <w:color w:val="auto"/>
          <w:spacing w:val="0"/>
          <w:w w:val="100"/>
          <w:sz w:val="32"/>
          <w:szCs w:val="32"/>
          <w:highlight w:val="none"/>
          <w:lang w:eastAsia="zh-CN"/>
        </w:rPr>
        <w:t>．</w:t>
      </w:r>
      <w:r>
        <w:rPr>
          <w:rFonts w:hint="default" w:ascii="Times New Roman" w:hAnsi="Times New Roman" w:eastAsia="仿宋_GB2312" w:cs="Times New Roman"/>
          <w:b/>
          <w:bCs/>
          <w:color w:val="auto"/>
          <w:spacing w:val="0"/>
          <w:w w:val="100"/>
          <w:sz w:val="32"/>
          <w:szCs w:val="32"/>
          <w:highlight w:val="none"/>
        </w:rPr>
        <w:t>支出情况。</w:t>
      </w:r>
      <w:r>
        <w:rPr>
          <w:rFonts w:hint="default" w:ascii="Times New Roman" w:hAnsi="Times New Roman" w:eastAsia="仿宋_GB2312" w:cs="Times New Roman"/>
          <w:color w:val="auto"/>
          <w:spacing w:val="0"/>
          <w:w w:val="100"/>
          <w:sz w:val="32"/>
          <w:szCs w:val="32"/>
          <w:highlight w:val="none"/>
        </w:rPr>
        <w:t>202</w:t>
      </w:r>
      <w:r>
        <w:rPr>
          <w:rFonts w:hint="default" w:ascii="Times New Roman" w:hAnsi="Times New Roman" w:eastAsia="仿宋_GB2312" w:cs="Times New Roman"/>
          <w:color w:val="auto"/>
          <w:spacing w:val="0"/>
          <w:w w:val="100"/>
          <w:sz w:val="32"/>
          <w:szCs w:val="32"/>
          <w:highlight w:val="none"/>
          <w:lang w:val="en-US" w:eastAsia="zh-CN"/>
        </w:rPr>
        <w:t>6</w:t>
      </w:r>
      <w:r>
        <w:rPr>
          <w:rFonts w:hint="default" w:ascii="Times New Roman" w:hAnsi="Times New Roman" w:eastAsia="仿宋_GB2312" w:cs="Times New Roman"/>
          <w:color w:val="auto"/>
          <w:spacing w:val="0"/>
          <w:w w:val="100"/>
          <w:sz w:val="32"/>
          <w:szCs w:val="32"/>
          <w:highlight w:val="none"/>
        </w:rPr>
        <w:t>年全县一般公共预算总支出预计完成</w:t>
      </w:r>
      <w:r>
        <w:rPr>
          <w:rFonts w:hint="default" w:ascii="Times New Roman" w:hAnsi="Times New Roman" w:eastAsia="仿宋_GB2312" w:cs="Times New Roman"/>
          <w:b w:val="0"/>
          <w:bCs w:val="0"/>
          <w:color w:val="auto"/>
          <w:spacing w:val="0"/>
          <w:w w:val="100"/>
          <w:sz w:val="32"/>
          <w:szCs w:val="32"/>
          <w:highlight w:val="none"/>
          <w:lang w:val="en-US" w:eastAsia="zh-CN"/>
        </w:rPr>
        <w:t>292520</w:t>
      </w:r>
      <w:r>
        <w:rPr>
          <w:rFonts w:hint="default" w:ascii="Times New Roman" w:hAnsi="Times New Roman" w:eastAsia="仿宋_GB2312" w:cs="Times New Roman"/>
          <w:b w:val="0"/>
          <w:bCs w:val="0"/>
          <w:color w:val="auto"/>
          <w:spacing w:val="0"/>
          <w:w w:val="100"/>
          <w:sz w:val="32"/>
          <w:szCs w:val="32"/>
          <w:highlight w:val="none"/>
        </w:rPr>
        <w:t>万元，较上年</w:t>
      </w:r>
      <w:r>
        <w:rPr>
          <w:rFonts w:hint="default" w:ascii="Times New Roman" w:hAnsi="Times New Roman" w:eastAsia="仿宋_GB2312" w:cs="Times New Roman"/>
          <w:b w:val="0"/>
          <w:bCs w:val="0"/>
          <w:color w:val="auto"/>
          <w:spacing w:val="0"/>
          <w:w w:val="100"/>
          <w:sz w:val="32"/>
          <w:szCs w:val="32"/>
          <w:highlight w:val="none"/>
          <w:lang w:eastAsia="zh-CN"/>
        </w:rPr>
        <w:t>年初</w:t>
      </w:r>
      <w:r>
        <w:rPr>
          <w:rFonts w:hint="default" w:ascii="Times New Roman" w:hAnsi="Times New Roman" w:eastAsia="仿宋_GB2312" w:cs="Times New Roman"/>
          <w:b w:val="0"/>
          <w:bCs w:val="0"/>
          <w:color w:val="auto"/>
          <w:spacing w:val="0"/>
          <w:w w:val="100"/>
          <w:sz w:val="32"/>
          <w:szCs w:val="32"/>
          <w:highlight w:val="none"/>
        </w:rPr>
        <w:t>预算</w:t>
      </w:r>
      <w:r>
        <w:rPr>
          <w:rFonts w:hint="default" w:ascii="Times New Roman" w:hAnsi="Times New Roman" w:eastAsia="仿宋_GB2312" w:cs="Times New Roman"/>
          <w:b w:val="0"/>
          <w:bCs w:val="0"/>
          <w:color w:val="auto"/>
          <w:spacing w:val="0"/>
          <w:w w:val="100"/>
          <w:sz w:val="32"/>
          <w:szCs w:val="32"/>
          <w:highlight w:val="none"/>
          <w:lang w:eastAsia="zh-CN"/>
        </w:rPr>
        <w:t>增加</w:t>
      </w:r>
      <w:r>
        <w:rPr>
          <w:rFonts w:hint="default" w:ascii="Times New Roman" w:hAnsi="Times New Roman" w:eastAsia="仿宋_GB2312" w:cs="Times New Roman"/>
          <w:b w:val="0"/>
          <w:bCs w:val="0"/>
          <w:color w:val="auto"/>
          <w:spacing w:val="0"/>
          <w:w w:val="100"/>
          <w:sz w:val="32"/>
          <w:szCs w:val="32"/>
          <w:highlight w:val="none"/>
          <w:lang w:val="en-US" w:eastAsia="zh-CN"/>
        </w:rPr>
        <w:t>4092</w:t>
      </w:r>
      <w:r>
        <w:rPr>
          <w:rFonts w:hint="default" w:ascii="Times New Roman" w:hAnsi="Times New Roman" w:eastAsia="仿宋_GB2312" w:cs="Times New Roman"/>
          <w:b w:val="0"/>
          <w:bCs w:val="0"/>
          <w:color w:val="auto"/>
          <w:spacing w:val="0"/>
          <w:w w:val="100"/>
          <w:sz w:val="32"/>
          <w:szCs w:val="32"/>
          <w:highlight w:val="none"/>
        </w:rPr>
        <w:t>万元，</w:t>
      </w:r>
      <w:r>
        <w:rPr>
          <w:rFonts w:hint="default" w:ascii="Times New Roman" w:hAnsi="Times New Roman" w:eastAsia="仿宋_GB2312" w:cs="Times New Roman"/>
          <w:b w:val="0"/>
          <w:bCs w:val="0"/>
          <w:color w:val="auto"/>
          <w:spacing w:val="0"/>
          <w:w w:val="100"/>
          <w:sz w:val="32"/>
          <w:szCs w:val="32"/>
          <w:highlight w:val="none"/>
          <w:lang w:eastAsia="zh-CN"/>
        </w:rPr>
        <w:t>增长</w:t>
      </w:r>
      <w:r>
        <w:rPr>
          <w:rFonts w:hint="default" w:ascii="Times New Roman" w:hAnsi="Times New Roman" w:eastAsia="仿宋_GB2312" w:cs="Times New Roman"/>
          <w:b w:val="0"/>
          <w:bCs w:val="0"/>
          <w:color w:val="auto"/>
          <w:spacing w:val="0"/>
          <w:w w:val="100"/>
          <w:sz w:val="32"/>
          <w:szCs w:val="32"/>
          <w:highlight w:val="none"/>
          <w:lang w:val="en-US" w:eastAsia="zh-CN"/>
        </w:rPr>
        <w:t>0.14</w:t>
      </w:r>
      <w:r>
        <w:rPr>
          <w:rFonts w:hint="default" w:ascii="Times New Roman" w:hAnsi="Times New Roman" w:eastAsia="仿宋_GB2312" w:cs="Times New Roman"/>
          <w:b w:val="0"/>
          <w:bCs w:val="0"/>
          <w:color w:val="auto"/>
          <w:spacing w:val="0"/>
          <w:w w:val="100"/>
          <w:sz w:val="32"/>
          <w:szCs w:val="32"/>
          <w:highlight w:val="none"/>
        </w:rPr>
        <w:t>%。</w:t>
      </w:r>
    </w:p>
    <w:p w14:paraId="1358C7E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2"/>
          <w:sz w:val="32"/>
          <w:szCs w:val="32"/>
          <w:highlight w:val="none"/>
          <w:lang w:val="en-US" w:eastAsia="zh-CN" w:bidi="ar-SA"/>
        </w:rPr>
      </w:pPr>
      <w:r>
        <w:rPr>
          <w:rFonts w:hint="default" w:ascii="Times New Roman" w:hAnsi="Times New Roman" w:eastAsia="仿宋_GB2312" w:cs="Times New Roman"/>
          <w:b w:val="0"/>
          <w:bCs w:val="0"/>
          <w:color w:val="auto"/>
          <w:spacing w:val="0"/>
          <w:w w:val="100"/>
          <w:sz w:val="32"/>
          <w:szCs w:val="32"/>
          <w:highlight w:val="none"/>
        </w:rPr>
        <w:t>（1）</w:t>
      </w:r>
      <w:r>
        <w:rPr>
          <w:rFonts w:hint="default" w:ascii="Times New Roman" w:hAnsi="Times New Roman" w:eastAsia="仿宋_GB2312" w:cs="Times New Roman"/>
          <w:b w:val="0"/>
          <w:bCs w:val="0"/>
          <w:color w:val="auto"/>
          <w:spacing w:val="0"/>
          <w:w w:val="100"/>
          <w:sz w:val="32"/>
          <w:szCs w:val="32"/>
          <w:highlight w:val="none"/>
          <w:lang w:eastAsia="zh-CN"/>
        </w:rPr>
        <w:t>一般公共预算本级预计支出</w:t>
      </w:r>
      <w:r>
        <w:rPr>
          <w:rFonts w:hint="default" w:ascii="Times New Roman" w:hAnsi="Times New Roman" w:eastAsia="仿宋_GB2312" w:cs="Times New Roman"/>
          <w:b w:val="0"/>
          <w:bCs w:val="0"/>
          <w:color w:val="auto"/>
          <w:spacing w:val="0"/>
          <w:w w:val="100"/>
          <w:sz w:val="32"/>
          <w:szCs w:val="32"/>
          <w:highlight w:val="none"/>
          <w:lang w:val="en-US" w:eastAsia="zh-CN"/>
        </w:rPr>
        <w:t>288028万元，其中：工资福利支出102715万元，基本运转支出11637万元，县级专项支出48531万元，部门项目支出124145万元，上年结转结余支出1000万元；</w:t>
      </w:r>
    </w:p>
    <w:p w14:paraId="029E751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b w:val="0"/>
          <w:bCs w:val="0"/>
          <w:color w:val="auto"/>
          <w:spacing w:val="0"/>
          <w:w w:val="100"/>
          <w:sz w:val="32"/>
          <w:szCs w:val="32"/>
          <w:highlight w:val="none"/>
          <w:lang w:eastAsia="zh-CN"/>
        </w:rPr>
      </w:pPr>
      <w:r>
        <w:rPr>
          <w:rFonts w:hint="default" w:ascii="Times New Roman" w:hAnsi="Times New Roman" w:eastAsia="仿宋_GB2312" w:cs="Times New Roman"/>
          <w:b w:val="0"/>
          <w:bCs w:val="0"/>
          <w:color w:val="auto"/>
          <w:spacing w:val="0"/>
          <w:w w:val="100"/>
          <w:sz w:val="32"/>
          <w:szCs w:val="32"/>
          <w:highlight w:val="none"/>
        </w:rPr>
        <w:t>（</w:t>
      </w:r>
      <w:r>
        <w:rPr>
          <w:rFonts w:hint="default" w:ascii="Times New Roman" w:hAnsi="Times New Roman" w:eastAsia="仿宋_GB2312" w:cs="Times New Roman"/>
          <w:b w:val="0"/>
          <w:bCs w:val="0"/>
          <w:color w:val="auto"/>
          <w:spacing w:val="0"/>
          <w:w w:val="100"/>
          <w:sz w:val="32"/>
          <w:szCs w:val="32"/>
          <w:highlight w:val="none"/>
          <w:lang w:val="en-US" w:eastAsia="zh-CN"/>
        </w:rPr>
        <w:t>2</w:t>
      </w:r>
      <w:r>
        <w:rPr>
          <w:rFonts w:hint="default" w:ascii="Times New Roman" w:hAnsi="Times New Roman" w:eastAsia="仿宋_GB2312" w:cs="Times New Roman"/>
          <w:b w:val="0"/>
          <w:bCs w:val="0"/>
          <w:color w:val="auto"/>
          <w:spacing w:val="0"/>
          <w:w w:val="100"/>
          <w:sz w:val="32"/>
          <w:szCs w:val="32"/>
          <w:highlight w:val="none"/>
        </w:rPr>
        <w:t>）上解支出</w:t>
      </w:r>
      <w:r>
        <w:rPr>
          <w:rFonts w:hint="default" w:ascii="Times New Roman" w:hAnsi="Times New Roman" w:eastAsia="仿宋_GB2312" w:cs="Times New Roman"/>
          <w:b w:val="0"/>
          <w:bCs w:val="0"/>
          <w:color w:val="auto"/>
          <w:spacing w:val="0"/>
          <w:w w:val="100"/>
          <w:sz w:val="32"/>
          <w:szCs w:val="32"/>
          <w:highlight w:val="none"/>
          <w:lang w:val="en-US" w:eastAsia="zh-CN"/>
        </w:rPr>
        <w:t>3687</w:t>
      </w:r>
      <w:r>
        <w:rPr>
          <w:rFonts w:hint="default" w:ascii="Times New Roman" w:hAnsi="Times New Roman" w:eastAsia="仿宋_GB2312" w:cs="Times New Roman"/>
          <w:b w:val="0"/>
          <w:bCs w:val="0"/>
          <w:color w:val="auto"/>
          <w:spacing w:val="0"/>
          <w:w w:val="100"/>
          <w:sz w:val="32"/>
          <w:szCs w:val="32"/>
          <w:highlight w:val="none"/>
        </w:rPr>
        <w:t>万元</w:t>
      </w:r>
      <w:r>
        <w:rPr>
          <w:rFonts w:hint="default" w:ascii="Times New Roman" w:hAnsi="Times New Roman" w:eastAsia="仿宋_GB2312" w:cs="Times New Roman"/>
          <w:b w:val="0"/>
          <w:bCs w:val="0"/>
          <w:color w:val="auto"/>
          <w:spacing w:val="0"/>
          <w:w w:val="100"/>
          <w:sz w:val="32"/>
          <w:szCs w:val="32"/>
          <w:highlight w:val="none"/>
          <w:lang w:eastAsia="zh-CN"/>
        </w:rPr>
        <w:t>；</w:t>
      </w:r>
    </w:p>
    <w:p w14:paraId="39686696">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hint="default" w:ascii="Times New Roman" w:hAnsi="Times New Roman" w:eastAsia="仿宋_GB2312" w:cs="Times New Roman"/>
          <w:b w:val="0"/>
          <w:bCs w:val="0"/>
          <w:color w:val="auto"/>
          <w:spacing w:val="0"/>
          <w:w w:val="100"/>
          <w:sz w:val="32"/>
          <w:szCs w:val="32"/>
          <w:highlight w:val="none"/>
          <w:lang w:val="en-US"/>
        </w:rPr>
      </w:pPr>
      <w:r>
        <w:rPr>
          <w:rFonts w:hint="default" w:ascii="Times New Roman" w:hAnsi="Times New Roman" w:eastAsia="仿宋_GB2312" w:cs="Times New Roman"/>
          <w:b w:val="0"/>
          <w:bCs w:val="0"/>
          <w:color w:val="auto"/>
          <w:spacing w:val="0"/>
          <w:w w:val="100"/>
          <w:sz w:val="32"/>
          <w:szCs w:val="32"/>
          <w:highlight w:val="none"/>
        </w:rPr>
        <w:t>（</w:t>
      </w:r>
      <w:r>
        <w:rPr>
          <w:rFonts w:hint="default" w:ascii="Times New Roman" w:hAnsi="Times New Roman" w:eastAsia="仿宋_GB2312" w:cs="Times New Roman"/>
          <w:b w:val="0"/>
          <w:bCs w:val="0"/>
          <w:color w:val="auto"/>
          <w:spacing w:val="0"/>
          <w:w w:val="100"/>
          <w:sz w:val="32"/>
          <w:szCs w:val="32"/>
          <w:highlight w:val="none"/>
          <w:lang w:val="en-US" w:eastAsia="zh-CN"/>
        </w:rPr>
        <w:t>3</w:t>
      </w:r>
      <w:r>
        <w:rPr>
          <w:rFonts w:hint="default" w:ascii="Times New Roman" w:hAnsi="Times New Roman" w:eastAsia="仿宋_GB2312" w:cs="Times New Roman"/>
          <w:b w:val="0"/>
          <w:bCs w:val="0"/>
          <w:color w:val="auto"/>
          <w:spacing w:val="0"/>
          <w:w w:val="100"/>
          <w:sz w:val="32"/>
          <w:szCs w:val="32"/>
          <w:highlight w:val="none"/>
        </w:rPr>
        <w:t>）地方政府一般债务还本支出</w:t>
      </w:r>
      <w:r>
        <w:rPr>
          <w:rFonts w:hint="default" w:ascii="Times New Roman" w:hAnsi="Times New Roman" w:eastAsia="仿宋_GB2312" w:cs="Times New Roman"/>
          <w:b w:val="0"/>
          <w:bCs w:val="0"/>
          <w:color w:val="auto"/>
          <w:spacing w:val="0"/>
          <w:w w:val="100"/>
          <w:sz w:val="32"/>
          <w:szCs w:val="32"/>
          <w:highlight w:val="none"/>
          <w:lang w:val="en-US" w:eastAsia="zh-CN"/>
        </w:rPr>
        <w:t>805万元。</w:t>
      </w:r>
    </w:p>
    <w:p w14:paraId="5D1ADE47">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b/>
          <w:bCs/>
          <w:color w:val="auto"/>
          <w:spacing w:val="0"/>
          <w:w w:val="100"/>
          <w:sz w:val="32"/>
          <w:szCs w:val="32"/>
          <w:highlight w:val="none"/>
        </w:rPr>
        <w:t>3</w:t>
      </w:r>
      <w:r>
        <w:rPr>
          <w:rFonts w:hint="eastAsia" w:ascii="Times New Roman" w:hAnsi="Times New Roman" w:eastAsia="仿宋_GB2312" w:cs="Times New Roman"/>
          <w:b/>
          <w:bCs/>
          <w:color w:val="auto"/>
          <w:spacing w:val="0"/>
          <w:w w:val="100"/>
          <w:sz w:val="32"/>
          <w:szCs w:val="32"/>
          <w:highlight w:val="none"/>
          <w:lang w:eastAsia="zh-CN"/>
        </w:rPr>
        <w:t>．</w:t>
      </w:r>
      <w:r>
        <w:rPr>
          <w:rFonts w:hint="default" w:ascii="Times New Roman" w:hAnsi="Times New Roman" w:eastAsia="仿宋_GB2312" w:cs="Times New Roman"/>
          <w:b/>
          <w:bCs/>
          <w:color w:val="auto"/>
          <w:spacing w:val="0"/>
          <w:w w:val="100"/>
          <w:sz w:val="32"/>
          <w:szCs w:val="32"/>
          <w:highlight w:val="none"/>
        </w:rPr>
        <w:t>平衡情况。</w:t>
      </w:r>
      <w:r>
        <w:rPr>
          <w:rFonts w:hint="default" w:ascii="Times New Roman" w:hAnsi="Times New Roman" w:eastAsia="仿宋_GB2312" w:cs="Times New Roman"/>
          <w:color w:val="auto"/>
          <w:spacing w:val="0"/>
          <w:w w:val="100"/>
          <w:sz w:val="32"/>
          <w:szCs w:val="32"/>
          <w:highlight w:val="none"/>
        </w:rPr>
        <w:t>收支两抵平衡。</w:t>
      </w:r>
    </w:p>
    <w:p w14:paraId="63CA181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b/>
          <w:bCs/>
          <w:color w:val="auto"/>
          <w:spacing w:val="0"/>
          <w:w w:val="100"/>
          <w:sz w:val="32"/>
          <w:szCs w:val="32"/>
          <w:highlight w:val="none"/>
          <w:lang w:val="en-US" w:eastAsia="zh-CN"/>
        </w:rPr>
      </w:pPr>
      <w:r>
        <w:rPr>
          <w:rFonts w:hint="default" w:ascii="Times New Roman" w:hAnsi="Times New Roman" w:eastAsia="仿宋_GB2312" w:cs="Times New Roman"/>
          <w:b/>
          <w:bCs/>
          <w:color w:val="auto"/>
          <w:spacing w:val="0"/>
          <w:w w:val="100"/>
          <w:sz w:val="32"/>
          <w:szCs w:val="32"/>
          <w:highlight w:val="none"/>
          <w:lang w:val="en-US" w:eastAsia="zh-CN"/>
        </w:rPr>
        <w:t>4</w:t>
      </w:r>
      <w:r>
        <w:rPr>
          <w:rFonts w:hint="eastAsia" w:ascii="Times New Roman" w:hAnsi="Times New Roman" w:eastAsia="仿宋_GB2312" w:cs="Times New Roman"/>
          <w:b/>
          <w:bCs/>
          <w:color w:val="auto"/>
          <w:spacing w:val="0"/>
          <w:w w:val="100"/>
          <w:sz w:val="32"/>
          <w:szCs w:val="32"/>
          <w:highlight w:val="none"/>
          <w:lang w:val="en-US" w:eastAsia="zh-CN"/>
        </w:rPr>
        <w:t>．“</w:t>
      </w:r>
      <w:r>
        <w:rPr>
          <w:rFonts w:hint="default" w:ascii="Times New Roman" w:hAnsi="Times New Roman" w:eastAsia="仿宋_GB2312" w:cs="Times New Roman"/>
          <w:b/>
          <w:bCs/>
          <w:color w:val="auto"/>
          <w:spacing w:val="0"/>
          <w:w w:val="100"/>
          <w:sz w:val="32"/>
          <w:szCs w:val="32"/>
          <w:highlight w:val="none"/>
          <w:lang w:val="en-US" w:eastAsia="zh-CN"/>
        </w:rPr>
        <w:t>三保</w:t>
      </w:r>
      <w:r>
        <w:rPr>
          <w:rFonts w:hint="eastAsia" w:ascii="Times New Roman" w:hAnsi="Times New Roman" w:eastAsia="仿宋_GB2312" w:cs="Times New Roman"/>
          <w:b/>
          <w:bCs/>
          <w:color w:val="auto"/>
          <w:spacing w:val="0"/>
          <w:w w:val="100"/>
          <w:sz w:val="32"/>
          <w:szCs w:val="32"/>
          <w:highlight w:val="none"/>
          <w:lang w:val="en-US" w:eastAsia="zh-CN"/>
        </w:rPr>
        <w:t>”</w:t>
      </w:r>
      <w:r>
        <w:rPr>
          <w:rFonts w:hint="default" w:ascii="Times New Roman" w:hAnsi="Times New Roman" w:eastAsia="仿宋_GB2312" w:cs="Times New Roman"/>
          <w:b/>
          <w:bCs/>
          <w:spacing w:val="0"/>
          <w:w w:val="100"/>
          <w:sz w:val="32"/>
          <w:szCs w:val="32"/>
        </w:rPr>
        <w:t>预算安排情况。</w:t>
      </w:r>
      <w:r>
        <w:rPr>
          <w:rFonts w:hint="default" w:ascii="Times New Roman" w:hAnsi="Times New Roman" w:eastAsia="仿宋_GB2312" w:cs="Times New Roman"/>
          <w:b w:val="0"/>
          <w:bCs w:val="0"/>
          <w:spacing w:val="0"/>
          <w:w w:val="100"/>
          <w:sz w:val="32"/>
          <w:szCs w:val="32"/>
          <w:lang w:eastAsia="zh-CN"/>
        </w:rPr>
        <w:t>兜牢兜实</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eastAsia="zh-CN"/>
        </w:rPr>
        <w:t>三保</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eastAsia="zh-CN"/>
        </w:rPr>
        <w:t>底线，县财政部门严格按照省财政厅清单确定的保障范围和标准测算</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eastAsia="zh-CN"/>
        </w:rPr>
        <w:t>三保</w:t>
      </w:r>
      <w:r>
        <w:rPr>
          <w:rFonts w:hint="eastAsia" w:ascii="Times New Roman" w:hAnsi="Times New Roman" w:eastAsia="仿宋_GB2312" w:cs="Times New Roman"/>
          <w:b w:val="0"/>
          <w:bCs w:val="0"/>
          <w:spacing w:val="0"/>
          <w:w w:val="100"/>
          <w:sz w:val="32"/>
          <w:szCs w:val="32"/>
          <w:lang w:eastAsia="zh-CN"/>
        </w:rPr>
        <w:t>”</w:t>
      </w:r>
      <w:r>
        <w:rPr>
          <w:rFonts w:hint="default" w:ascii="Times New Roman" w:hAnsi="Times New Roman" w:eastAsia="仿宋_GB2312" w:cs="Times New Roman"/>
          <w:b w:val="0"/>
          <w:bCs w:val="0"/>
          <w:spacing w:val="0"/>
          <w:w w:val="100"/>
          <w:sz w:val="32"/>
          <w:szCs w:val="32"/>
          <w:lang w:eastAsia="zh-CN"/>
        </w:rPr>
        <w:t>支出需求，做到足额编制预算，不留有缺口。</w:t>
      </w:r>
      <w:r>
        <w:rPr>
          <w:rFonts w:hint="default" w:ascii="Times New Roman" w:hAnsi="Times New Roman" w:eastAsia="仿宋_GB2312" w:cs="Times New Roman"/>
          <w:b w:val="0"/>
          <w:bCs w:val="0"/>
          <w:spacing w:val="0"/>
          <w:w w:val="100"/>
          <w:sz w:val="32"/>
          <w:szCs w:val="32"/>
          <w:lang w:val="en-US" w:eastAsia="zh-CN"/>
        </w:rPr>
        <w:t>2026年全县预算安排</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三保</w:t>
      </w:r>
      <w:r>
        <w:rPr>
          <w:rFonts w:hint="eastAsia" w:ascii="Times New Roman" w:hAnsi="Times New Roman" w:eastAsia="仿宋_GB2312" w:cs="Times New Roman"/>
          <w:b w:val="0"/>
          <w:bCs w:val="0"/>
          <w:spacing w:val="0"/>
          <w:w w:val="100"/>
          <w:sz w:val="32"/>
          <w:szCs w:val="32"/>
          <w:lang w:val="en-US" w:eastAsia="zh-CN"/>
        </w:rPr>
        <w:t>”</w:t>
      </w:r>
      <w:r>
        <w:rPr>
          <w:rFonts w:hint="default" w:ascii="Times New Roman" w:hAnsi="Times New Roman" w:eastAsia="仿宋_GB2312" w:cs="Times New Roman"/>
          <w:b w:val="0"/>
          <w:bCs w:val="0"/>
          <w:spacing w:val="0"/>
          <w:w w:val="100"/>
          <w:sz w:val="32"/>
          <w:szCs w:val="32"/>
          <w:lang w:val="en-US" w:eastAsia="zh-CN"/>
        </w:rPr>
        <w:t>支出129981万元，其中：保工资预算支出73486万元、保基本运转预算支出4878万元、保基本民生预算支出51617万元。</w:t>
      </w:r>
    </w:p>
    <w:p w14:paraId="0866A6FB">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firstLine="643"/>
        <w:textAlignment w:val="auto"/>
        <w:rPr>
          <w:rFonts w:hint="default" w:ascii="Times New Roman" w:hAnsi="Times New Roman" w:eastAsia="楷体_GB2312" w:cs="Times New Roman"/>
          <w:b/>
          <w:bCs/>
          <w:color w:val="auto"/>
          <w:spacing w:val="0"/>
          <w:w w:val="100"/>
          <w:sz w:val="32"/>
          <w:szCs w:val="32"/>
          <w:highlight w:val="none"/>
        </w:rPr>
      </w:pPr>
      <w:r>
        <w:rPr>
          <w:rFonts w:hint="default" w:ascii="Times New Roman" w:hAnsi="Times New Roman" w:eastAsia="楷体_GB2312" w:cs="Times New Roman"/>
          <w:b/>
          <w:bCs/>
          <w:color w:val="auto"/>
          <w:spacing w:val="0"/>
          <w:w w:val="100"/>
          <w:sz w:val="32"/>
          <w:szCs w:val="32"/>
          <w:highlight w:val="none"/>
        </w:rPr>
        <w:t>（二）政府性基金收支情况</w:t>
      </w:r>
    </w:p>
    <w:p w14:paraId="52ACF5E3">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仿宋_GB2312" w:cs="Times New Roman"/>
          <w:color w:val="auto"/>
          <w:spacing w:val="0"/>
          <w:w w:val="100"/>
          <w:sz w:val="32"/>
          <w:szCs w:val="32"/>
          <w:highlight w:val="none"/>
          <w:lang w:eastAsia="zh-CN"/>
        </w:rPr>
      </w:pPr>
      <w:r>
        <w:rPr>
          <w:rFonts w:hint="default" w:ascii="Times New Roman" w:hAnsi="Times New Roman" w:eastAsia="仿宋_GB2312" w:cs="Times New Roman"/>
          <w:b/>
          <w:bCs/>
          <w:color w:val="auto"/>
          <w:spacing w:val="0"/>
          <w:w w:val="100"/>
          <w:sz w:val="32"/>
          <w:szCs w:val="32"/>
          <w:highlight w:val="none"/>
        </w:rPr>
        <w:t>1</w:t>
      </w:r>
      <w:r>
        <w:rPr>
          <w:rFonts w:hint="eastAsia" w:ascii="Times New Roman" w:hAnsi="Times New Roman" w:eastAsia="仿宋_GB2312" w:cs="Times New Roman"/>
          <w:b/>
          <w:bCs/>
          <w:color w:val="auto"/>
          <w:spacing w:val="0"/>
          <w:w w:val="100"/>
          <w:sz w:val="32"/>
          <w:szCs w:val="32"/>
          <w:highlight w:val="none"/>
          <w:lang w:eastAsia="zh-CN"/>
        </w:rPr>
        <w:t>．</w:t>
      </w:r>
      <w:r>
        <w:rPr>
          <w:rFonts w:hint="default" w:ascii="Times New Roman" w:hAnsi="Times New Roman" w:eastAsia="仿宋_GB2312" w:cs="Times New Roman"/>
          <w:b/>
          <w:bCs/>
          <w:color w:val="auto"/>
          <w:spacing w:val="0"/>
          <w:w w:val="100"/>
          <w:sz w:val="32"/>
          <w:szCs w:val="32"/>
          <w:highlight w:val="none"/>
        </w:rPr>
        <w:t>收入情况。</w:t>
      </w:r>
      <w:r>
        <w:rPr>
          <w:rFonts w:hint="default" w:ascii="Times New Roman" w:hAnsi="Times New Roman" w:eastAsia="仿宋_GB2312" w:cs="Times New Roman"/>
          <w:color w:val="auto"/>
          <w:spacing w:val="0"/>
          <w:w w:val="100"/>
          <w:sz w:val="32"/>
          <w:szCs w:val="32"/>
          <w:highlight w:val="none"/>
        </w:rPr>
        <w:t>政府性基金</w:t>
      </w:r>
      <w:r>
        <w:rPr>
          <w:rFonts w:hint="default" w:ascii="Times New Roman" w:hAnsi="Times New Roman" w:eastAsia="仿宋_GB2312" w:cs="Times New Roman"/>
          <w:color w:val="auto"/>
          <w:spacing w:val="0"/>
          <w:w w:val="100"/>
          <w:sz w:val="32"/>
          <w:szCs w:val="32"/>
          <w:highlight w:val="none"/>
          <w:lang w:eastAsia="zh-CN"/>
        </w:rPr>
        <w:t>预算总</w:t>
      </w:r>
      <w:r>
        <w:rPr>
          <w:rFonts w:hint="default" w:ascii="Times New Roman" w:hAnsi="Times New Roman" w:eastAsia="仿宋_GB2312" w:cs="Times New Roman"/>
          <w:color w:val="auto"/>
          <w:spacing w:val="0"/>
          <w:w w:val="100"/>
          <w:sz w:val="32"/>
          <w:szCs w:val="32"/>
          <w:highlight w:val="none"/>
        </w:rPr>
        <w:t>收入预计完成</w:t>
      </w:r>
      <w:r>
        <w:rPr>
          <w:rFonts w:hint="default" w:ascii="Times New Roman" w:hAnsi="Times New Roman" w:eastAsia="仿宋_GB2312" w:cs="Times New Roman"/>
          <w:color w:val="auto"/>
          <w:spacing w:val="0"/>
          <w:w w:val="100"/>
          <w:sz w:val="32"/>
          <w:szCs w:val="32"/>
          <w:highlight w:val="none"/>
          <w:lang w:val="en-US" w:eastAsia="zh-CN"/>
        </w:rPr>
        <w:t>64058</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w:t>
      </w:r>
    </w:p>
    <w:p w14:paraId="10090CD0">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（1）本级政府性基金收入预计完成19058万元，其中：国有土地使用权出让收入9000万元，城市基础设施配套费收入450万元，污水处理费收入430万元，其他政府性基金专项债务对应项目专项收入9178万元；</w:t>
      </w:r>
    </w:p>
    <w:p w14:paraId="52685C1F">
      <w:pPr>
        <w:keepNext w:val="0"/>
        <w:keepLines w:val="0"/>
        <w:pageBreakBefore w:val="0"/>
        <w:widowControl w:val="0"/>
        <w:kinsoku/>
        <w:wordWrap/>
        <w:overflowPunct/>
        <w:topLinePunct w:val="0"/>
        <w:autoSpaceDE/>
        <w:autoSpaceDN/>
        <w:bidi w:val="0"/>
        <w:snapToGrid/>
        <w:spacing w:line="60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（2）政府性基金转移支付收入（上级补助）1500万元；</w:t>
      </w:r>
    </w:p>
    <w:p w14:paraId="00D9B1D9">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（3）政府性基金预算上年结余收入43500万元。</w:t>
      </w:r>
    </w:p>
    <w:p w14:paraId="0EF6F4CD">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color w:val="auto"/>
          <w:spacing w:val="0"/>
          <w:w w:val="100"/>
          <w:kern w:val="2"/>
          <w:sz w:val="32"/>
          <w:szCs w:val="32"/>
          <w:lang w:val="en-US" w:eastAsia="zh-CN" w:bidi="ar-SA"/>
        </w:rPr>
      </w:pPr>
      <w:r>
        <w:rPr>
          <w:rFonts w:hint="default" w:ascii="Times New Roman" w:hAnsi="Times New Roman" w:eastAsia="仿宋_GB2312" w:cs="Times New Roman"/>
          <w:color w:val="auto"/>
          <w:spacing w:val="0"/>
          <w:w w:val="100"/>
          <w:kern w:val="2"/>
          <w:sz w:val="32"/>
          <w:szCs w:val="32"/>
          <w:lang w:val="en-US" w:eastAsia="zh-CN" w:bidi="ar-SA"/>
        </w:rPr>
        <w:t>地方专项债券转贷收入年初预算不进行编制，调整预算时按实际收入数进行编制。</w:t>
      </w:r>
    </w:p>
    <w:p w14:paraId="5277E5DA">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3" w:firstLineChars="200"/>
        <w:textAlignment w:val="auto"/>
        <w:rPr>
          <w:rFonts w:hint="default" w:ascii="Times New Roman" w:hAnsi="Times New Roman" w:eastAsia="仿宋_GB2312" w:cs="Times New Roman"/>
          <w:color w:val="auto"/>
          <w:spacing w:val="0"/>
          <w:w w:val="100"/>
          <w:sz w:val="32"/>
          <w:szCs w:val="32"/>
          <w:highlight w:val="none"/>
          <w:lang w:eastAsia="zh-CN"/>
        </w:rPr>
      </w:pPr>
      <w:r>
        <w:rPr>
          <w:rFonts w:hint="default" w:ascii="Times New Roman" w:hAnsi="Times New Roman" w:eastAsia="仿宋_GB2312" w:cs="Times New Roman"/>
          <w:b/>
          <w:bCs/>
          <w:color w:val="auto"/>
          <w:spacing w:val="0"/>
          <w:w w:val="100"/>
          <w:sz w:val="32"/>
          <w:szCs w:val="32"/>
          <w:highlight w:val="none"/>
          <w:lang w:val="en-US" w:eastAsia="zh-CN"/>
        </w:rPr>
        <w:t>2</w:t>
      </w:r>
      <w:r>
        <w:rPr>
          <w:rFonts w:hint="eastAsia" w:ascii="Times New Roman" w:hAnsi="Times New Roman" w:eastAsia="仿宋_GB2312" w:cs="Times New Roman"/>
          <w:b/>
          <w:bCs/>
          <w:color w:val="auto"/>
          <w:spacing w:val="0"/>
          <w:w w:val="100"/>
          <w:sz w:val="32"/>
          <w:szCs w:val="32"/>
          <w:highlight w:val="none"/>
          <w:lang w:val="en-US" w:eastAsia="zh-CN"/>
        </w:rPr>
        <w:t>．</w:t>
      </w:r>
      <w:r>
        <w:rPr>
          <w:rFonts w:hint="default" w:ascii="Times New Roman" w:hAnsi="Times New Roman" w:eastAsia="仿宋_GB2312" w:cs="Times New Roman"/>
          <w:b/>
          <w:bCs/>
          <w:color w:val="auto"/>
          <w:spacing w:val="0"/>
          <w:w w:val="100"/>
          <w:sz w:val="32"/>
          <w:szCs w:val="32"/>
          <w:highlight w:val="none"/>
        </w:rPr>
        <w:t>支出情况。</w:t>
      </w:r>
      <w:r>
        <w:rPr>
          <w:rFonts w:hint="default" w:ascii="Times New Roman" w:hAnsi="Times New Roman" w:eastAsia="仿宋_GB2312" w:cs="Times New Roman"/>
          <w:color w:val="auto"/>
          <w:spacing w:val="0"/>
          <w:w w:val="100"/>
          <w:sz w:val="32"/>
          <w:szCs w:val="32"/>
          <w:highlight w:val="none"/>
        </w:rPr>
        <w:t>政府性基金</w:t>
      </w:r>
      <w:r>
        <w:rPr>
          <w:rFonts w:hint="default" w:ascii="Times New Roman" w:hAnsi="Times New Roman" w:eastAsia="仿宋_GB2312" w:cs="Times New Roman"/>
          <w:color w:val="auto"/>
          <w:spacing w:val="0"/>
          <w:w w:val="100"/>
          <w:sz w:val="32"/>
          <w:szCs w:val="32"/>
          <w:highlight w:val="none"/>
          <w:lang w:eastAsia="zh-CN"/>
        </w:rPr>
        <w:t>预算总</w:t>
      </w:r>
      <w:r>
        <w:rPr>
          <w:rFonts w:hint="default" w:ascii="Times New Roman" w:hAnsi="Times New Roman" w:eastAsia="仿宋_GB2312" w:cs="Times New Roman"/>
          <w:color w:val="auto"/>
          <w:spacing w:val="0"/>
          <w:w w:val="100"/>
          <w:sz w:val="32"/>
          <w:szCs w:val="32"/>
          <w:highlight w:val="none"/>
        </w:rPr>
        <w:t>支出预计完成</w:t>
      </w:r>
      <w:r>
        <w:rPr>
          <w:rFonts w:hint="default" w:ascii="Times New Roman" w:hAnsi="Times New Roman" w:eastAsia="仿宋_GB2312" w:cs="Times New Roman"/>
          <w:color w:val="auto"/>
          <w:spacing w:val="0"/>
          <w:w w:val="100"/>
          <w:sz w:val="32"/>
          <w:szCs w:val="32"/>
          <w:highlight w:val="none"/>
          <w:lang w:val="en-US" w:eastAsia="zh-CN"/>
        </w:rPr>
        <w:t>64058</w:t>
      </w:r>
      <w:r>
        <w:rPr>
          <w:rFonts w:hint="default" w:ascii="Times New Roman" w:hAnsi="Times New Roman" w:eastAsia="仿宋_GB2312" w:cs="Times New Roman"/>
          <w:color w:val="auto"/>
          <w:spacing w:val="0"/>
          <w:w w:val="100"/>
          <w:sz w:val="32"/>
          <w:szCs w:val="32"/>
          <w:highlight w:val="none"/>
        </w:rPr>
        <w:t>万元</w:t>
      </w:r>
      <w:r>
        <w:rPr>
          <w:rFonts w:hint="default" w:ascii="Times New Roman" w:hAnsi="Times New Roman" w:eastAsia="仿宋_GB2312" w:cs="Times New Roman"/>
          <w:color w:val="auto"/>
          <w:spacing w:val="0"/>
          <w:w w:val="100"/>
          <w:sz w:val="32"/>
          <w:szCs w:val="32"/>
          <w:highlight w:val="none"/>
          <w:lang w:eastAsia="zh-CN"/>
        </w:rPr>
        <w:t>。</w:t>
      </w:r>
    </w:p>
    <w:p w14:paraId="00ACBE8A">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（1）县本级政府性基金预计完成支出61322万元，其中：地方政府专项债务付息支出9082万元；</w:t>
      </w:r>
    </w:p>
    <w:p w14:paraId="03631A4B">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（2）地方政府专项债务还本支出2694万元；</w:t>
      </w:r>
    </w:p>
    <w:p w14:paraId="68C25930">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（3）政府性基金上解支出42万元。</w:t>
      </w:r>
    </w:p>
    <w:p w14:paraId="24AB241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spacing w:val="0"/>
          <w:w w:val="100"/>
          <w:sz w:val="32"/>
          <w:szCs w:val="32"/>
          <w:highlight w:val="none"/>
        </w:rPr>
      </w:pPr>
      <w:r>
        <w:rPr>
          <w:rFonts w:hint="default" w:ascii="Times New Roman" w:hAnsi="Times New Roman" w:eastAsia="仿宋_GB2312" w:cs="Times New Roman"/>
          <w:b/>
          <w:bCs/>
          <w:color w:val="auto"/>
          <w:spacing w:val="0"/>
          <w:w w:val="100"/>
          <w:sz w:val="32"/>
          <w:szCs w:val="32"/>
          <w:highlight w:val="none"/>
        </w:rPr>
        <w:t>3</w:t>
      </w:r>
      <w:r>
        <w:rPr>
          <w:rFonts w:hint="eastAsia" w:ascii="Times New Roman" w:hAnsi="Times New Roman" w:eastAsia="仿宋_GB2312" w:cs="Times New Roman"/>
          <w:b/>
          <w:bCs/>
          <w:color w:val="auto"/>
          <w:spacing w:val="0"/>
          <w:w w:val="100"/>
          <w:sz w:val="32"/>
          <w:szCs w:val="32"/>
          <w:highlight w:val="none"/>
          <w:lang w:eastAsia="zh-CN"/>
        </w:rPr>
        <w:t>．</w:t>
      </w:r>
      <w:r>
        <w:rPr>
          <w:rFonts w:hint="default" w:ascii="Times New Roman" w:hAnsi="Times New Roman" w:eastAsia="仿宋_GB2312" w:cs="Times New Roman"/>
          <w:b/>
          <w:bCs/>
          <w:color w:val="auto"/>
          <w:spacing w:val="0"/>
          <w:w w:val="100"/>
          <w:sz w:val="32"/>
          <w:szCs w:val="32"/>
          <w:highlight w:val="none"/>
        </w:rPr>
        <w:t>平衡情况。</w:t>
      </w:r>
      <w:r>
        <w:rPr>
          <w:rFonts w:hint="default" w:ascii="Times New Roman" w:hAnsi="Times New Roman" w:eastAsia="仿宋_GB2312" w:cs="Times New Roman"/>
          <w:color w:val="auto"/>
          <w:spacing w:val="0"/>
          <w:w w:val="100"/>
          <w:sz w:val="32"/>
          <w:szCs w:val="32"/>
          <w:highlight w:val="none"/>
        </w:rPr>
        <w:t>收支两抵平衡。</w:t>
      </w:r>
    </w:p>
    <w:p w14:paraId="138718E5">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default" w:ascii="Times New Roman" w:hAnsi="Times New Roman" w:eastAsia="楷体_GB2312" w:cs="Times New Roman"/>
          <w:b/>
          <w:color w:val="auto"/>
          <w:spacing w:val="0"/>
          <w:w w:val="100"/>
          <w:sz w:val="32"/>
          <w:szCs w:val="32"/>
          <w:highlight w:val="none"/>
        </w:rPr>
      </w:pPr>
      <w:r>
        <w:rPr>
          <w:rFonts w:hint="default" w:ascii="Times New Roman" w:hAnsi="Times New Roman" w:eastAsia="楷体_GB2312" w:cs="Times New Roman"/>
          <w:b/>
          <w:color w:val="auto"/>
          <w:spacing w:val="0"/>
          <w:w w:val="100"/>
          <w:sz w:val="32"/>
          <w:szCs w:val="32"/>
          <w:highlight w:val="none"/>
        </w:rPr>
        <w:t>（三）</w:t>
      </w:r>
      <w:r>
        <w:rPr>
          <w:rFonts w:hint="default" w:ascii="Times New Roman" w:hAnsi="Times New Roman" w:eastAsia="楷体_GB2312" w:cs="Times New Roman"/>
          <w:b/>
          <w:bCs/>
          <w:color w:val="auto"/>
          <w:spacing w:val="0"/>
          <w:w w:val="100"/>
          <w:sz w:val="32"/>
          <w:szCs w:val="32"/>
          <w:highlight w:val="none"/>
        </w:rPr>
        <w:t>社会保险基金收支情况</w:t>
      </w:r>
    </w:p>
    <w:p w14:paraId="2BB5B3D1">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0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社会保险基金预算按照统筹层次和社会保险项目分别编制，做到收支平衡。</w:t>
      </w:r>
    </w:p>
    <w:p w14:paraId="3C1CB5C4">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2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 xml:space="preserve">2026年，全县社会保险基金收入37622万元，其中：社会保险费收入17777万元、财政补贴19550万元、转移收入263万元、利息等其他收入32万元；社会保险基金支出34230万元，本年收支结余3392万元，滚存结余30544万元。 </w:t>
      </w:r>
    </w:p>
    <w:p w14:paraId="422D75E1">
      <w:pPr>
        <w:pStyle w:val="7"/>
        <w:keepNext w:val="0"/>
        <w:keepLines w:val="0"/>
        <w:pageBreakBefore w:val="0"/>
        <w:widowControl w:val="0"/>
        <w:numPr>
          <w:ilvl w:val="0"/>
          <w:numId w:val="0"/>
        </w:numPr>
        <w:kinsoku/>
        <w:wordWrap/>
        <w:overflowPunct/>
        <w:topLinePunct w:val="0"/>
        <w:autoSpaceDE/>
        <w:autoSpaceDN/>
        <w:bidi w:val="0"/>
        <w:adjustRightInd w:val="0"/>
        <w:snapToGrid/>
        <w:spacing w:before="0" w:beforeAutospacing="0" w:after="0" w:afterAutospacing="0" w:line="620" w:lineRule="exact"/>
        <w:ind w:left="0" w:leftChars="0"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分险种来看：机关事业单位基本养老保险基金收入22696万元，支出22687万元；城乡居民基本养老保险基金收入14926万元，支出11543万元。</w:t>
      </w:r>
    </w:p>
    <w:p w14:paraId="23F6CB7B">
      <w:pPr>
        <w:pStyle w:val="7"/>
        <w:keepNext w:val="0"/>
        <w:keepLines w:val="0"/>
        <w:pageBreakBefore w:val="0"/>
        <w:widowControl w:val="0"/>
        <w:kinsoku/>
        <w:wordWrap/>
        <w:overflowPunct/>
        <w:topLinePunct w:val="0"/>
        <w:autoSpaceDE/>
        <w:autoSpaceDN/>
        <w:bidi w:val="0"/>
        <w:adjustRightInd/>
        <w:snapToGrid/>
        <w:spacing w:after="0" w:line="620" w:lineRule="exact"/>
        <w:ind w:left="0" w:leftChars="0" w:firstLine="643"/>
        <w:textAlignment w:val="auto"/>
        <w:rPr>
          <w:rFonts w:hint="eastAsia" w:ascii="楷体_GB2312" w:hAnsi="楷体_GB2312" w:eastAsia="楷体_GB2312" w:cs="楷体_GB2312"/>
          <w:b/>
          <w:bCs/>
          <w:color w:val="auto"/>
          <w:spacing w:val="0"/>
          <w:w w:val="100"/>
          <w:sz w:val="32"/>
          <w:szCs w:val="32"/>
          <w:highlight w:val="none"/>
        </w:rPr>
      </w:pPr>
      <w:r>
        <w:rPr>
          <w:rFonts w:hint="eastAsia" w:ascii="楷体_GB2312" w:hAnsi="楷体_GB2312" w:eastAsia="楷体_GB2312" w:cs="楷体_GB2312"/>
          <w:b/>
          <w:bCs/>
          <w:color w:val="auto"/>
          <w:spacing w:val="0"/>
          <w:w w:val="100"/>
          <w:sz w:val="32"/>
          <w:szCs w:val="32"/>
          <w:highlight w:val="none"/>
        </w:rPr>
        <w:t>（四）国有资本经营预算收支情况</w:t>
      </w:r>
    </w:p>
    <w:p w14:paraId="5E0B818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2026年，全县国有资本经营预算总收入预计完成305万元，其中：国有资本经营预算收入预计完成300万元，上级补助收入5万元。国有资本经营预算总支出预计完成305万元，收支平衡。</w:t>
      </w:r>
    </w:p>
    <w:p w14:paraId="3C72A0C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val="0"/>
          <w:bCs w:val="0"/>
          <w:color w:val="auto"/>
          <w:spacing w:val="0"/>
          <w:w w:val="100"/>
          <w:kern w:val="2"/>
          <w:sz w:val="32"/>
          <w:szCs w:val="32"/>
          <w:lang w:val="en-US" w:eastAsia="zh-CN" w:bidi="ar-SA"/>
        </w:rPr>
        <w:t>以上预算草案，请予以审查批准。预算执行过程中若遇重大政策性调整，再根据实际情况向县人大常委会报告。</w:t>
      </w:r>
    </w:p>
    <w:p w14:paraId="656EE8D7">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color w:val="auto"/>
          <w:spacing w:val="0"/>
          <w:w w:val="100"/>
          <w:sz w:val="32"/>
          <w:szCs w:val="32"/>
        </w:rPr>
      </w:pPr>
      <w:r>
        <w:rPr>
          <w:rFonts w:hint="default" w:ascii="Times New Roman" w:hAnsi="Times New Roman" w:eastAsia="黑体" w:cs="Times New Roman"/>
          <w:color w:val="auto"/>
          <w:spacing w:val="0"/>
          <w:w w:val="100"/>
          <w:sz w:val="32"/>
          <w:szCs w:val="32"/>
        </w:rPr>
        <w:t>四、完成202</w:t>
      </w:r>
      <w:r>
        <w:rPr>
          <w:rFonts w:hint="default" w:ascii="Times New Roman" w:hAnsi="Times New Roman" w:eastAsia="黑体" w:cs="Times New Roman"/>
          <w:color w:val="auto"/>
          <w:spacing w:val="0"/>
          <w:w w:val="100"/>
          <w:sz w:val="32"/>
          <w:szCs w:val="32"/>
          <w:lang w:val="en-US" w:eastAsia="zh-CN"/>
        </w:rPr>
        <w:t>6</w:t>
      </w:r>
      <w:r>
        <w:rPr>
          <w:rFonts w:hint="default" w:ascii="Times New Roman" w:hAnsi="Times New Roman" w:eastAsia="黑体" w:cs="Times New Roman"/>
          <w:color w:val="auto"/>
          <w:spacing w:val="0"/>
          <w:w w:val="100"/>
          <w:sz w:val="32"/>
          <w:szCs w:val="32"/>
        </w:rPr>
        <w:t>年预算的主要措施</w:t>
      </w:r>
    </w:p>
    <w:p w14:paraId="0DA6A13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rPr>
      </w:pPr>
      <w:r>
        <w:rPr>
          <w:rFonts w:hint="default" w:ascii="Times New Roman" w:hAnsi="Times New Roman" w:eastAsia="仿宋_GB2312" w:cs="Times New Roman"/>
          <w:color w:val="auto"/>
          <w:spacing w:val="0"/>
          <w:w w:val="100"/>
          <w:sz w:val="32"/>
          <w:szCs w:val="32"/>
        </w:rPr>
        <w:t>围绕全县总体工作思路，202</w:t>
      </w:r>
      <w:r>
        <w:rPr>
          <w:rFonts w:hint="default" w:ascii="Times New Roman" w:hAnsi="Times New Roman" w:eastAsia="仿宋_GB2312" w:cs="Times New Roman"/>
          <w:color w:val="auto"/>
          <w:spacing w:val="0"/>
          <w:w w:val="100"/>
          <w:sz w:val="32"/>
          <w:szCs w:val="32"/>
          <w:lang w:val="en-US" w:eastAsia="zh-CN"/>
        </w:rPr>
        <w:t>6</w:t>
      </w:r>
      <w:r>
        <w:rPr>
          <w:rFonts w:hint="default" w:ascii="Times New Roman" w:hAnsi="Times New Roman" w:eastAsia="仿宋_GB2312" w:cs="Times New Roman"/>
          <w:color w:val="auto"/>
          <w:spacing w:val="0"/>
          <w:w w:val="100"/>
          <w:sz w:val="32"/>
          <w:szCs w:val="32"/>
        </w:rPr>
        <w:t>年财政工作将重点抓好以下几个方面：</w:t>
      </w:r>
    </w:p>
    <w:p w14:paraId="2022CF5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20" w:lineRule="exact"/>
        <w:ind w:left="0" w:right="0" w:firstLine="643" w:firstLineChars="200"/>
        <w:jc w:val="both"/>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一是培植税源，着力壮大财政综合实力。</w:t>
      </w:r>
      <w:r>
        <w:rPr>
          <w:rFonts w:hint="default" w:ascii="Times New Roman" w:hAnsi="Times New Roman" w:eastAsia="仿宋_GB2312" w:cs="Times New Roman"/>
          <w:b w:val="0"/>
          <w:bCs w:val="0"/>
          <w:color w:val="auto"/>
          <w:spacing w:val="0"/>
          <w:w w:val="100"/>
          <w:kern w:val="2"/>
          <w:sz w:val="32"/>
          <w:szCs w:val="32"/>
          <w:lang w:val="en-US" w:eastAsia="zh-CN" w:bidi="ar-SA"/>
        </w:rPr>
        <w:t>科学分析研判收入影响因素，加强对重点行业、重点企业、重点税源的跟踪服务、动态监控，及时掌握收入进度和税源发展变化趋势，切实增强组织收入的主动性，确保税收收入应征尽征，均衡足额入库。密切关注政策动向，找准切入点和突破口，主动衔接汇报，全力争取上级政策资金支持，壮大可用财力。</w:t>
      </w:r>
    </w:p>
    <w:p w14:paraId="3F8707F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二是多措并举，着力防范财政运行风险。</w:t>
      </w:r>
      <w:r>
        <w:rPr>
          <w:rFonts w:hint="default" w:ascii="Times New Roman" w:hAnsi="Times New Roman" w:eastAsia="仿宋_GB2312" w:cs="Times New Roman"/>
          <w:b w:val="0"/>
          <w:bCs w:val="0"/>
          <w:color w:val="auto"/>
          <w:spacing w:val="0"/>
          <w:w w:val="100"/>
          <w:kern w:val="2"/>
          <w:sz w:val="32"/>
          <w:szCs w:val="32"/>
          <w:lang w:val="en-US" w:eastAsia="zh-CN" w:bidi="ar-SA"/>
        </w:rPr>
        <w:t>压紧压实</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三保</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责任，完善</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三保</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预算编审、执行、库款保障监测机制，形成闭环管理，防范</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三保</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风险。防范化解政府债务风险，健全政府隐性债务常态化监测机制，严格执行化债方案，稳妥化解存量隐性债务。完善制度建设，强化监督问责，坚决遏制新增隐性债务。严格政府债务限额管理，确保规模适度、风险可控。切实履行好财会监督职能，加大财政资金监管力度，严肃财经纪律，推动财经纪律成为不可触碰的</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高压线</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w:t>
      </w:r>
    </w:p>
    <w:p w14:paraId="18938C5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43" w:firstLineChars="200"/>
        <w:jc w:val="both"/>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三是统筹兼顾，着力保障民生政策落实。</w:t>
      </w:r>
      <w:r>
        <w:rPr>
          <w:rFonts w:hint="default" w:ascii="Times New Roman" w:hAnsi="Times New Roman" w:eastAsia="仿宋_GB2312" w:cs="Times New Roman"/>
          <w:b w:val="0"/>
          <w:bCs w:val="0"/>
          <w:color w:val="auto"/>
          <w:spacing w:val="0"/>
          <w:w w:val="100"/>
          <w:kern w:val="2"/>
          <w:sz w:val="32"/>
          <w:szCs w:val="32"/>
          <w:lang w:val="en-US" w:eastAsia="zh-CN" w:bidi="ar-SA"/>
        </w:rPr>
        <w:t>把过</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紧日子</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要求贯穿于预算执行全过程，既充分保障必要支出需求，又从严从紧把好支出关口，硬化预算约束，严控一般性支出，把更多财政资源腾挪出来，保障和改善基本民生。严控追加预算，部门新增支出优先通过部门现有预算调剂解决。大力盘活部门存量资金，加强和规范闲置资产管理，把资源用在发展紧要处、民生急需事。</w:t>
      </w:r>
    </w:p>
    <w:p w14:paraId="2E30F04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color w:val="auto"/>
          <w:spacing w:val="0"/>
          <w:w w:val="100"/>
          <w:kern w:val="2"/>
          <w:sz w:val="32"/>
          <w:szCs w:val="32"/>
          <w:lang w:val="en-US" w:eastAsia="zh-CN" w:bidi="ar-SA"/>
        </w:rPr>
      </w:pPr>
      <w:r>
        <w:rPr>
          <w:rFonts w:hint="default" w:ascii="Times New Roman" w:hAnsi="Times New Roman" w:eastAsia="仿宋_GB2312" w:cs="Times New Roman"/>
          <w:b/>
          <w:bCs/>
          <w:spacing w:val="0"/>
          <w:w w:val="100"/>
          <w:kern w:val="0"/>
          <w:sz w:val="32"/>
          <w:szCs w:val="32"/>
          <w:lang w:val="en-US" w:eastAsia="zh-CN" w:bidi="ar-SA"/>
        </w:rPr>
        <w:t>四是深化改革，着力提高服务发展能力。</w:t>
      </w:r>
      <w:r>
        <w:rPr>
          <w:rFonts w:hint="default" w:ascii="Times New Roman" w:hAnsi="Times New Roman" w:eastAsia="仿宋_GB2312" w:cs="Times New Roman"/>
          <w:b w:val="0"/>
          <w:bCs w:val="0"/>
          <w:color w:val="auto"/>
          <w:spacing w:val="0"/>
          <w:w w:val="100"/>
          <w:kern w:val="2"/>
          <w:sz w:val="32"/>
          <w:szCs w:val="32"/>
          <w:lang w:val="en-US" w:eastAsia="zh-CN" w:bidi="ar-SA"/>
        </w:rPr>
        <w:t>持续推进深化零基预算改革。进一步深化零基预算改革举措，强化财政资源、支出政策、绩效管理三大统筹，打破</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基数</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的固化观念，构建</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该保必保、应省尽省、讲求绩效</w:t>
      </w:r>
      <w:r>
        <w:rPr>
          <w:rFonts w:hint="eastAsia" w:ascii="Times New Roman" w:hAnsi="Times New Roman" w:eastAsia="仿宋_GB2312" w:cs="Times New Roman"/>
          <w:b w:val="0"/>
          <w:bCs w:val="0"/>
          <w:color w:val="auto"/>
          <w:spacing w:val="0"/>
          <w:w w:val="100"/>
          <w:kern w:val="2"/>
          <w:sz w:val="32"/>
          <w:szCs w:val="32"/>
          <w:lang w:val="en-US" w:eastAsia="zh-CN" w:bidi="ar-SA"/>
        </w:rPr>
        <w:t>”</w:t>
      </w:r>
      <w:r>
        <w:rPr>
          <w:rFonts w:hint="default" w:ascii="Times New Roman" w:hAnsi="Times New Roman" w:eastAsia="仿宋_GB2312" w:cs="Times New Roman"/>
          <w:b w:val="0"/>
          <w:bCs w:val="0"/>
          <w:color w:val="auto"/>
          <w:spacing w:val="0"/>
          <w:w w:val="100"/>
          <w:kern w:val="2"/>
          <w:sz w:val="32"/>
          <w:szCs w:val="32"/>
          <w:lang w:val="en-US" w:eastAsia="zh-CN" w:bidi="ar-SA"/>
        </w:rPr>
        <w:t>的资金管理体制。强化预算绩效管理。加强全过程绩效管理，强化对重大政策、项目的事前绩效评估。突出预算绩效管理重点，加强财政政策评估评价，增强政策可行性和财政可持续性。</w:t>
      </w:r>
    </w:p>
    <w:p w14:paraId="786E46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r>
        <w:rPr>
          <w:rFonts w:hint="default" w:ascii="Times New Roman" w:hAnsi="Times New Roman" w:eastAsia="仿宋_GB2312" w:cs="Times New Roman"/>
          <w:b w:val="0"/>
          <w:bCs/>
          <w:color w:val="auto"/>
          <w:spacing w:val="0"/>
          <w:w w:val="100"/>
          <w:sz w:val="32"/>
          <w:szCs w:val="32"/>
          <w:lang w:eastAsia="zh-CN"/>
        </w:rPr>
        <w:t>各位代表，</w:t>
      </w:r>
      <w:r>
        <w:rPr>
          <w:rFonts w:hint="default" w:ascii="Times New Roman" w:hAnsi="Times New Roman" w:eastAsia="仿宋_GB2312" w:cs="Times New Roman"/>
          <w:color w:val="auto"/>
          <w:spacing w:val="0"/>
          <w:w w:val="100"/>
          <w:sz w:val="32"/>
          <w:szCs w:val="32"/>
          <w:lang w:eastAsia="zh-CN"/>
        </w:rPr>
        <w:t>做好</w:t>
      </w:r>
      <w:r>
        <w:rPr>
          <w:rFonts w:hint="default" w:ascii="Times New Roman" w:hAnsi="Times New Roman" w:eastAsia="仿宋_GB2312" w:cs="Times New Roman"/>
          <w:color w:val="auto"/>
          <w:spacing w:val="0"/>
          <w:w w:val="100"/>
          <w:sz w:val="32"/>
          <w:szCs w:val="32"/>
          <w:lang w:val="en-US" w:eastAsia="zh-CN"/>
        </w:rPr>
        <w:t>2026年财政工作任务艰巨，意义重大，使命光荣。</w:t>
      </w:r>
      <w:r>
        <w:rPr>
          <w:rFonts w:hint="default" w:ascii="Times New Roman" w:hAnsi="Times New Roman" w:eastAsia="仿宋_GB2312" w:cs="Times New Roman"/>
          <w:color w:val="auto"/>
          <w:spacing w:val="0"/>
          <w:w w:val="100"/>
          <w:sz w:val="32"/>
          <w:szCs w:val="32"/>
        </w:rPr>
        <w:t>我们将更加紧密地团结在以习近平同志为核心的党中央周围，在县委</w:t>
      </w:r>
      <w:r>
        <w:rPr>
          <w:rFonts w:hint="default" w:ascii="Times New Roman" w:hAnsi="Times New Roman" w:eastAsia="仿宋_GB2312" w:cs="Times New Roman"/>
          <w:color w:val="auto"/>
          <w:spacing w:val="0"/>
          <w:w w:val="100"/>
          <w:sz w:val="32"/>
          <w:szCs w:val="32"/>
          <w:lang w:eastAsia="zh-CN"/>
        </w:rPr>
        <w:t>、县政府</w:t>
      </w:r>
      <w:r>
        <w:rPr>
          <w:rFonts w:hint="default" w:ascii="Times New Roman" w:hAnsi="Times New Roman" w:eastAsia="仿宋_GB2312" w:cs="Times New Roman"/>
          <w:color w:val="auto"/>
          <w:spacing w:val="0"/>
          <w:w w:val="100"/>
          <w:sz w:val="32"/>
          <w:szCs w:val="32"/>
        </w:rPr>
        <w:t>的坚强领导下，依法主动接受</w:t>
      </w:r>
      <w:r>
        <w:rPr>
          <w:rFonts w:hint="default" w:ascii="Times New Roman" w:hAnsi="Times New Roman" w:eastAsia="仿宋_GB2312" w:cs="Times New Roman"/>
          <w:color w:val="auto"/>
          <w:spacing w:val="0"/>
          <w:w w:val="100"/>
          <w:sz w:val="32"/>
          <w:szCs w:val="32"/>
          <w:lang w:eastAsia="zh-CN"/>
        </w:rPr>
        <w:t>县</w:t>
      </w:r>
      <w:r>
        <w:rPr>
          <w:rFonts w:hint="default" w:ascii="Times New Roman" w:hAnsi="Times New Roman" w:eastAsia="仿宋_GB2312" w:cs="Times New Roman"/>
          <w:color w:val="auto"/>
          <w:spacing w:val="0"/>
          <w:w w:val="100"/>
          <w:sz w:val="32"/>
          <w:szCs w:val="32"/>
        </w:rPr>
        <w:t>人大</w:t>
      </w:r>
      <w:r>
        <w:rPr>
          <w:rFonts w:hint="default"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val="en-US" w:eastAsia="zh-CN"/>
        </w:rPr>
        <w:t>县</w:t>
      </w:r>
      <w:r>
        <w:rPr>
          <w:rFonts w:hint="default" w:ascii="Times New Roman" w:hAnsi="Times New Roman" w:eastAsia="仿宋_GB2312" w:cs="Times New Roman"/>
          <w:color w:val="auto"/>
          <w:spacing w:val="0"/>
          <w:w w:val="100"/>
          <w:sz w:val="32"/>
          <w:szCs w:val="32"/>
        </w:rPr>
        <w:t>政协以及社会各界的监督，严格执行本次</w:t>
      </w:r>
      <w:r>
        <w:rPr>
          <w:rFonts w:hint="default" w:ascii="Times New Roman" w:hAnsi="Times New Roman" w:eastAsia="仿宋_GB2312" w:cs="Times New Roman"/>
          <w:color w:val="auto"/>
          <w:spacing w:val="0"/>
          <w:w w:val="100"/>
          <w:sz w:val="32"/>
          <w:szCs w:val="32"/>
          <w:lang w:eastAsia="zh-CN"/>
        </w:rPr>
        <w:t>会议</w:t>
      </w:r>
      <w:r>
        <w:rPr>
          <w:rFonts w:hint="default" w:ascii="Times New Roman" w:hAnsi="Times New Roman" w:eastAsia="仿宋_GB2312" w:cs="Times New Roman"/>
          <w:color w:val="auto"/>
          <w:spacing w:val="0"/>
          <w:w w:val="100"/>
          <w:sz w:val="32"/>
          <w:szCs w:val="32"/>
        </w:rPr>
        <w:t>决议和要求，迎难而上、</w:t>
      </w:r>
      <w:r>
        <w:rPr>
          <w:rFonts w:hint="default" w:ascii="Times New Roman" w:hAnsi="Times New Roman" w:eastAsia="仿宋_GB2312" w:cs="Times New Roman"/>
          <w:color w:val="auto"/>
          <w:spacing w:val="0"/>
          <w:w w:val="100"/>
          <w:sz w:val="32"/>
          <w:szCs w:val="32"/>
          <w:lang w:eastAsia="zh-CN"/>
        </w:rPr>
        <w:t>苦干</w:t>
      </w:r>
      <w:r>
        <w:rPr>
          <w:rFonts w:hint="default" w:ascii="Times New Roman" w:hAnsi="Times New Roman" w:eastAsia="仿宋_GB2312" w:cs="Times New Roman"/>
          <w:color w:val="auto"/>
          <w:spacing w:val="0"/>
          <w:w w:val="100"/>
          <w:sz w:val="32"/>
          <w:szCs w:val="32"/>
        </w:rPr>
        <w:t>实干，</w:t>
      </w:r>
      <w:r>
        <w:rPr>
          <w:rFonts w:hint="default" w:ascii="Times New Roman" w:hAnsi="Times New Roman" w:eastAsia="仿宋_GB2312" w:cs="Times New Roman"/>
          <w:color w:val="auto"/>
          <w:spacing w:val="0"/>
          <w:w w:val="100"/>
          <w:sz w:val="32"/>
          <w:szCs w:val="32"/>
          <w:lang w:eastAsia="zh-CN"/>
        </w:rPr>
        <w:t>努力完成各项目标任务，为奋勇推进</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eastAsia="zh-CN"/>
        </w:rPr>
        <w:t>四县建设</w:t>
      </w:r>
      <w:r>
        <w:rPr>
          <w:rFonts w:hint="eastAsia" w:ascii="Times New Roman" w:hAnsi="Times New Roman" w:eastAsia="仿宋_GB2312" w:cs="Times New Roman"/>
          <w:color w:val="auto"/>
          <w:spacing w:val="0"/>
          <w:w w:val="100"/>
          <w:sz w:val="32"/>
          <w:szCs w:val="32"/>
          <w:lang w:eastAsia="zh-CN"/>
        </w:rPr>
        <w:t>”</w:t>
      </w:r>
      <w:r>
        <w:rPr>
          <w:rFonts w:hint="default" w:ascii="Times New Roman" w:hAnsi="Times New Roman" w:eastAsia="仿宋_GB2312" w:cs="Times New Roman"/>
          <w:color w:val="auto"/>
          <w:spacing w:val="0"/>
          <w:w w:val="100"/>
          <w:sz w:val="32"/>
          <w:szCs w:val="32"/>
          <w:lang w:eastAsia="zh-CN"/>
        </w:rPr>
        <w:t>提供坚实的财力保障。</w:t>
      </w:r>
    </w:p>
    <w:p w14:paraId="7431CF0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26DE6EF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1C0A3CF8">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564A6FC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7B76F15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7958B1F6">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40D40B0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0E7F344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2B6591BB">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45A56CA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auto"/>
          <w:spacing w:val="0"/>
          <w:w w:val="100"/>
          <w:sz w:val="32"/>
          <w:szCs w:val="32"/>
          <w:lang w:eastAsia="zh-CN"/>
        </w:rPr>
      </w:pPr>
    </w:p>
    <w:p w14:paraId="282B99EC">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仿宋_GB2312" w:cs="Times New Roman"/>
          <w:color w:val="auto"/>
          <w:spacing w:val="0"/>
          <w:w w:val="100"/>
          <w:sz w:val="32"/>
          <w:szCs w:val="32"/>
          <w:lang w:eastAsia="zh-CN"/>
        </w:rPr>
      </w:pPr>
    </w:p>
    <w:p w14:paraId="776CA9E5">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Times New Roman" w:hAnsi="Times New Roman" w:eastAsia="仿宋_GB2312" w:cs="Times New Roman"/>
          <w:color w:val="auto"/>
          <w:spacing w:val="0"/>
          <w:w w:val="100"/>
          <w:sz w:val="32"/>
          <w:szCs w:val="32"/>
          <w:lang w:val="en-US" w:eastAsia="zh-CN"/>
        </w:rPr>
      </w:pPr>
      <w:bookmarkStart w:id="0" w:name="_GoBack"/>
      <w:bookmarkEnd w:id="0"/>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8FF2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068070">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068070">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ZTUzMjk4MGY4N2IzNDhkNTExN2YzOTljMWVhMTIifQ=="/>
  </w:docVars>
  <w:rsids>
    <w:rsidRoot w:val="79E12EBC"/>
    <w:rsid w:val="000F59FD"/>
    <w:rsid w:val="008F45EC"/>
    <w:rsid w:val="010C1F82"/>
    <w:rsid w:val="02B01361"/>
    <w:rsid w:val="03BB57E7"/>
    <w:rsid w:val="0488238D"/>
    <w:rsid w:val="065645EB"/>
    <w:rsid w:val="06F44109"/>
    <w:rsid w:val="073B0BC6"/>
    <w:rsid w:val="09271D90"/>
    <w:rsid w:val="0A676FB2"/>
    <w:rsid w:val="0D395A18"/>
    <w:rsid w:val="10D1683B"/>
    <w:rsid w:val="15640325"/>
    <w:rsid w:val="157955E3"/>
    <w:rsid w:val="17BA08F6"/>
    <w:rsid w:val="1A387913"/>
    <w:rsid w:val="1A554327"/>
    <w:rsid w:val="1AD4308C"/>
    <w:rsid w:val="1C192321"/>
    <w:rsid w:val="1C7B548B"/>
    <w:rsid w:val="1DE87F80"/>
    <w:rsid w:val="1DF01E9A"/>
    <w:rsid w:val="1DF226B4"/>
    <w:rsid w:val="1EE0121F"/>
    <w:rsid w:val="1FF540F7"/>
    <w:rsid w:val="21486A72"/>
    <w:rsid w:val="24372B9E"/>
    <w:rsid w:val="267F0B87"/>
    <w:rsid w:val="269A1DF1"/>
    <w:rsid w:val="29914279"/>
    <w:rsid w:val="299856D8"/>
    <w:rsid w:val="299E1B49"/>
    <w:rsid w:val="2BCF71A7"/>
    <w:rsid w:val="2C244DF9"/>
    <w:rsid w:val="2CC200AC"/>
    <w:rsid w:val="2D8D3ECA"/>
    <w:rsid w:val="2E364F17"/>
    <w:rsid w:val="2E496458"/>
    <w:rsid w:val="2FF130FC"/>
    <w:rsid w:val="30E11B6A"/>
    <w:rsid w:val="33CD3272"/>
    <w:rsid w:val="367D5EE9"/>
    <w:rsid w:val="37A4253C"/>
    <w:rsid w:val="392D1B7A"/>
    <w:rsid w:val="393D49F6"/>
    <w:rsid w:val="3B2236F9"/>
    <w:rsid w:val="3C600434"/>
    <w:rsid w:val="3EF2525D"/>
    <w:rsid w:val="412D0DD2"/>
    <w:rsid w:val="434A2D9B"/>
    <w:rsid w:val="443D0E19"/>
    <w:rsid w:val="45182E8B"/>
    <w:rsid w:val="4556633E"/>
    <w:rsid w:val="45A454A8"/>
    <w:rsid w:val="46B30020"/>
    <w:rsid w:val="46EA7D25"/>
    <w:rsid w:val="49A87567"/>
    <w:rsid w:val="49BC4461"/>
    <w:rsid w:val="4A721510"/>
    <w:rsid w:val="4B8464B4"/>
    <w:rsid w:val="4E3B71D7"/>
    <w:rsid w:val="50670F5F"/>
    <w:rsid w:val="5146304F"/>
    <w:rsid w:val="53227D3C"/>
    <w:rsid w:val="535D0636"/>
    <w:rsid w:val="55411CEA"/>
    <w:rsid w:val="569F2107"/>
    <w:rsid w:val="583369B4"/>
    <w:rsid w:val="599A4496"/>
    <w:rsid w:val="59ED0AAE"/>
    <w:rsid w:val="5C1D5966"/>
    <w:rsid w:val="5DD956B5"/>
    <w:rsid w:val="5E085C0C"/>
    <w:rsid w:val="601644B3"/>
    <w:rsid w:val="604F0BB6"/>
    <w:rsid w:val="6092306B"/>
    <w:rsid w:val="628162E9"/>
    <w:rsid w:val="6444420E"/>
    <w:rsid w:val="64F35BEA"/>
    <w:rsid w:val="65A97559"/>
    <w:rsid w:val="6A356EA0"/>
    <w:rsid w:val="6BF6265F"/>
    <w:rsid w:val="6E0332E1"/>
    <w:rsid w:val="6EDB7958"/>
    <w:rsid w:val="6FC97239"/>
    <w:rsid w:val="7124002F"/>
    <w:rsid w:val="71F87147"/>
    <w:rsid w:val="72A52525"/>
    <w:rsid w:val="749B3DA3"/>
    <w:rsid w:val="76AF33BA"/>
    <w:rsid w:val="78F167BC"/>
    <w:rsid w:val="79D31AEC"/>
    <w:rsid w:val="79E12EBC"/>
    <w:rsid w:val="7A9862C5"/>
    <w:rsid w:val="7ACF541E"/>
    <w:rsid w:val="7B9C4360"/>
    <w:rsid w:val="7E027BE5"/>
    <w:rsid w:val="7EA06B86"/>
    <w:rsid w:val="7FCB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sz w:val="21"/>
    </w:r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kern w:val="0"/>
      <w:sz w:val="24"/>
    </w:rPr>
  </w:style>
  <w:style w:type="paragraph" w:styleId="7">
    <w:name w:val="Body Text First Indent 2"/>
    <w:basedOn w:val="3"/>
    <w:next w:val="1"/>
    <w:qFormat/>
    <w:uiPriority w:val="0"/>
    <w:pPr>
      <w:ind w:firstLine="420" w:firstLineChars="200"/>
    </w:pPr>
  </w:style>
  <w:style w:type="paragraph" w:styleId="10">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11">
    <w:name w:val="font71"/>
    <w:basedOn w:val="9"/>
    <w:qFormat/>
    <w:uiPriority w:val="0"/>
    <w:rPr>
      <w:rFonts w:hint="eastAsia" w:ascii="宋体" w:hAnsi="宋体" w:eastAsia="宋体" w:cs="宋体"/>
      <w:color w:val="000000"/>
      <w:sz w:val="18"/>
      <w:szCs w:val="18"/>
      <w:u w:val="none"/>
    </w:rPr>
  </w:style>
  <w:style w:type="character" w:customStyle="1" w:styleId="12">
    <w:name w:val="font21"/>
    <w:basedOn w:val="9"/>
    <w:qFormat/>
    <w:uiPriority w:val="0"/>
    <w:rPr>
      <w:rFonts w:hint="default" w:ascii="Times New Roman" w:hAnsi="Times New Roman" w:cs="Times New Roman"/>
      <w:color w:val="000000"/>
      <w:sz w:val="18"/>
      <w:szCs w:val="18"/>
      <w:u w:val="none"/>
    </w:rPr>
  </w:style>
  <w:style w:type="character" w:customStyle="1" w:styleId="13">
    <w:name w:val="font81"/>
    <w:basedOn w:val="9"/>
    <w:qFormat/>
    <w:uiPriority w:val="0"/>
    <w:rPr>
      <w:rFonts w:hint="eastAsia" w:ascii="宋体" w:hAnsi="宋体" w:eastAsia="宋体" w:cs="宋体"/>
      <w:color w:val="000000"/>
      <w:sz w:val="16"/>
      <w:szCs w:val="16"/>
      <w:u w:val="none"/>
    </w:rPr>
  </w:style>
  <w:style w:type="character" w:customStyle="1" w:styleId="14">
    <w:name w:val="font91"/>
    <w:basedOn w:val="9"/>
    <w:qFormat/>
    <w:uiPriority w:val="0"/>
    <w:rPr>
      <w:rFonts w:hint="eastAsia" w:ascii="宋体" w:hAnsi="宋体" w:eastAsia="宋体" w:cs="宋体"/>
      <w:b/>
      <w:bCs/>
      <w:color w:val="000000"/>
      <w:sz w:val="18"/>
      <w:szCs w:val="18"/>
      <w:u w:val="none"/>
    </w:rPr>
  </w:style>
  <w:style w:type="character" w:customStyle="1" w:styleId="15">
    <w:name w:val="font12"/>
    <w:basedOn w:val="9"/>
    <w:qFormat/>
    <w:uiPriority w:val="0"/>
    <w:rPr>
      <w:rFonts w:hint="default" w:ascii="Times New Roman" w:hAnsi="Times New Roman" w:cs="Times New Roman"/>
      <w:color w:val="000000"/>
      <w:sz w:val="18"/>
      <w:szCs w:val="18"/>
      <w:u w:val="none"/>
    </w:rPr>
  </w:style>
  <w:style w:type="character" w:customStyle="1" w:styleId="16">
    <w:name w:val="font51"/>
    <w:basedOn w:val="9"/>
    <w:qFormat/>
    <w:uiPriority w:val="0"/>
    <w:rPr>
      <w:rFonts w:hint="eastAsia" w:ascii="方正小标宋_GBK" w:hAnsi="方正小标宋_GBK" w:eastAsia="方正小标宋_GBK" w:cs="方正小标宋_GBK"/>
      <w:color w:val="000000"/>
      <w:sz w:val="18"/>
      <w:szCs w:val="18"/>
      <w:u w:val="none"/>
    </w:rPr>
  </w:style>
  <w:style w:type="character" w:customStyle="1" w:styleId="17">
    <w:name w:val="font11"/>
    <w:basedOn w:val="9"/>
    <w:qFormat/>
    <w:uiPriority w:val="0"/>
    <w:rPr>
      <w:rFonts w:hint="default" w:ascii="Times New Roman" w:hAnsi="Times New Roman" w:cs="Times New Roman"/>
      <w:color w:val="000000"/>
      <w:sz w:val="18"/>
      <w:szCs w:val="18"/>
      <w:u w:val="none"/>
    </w:rPr>
  </w:style>
  <w:style w:type="character" w:customStyle="1" w:styleId="18">
    <w:name w:val="font111"/>
    <w:basedOn w:val="9"/>
    <w:qFormat/>
    <w:uiPriority w:val="0"/>
    <w:rPr>
      <w:rFonts w:hint="eastAsia" w:ascii="宋体" w:hAnsi="宋体" w:eastAsia="宋体" w:cs="宋体"/>
      <w:color w:val="000000"/>
      <w:sz w:val="18"/>
      <w:szCs w:val="18"/>
      <w:u w:val="none"/>
    </w:rPr>
  </w:style>
  <w:style w:type="character" w:customStyle="1" w:styleId="19">
    <w:name w:val="font122"/>
    <w:basedOn w:val="9"/>
    <w:qFormat/>
    <w:uiPriority w:val="0"/>
    <w:rPr>
      <w:rFonts w:ascii="黑体" w:hAnsi="宋体" w:eastAsia="黑体" w:cs="黑体"/>
      <w:color w:val="000000"/>
      <w:sz w:val="20"/>
      <w:szCs w:val="20"/>
      <w:u w:val="none"/>
    </w:rPr>
  </w:style>
  <w:style w:type="character" w:customStyle="1" w:styleId="20">
    <w:name w:val="font41"/>
    <w:basedOn w:val="9"/>
    <w:qFormat/>
    <w:uiPriority w:val="0"/>
    <w:rPr>
      <w:rFonts w:hint="default" w:ascii="Times New Roman" w:hAnsi="Times New Roman" w:cs="Times New Roman"/>
      <w:color w:val="000000"/>
      <w:sz w:val="20"/>
      <w:szCs w:val="20"/>
      <w:u w:val="none"/>
    </w:rPr>
  </w:style>
  <w:style w:type="character" w:customStyle="1" w:styleId="21">
    <w:name w:val="font101"/>
    <w:basedOn w:val="9"/>
    <w:qFormat/>
    <w:uiPriority w:val="0"/>
    <w:rPr>
      <w:rFonts w:hint="eastAsia" w:ascii="宋体" w:hAnsi="宋体" w:eastAsia="宋体" w:cs="宋体"/>
      <w:color w:val="000000"/>
      <w:sz w:val="18"/>
      <w:szCs w:val="18"/>
      <w:u w:val="none"/>
    </w:rPr>
  </w:style>
  <w:style w:type="character" w:customStyle="1" w:styleId="22">
    <w:name w:val="font151"/>
    <w:basedOn w:val="9"/>
    <w:qFormat/>
    <w:uiPriority w:val="0"/>
    <w:rPr>
      <w:rFonts w:hint="eastAsia" w:ascii="黑体" w:hAnsi="宋体" w:eastAsia="黑体" w:cs="黑体"/>
      <w:color w:val="000000"/>
      <w:sz w:val="20"/>
      <w:szCs w:val="20"/>
      <w:u w:val="none"/>
    </w:rPr>
  </w:style>
  <w:style w:type="character" w:customStyle="1" w:styleId="23">
    <w:name w:val="font161"/>
    <w:basedOn w:val="9"/>
    <w:qFormat/>
    <w:uiPriority w:val="0"/>
    <w:rPr>
      <w:rFonts w:hint="eastAsia" w:ascii="黑体" w:hAnsi="宋体" w:eastAsia="黑体" w:cs="黑体"/>
      <w:color w:val="000000"/>
      <w:sz w:val="20"/>
      <w:szCs w:val="20"/>
      <w:u w:val="none"/>
    </w:rPr>
  </w:style>
  <w:style w:type="character" w:customStyle="1" w:styleId="24">
    <w:name w:val="font141"/>
    <w:basedOn w:val="9"/>
    <w:qFormat/>
    <w:uiPriority w:val="0"/>
    <w:rPr>
      <w:rFonts w:hint="eastAsia" w:ascii="宋体" w:hAnsi="宋体" w:eastAsia="宋体" w:cs="宋体"/>
      <w:color w:val="000000"/>
      <w:sz w:val="18"/>
      <w:szCs w:val="18"/>
      <w:u w:val="none"/>
    </w:rPr>
  </w:style>
  <w:style w:type="character" w:customStyle="1" w:styleId="25">
    <w:name w:val="font13"/>
    <w:basedOn w:val="9"/>
    <w:qFormat/>
    <w:uiPriority w:val="0"/>
    <w:rPr>
      <w:rFonts w:hint="default" w:ascii="Times New Roman" w:hAnsi="Times New Roman" w:cs="Times New Roman"/>
      <w:color w:val="000000"/>
      <w:sz w:val="18"/>
      <w:szCs w:val="18"/>
      <w:u w:val="none"/>
    </w:rPr>
  </w:style>
  <w:style w:type="character" w:customStyle="1" w:styleId="26">
    <w:name w:val="font131"/>
    <w:basedOn w:val="9"/>
    <w:qFormat/>
    <w:uiPriority w:val="0"/>
    <w:rPr>
      <w:rFonts w:ascii="黑体" w:hAnsi="宋体" w:eastAsia="黑体" w:cs="黑体"/>
      <w:color w:val="000000"/>
      <w:sz w:val="20"/>
      <w:szCs w:val="20"/>
      <w:u w:val="none"/>
    </w:rPr>
  </w:style>
  <w:style w:type="character" w:customStyle="1" w:styleId="27">
    <w:name w:val="font121"/>
    <w:basedOn w:val="9"/>
    <w:qFormat/>
    <w:uiPriority w:val="0"/>
    <w:rPr>
      <w:rFonts w:hint="default" w:ascii="Times New Roman" w:hAnsi="Times New Roman" w:cs="Times New Roman"/>
      <w:color w:val="000000"/>
      <w:sz w:val="20"/>
      <w:szCs w:val="20"/>
      <w:u w:val="none"/>
    </w:rPr>
  </w:style>
  <w:style w:type="character" w:customStyle="1" w:styleId="28">
    <w:name w:val="font112"/>
    <w:basedOn w:val="9"/>
    <w:qFormat/>
    <w:uiPriority w:val="0"/>
    <w:rPr>
      <w:rFonts w:hint="eastAsia" w:ascii="宋体" w:hAnsi="宋体" w:eastAsia="宋体" w:cs="宋体"/>
      <w:color w:val="000000"/>
      <w:sz w:val="18"/>
      <w:szCs w:val="18"/>
      <w:u w:val="none"/>
    </w:rPr>
  </w:style>
  <w:style w:type="character" w:customStyle="1" w:styleId="29">
    <w:name w:val="font61"/>
    <w:basedOn w:val="9"/>
    <w:qFormat/>
    <w:uiPriority w:val="0"/>
    <w:rPr>
      <w:rFonts w:hint="default" w:ascii="Times New Roman" w:hAnsi="Times New Roman" w:cs="Times New Roman"/>
      <w:color w:val="000000"/>
      <w:sz w:val="20"/>
      <w:szCs w:val="20"/>
      <w:u w:val="none"/>
    </w:rPr>
  </w:style>
  <w:style w:type="character" w:customStyle="1" w:styleId="30">
    <w:name w:val="font31"/>
    <w:basedOn w:val="9"/>
    <w:qFormat/>
    <w:uiPriority w:val="0"/>
    <w:rPr>
      <w:rFonts w:hint="default" w:ascii="Times New Roman" w:hAnsi="Times New Roman" w:cs="Times New Roman"/>
      <w:color w:val="000000"/>
      <w:sz w:val="18"/>
      <w:szCs w:val="18"/>
      <w:u w:val="none"/>
    </w:rPr>
  </w:style>
  <w:style w:type="character" w:customStyle="1" w:styleId="31">
    <w:name w:val="font171"/>
    <w:basedOn w:val="9"/>
    <w:qFormat/>
    <w:uiPriority w:val="0"/>
    <w:rPr>
      <w:rFonts w:hint="default" w:ascii="Times New Roman" w:hAnsi="Times New Roman" w:cs="Times New Roman"/>
      <w:color w:val="000000"/>
      <w:sz w:val="20"/>
      <w:szCs w:val="20"/>
      <w:u w:val="none"/>
    </w:rPr>
  </w:style>
  <w:style w:type="character" w:customStyle="1" w:styleId="32">
    <w:name w:val="font181"/>
    <w:basedOn w:val="9"/>
    <w:qFormat/>
    <w:uiPriority w:val="0"/>
    <w:rPr>
      <w:rFonts w:hint="eastAsia" w:ascii="宋体" w:hAnsi="宋体" w:eastAsia="宋体" w:cs="宋体"/>
      <w:color w:val="000000"/>
      <w:sz w:val="20"/>
      <w:szCs w:val="20"/>
      <w:u w:val="none"/>
    </w:rPr>
  </w:style>
  <w:style w:type="character" w:customStyle="1" w:styleId="33">
    <w:name w:val="font191"/>
    <w:basedOn w:val="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6779</Words>
  <Characters>7550</Characters>
  <Lines>0</Lines>
  <Paragraphs>0</Paragraphs>
  <TotalTime>65</TotalTime>
  <ScaleCrop>false</ScaleCrop>
  <LinksUpToDate>false</LinksUpToDate>
  <CharactersWithSpaces>7572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2024-11-18T03:14:00Z</dcterms:created>
  <dc:creator>甫</dc:creator>
  <cp:lastModifiedBy>甫</cp:lastModifiedBy>
  <cp:lastPrinted>2025-12-16T05:52:00Z</cp:lastPrinted>
  <dcterms:modified xsi:type="dcterms:W3CDTF">2026-03-27T01:29:03Z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0EE12EA5E5BC4239B4FF12355B2320C4_13</vt:lpwstr>
  </property>
  <property fmtid="{D5CDD505-2E9C-101B-9397-08002B2CF9AE}" pid="4" name="KSOTemplateDocerSaveRecord">
    <vt:lpwstr>eyJoZGlkIjoiNmJjZTUzMjk4MGY4N2IzNDhkNTExN2YzOTljMWVhMTIiLCJ1c2VySWQiOiI1NzM1MDk2OTMifQ==</vt:lpwstr>
  </property>
</Properties>
</file>