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E2" w:rsidRPr="005B60BF" w:rsidRDefault="00BA00E2" w:rsidP="00BA00E2">
      <w:pPr>
        <w:widowControl/>
        <w:spacing w:line="600" w:lineRule="atLeast"/>
        <w:jc w:val="center"/>
        <w:rPr>
          <w:rFonts w:asciiTheme="majorEastAsia" w:eastAsiaTheme="majorEastAsia" w:hAnsiTheme="majorEastAsia"/>
          <w:color w:val="000000"/>
          <w:kern w:val="0"/>
          <w:sz w:val="44"/>
          <w:szCs w:val="44"/>
        </w:rPr>
      </w:pPr>
      <w:r w:rsidRPr="005B60BF"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  <w:t>县溪镇</w:t>
      </w:r>
      <w:bookmarkStart w:id="0" w:name="_GoBack"/>
      <w:bookmarkEnd w:id="0"/>
      <w:r w:rsidRPr="005B60BF">
        <w:rPr>
          <w:rFonts w:asciiTheme="majorEastAsia" w:eastAsiaTheme="majorEastAsia" w:hAnsiTheme="majorEastAsia" w:hint="eastAsia"/>
          <w:color w:val="000000"/>
          <w:kern w:val="0"/>
          <w:sz w:val="44"/>
          <w:szCs w:val="44"/>
        </w:rPr>
        <w:t>人民政府2020年部门预算编制说明</w:t>
      </w:r>
    </w:p>
    <w:p w:rsidR="00BA00E2" w:rsidRDefault="00BA00E2" w:rsidP="00BA00E2">
      <w:pPr>
        <w:pStyle w:val="a3"/>
        <w:spacing w:before="0" w:beforeAutospacing="0" w:after="0" w:afterAutospacing="0" w:line="330" w:lineRule="atLeast"/>
        <w:jc w:val="both"/>
        <w:rPr>
          <w:rFonts w:ascii="黑体" w:eastAsia="黑体" w:hAnsi="黑体" w:cs="Times New Roman"/>
          <w:color w:val="333333"/>
          <w:sz w:val="32"/>
          <w:szCs w:val="32"/>
        </w:rPr>
      </w:pP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="640"/>
        <w:jc w:val="both"/>
        <w:rPr>
          <w:rFonts w:asciiTheme="minorEastAsia" w:eastAsiaTheme="minorEastAsia" w:hAnsiTheme="minorEastAsia" w:cs="Times New Roman"/>
          <w:b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b/>
          <w:color w:val="333333"/>
          <w:sz w:val="32"/>
          <w:szCs w:val="32"/>
        </w:rPr>
        <w:t>一、部门概况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Chars="196" w:firstLine="630"/>
        <w:jc w:val="both"/>
        <w:rPr>
          <w:rFonts w:asciiTheme="minorEastAsia" w:eastAsiaTheme="minorEastAsia" w:hAnsiTheme="minorEastAsia" w:cs="Times New Roman"/>
          <w:b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b/>
          <w:bCs/>
          <w:color w:val="333333"/>
          <w:sz w:val="32"/>
          <w:szCs w:val="32"/>
        </w:rPr>
        <w:t>1、单位基本情况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Chars="200" w:firstLine="640"/>
        <w:jc w:val="both"/>
        <w:rPr>
          <w:rFonts w:asciiTheme="minorEastAsia" w:eastAsiaTheme="minorEastAsia" w:hAnsiTheme="minorEastAsia" w:cs="Times New Roman"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color w:val="333333"/>
          <w:sz w:val="32"/>
          <w:szCs w:val="32"/>
        </w:rPr>
        <w:t>县溪镇镇人民政府，位于县溪镇镇老街，是财政全额拨款行政单位，负责全镇社会农业、安全、计育、环境卫生、综合治理、街道管理、信访、统计、招商引资、扶贫开发、文教卫、惠农补贴发放和村账代管、社会保障等一系列工作。县溪镇镇是一个行政机关单位，下设三办六中心等职能部门，包括财政所、党政综合办公室、社会管理治理办公室、社会事务办公室、人口与计划生育办公室及国土城建办公室等9个职能办公室，2020年初县溪镇镇实有在编在职人数79人，其中行政人员30人，事业单位49人；其他人员73人，其中定额人员12人，退休人员21人，发放遗嘱补助12人，临时司工25人。</w:t>
      </w:r>
    </w:p>
    <w:p w:rsidR="00BA00E2" w:rsidRPr="005B60BF" w:rsidRDefault="00BA00E2" w:rsidP="00BA00E2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firstLineChars="200" w:firstLine="643"/>
        <w:jc w:val="both"/>
        <w:rPr>
          <w:rFonts w:asciiTheme="minorEastAsia" w:eastAsiaTheme="minorEastAsia" w:hAnsiTheme="minorEastAsia" w:cs="仿宋"/>
          <w:sz w:val="32"/>
          <w:szCs w:val="32"/>
        </w:rPr>
      </w:pPr>
      <w:r w:rsidRPr="005B60BF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机构设置及决算单位构成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Chars="200" w:firstLine="640"/>
        <w:jc w:val="both"/>
        <w:rPr>
          <w:rFonts w:asciiTheme="minorEastAsia" w:eastAsiaTheme="minorEastAsia" w:hAnsiTheme="minorEastAsia" w:cs="仿宋"/>
          <w:sz w:val="32"/>
          <w:szCs w:val="32"/>
        </w:rPr>
      </w:pPr>
      <w:r w:rsidRPr="005B60BF">
        <w:rPr>
          <w:rFonts w:asciiTheme="minorEastAsia" w:eastAsiaTheme="minorEastAsia" w:hAnsiTheme="minorEastAsia" w:cs="仿宋" w:hint="eastAsia"/>
          <w:sz w:val="32"/>
          <w:szCs w:val="32"/>
        </w:rPr>
        <w:t>（一）本单位独立编制机数1个，独立核算机构数1个。单位性质属于行政单位，单位编制人数79人，实有在职人员79人，设有站所12个，其中：行政编28个、事业编49个、参照公务员法管理事业人员2个。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 w:cs="仿宋"/>
          <w:sz w:val="32"/>
          <w:szCs w:val="32"/>
        </w:rPr>
      </w:pPr>
      <w:r w:rsidRPr="005B60BF">
        <w:rPr>
          <w:rFonts w:asciiTheme="minorEastAsia" w:eastAsiaTheme="minorEastAsia" w:hAnsiTheme="minorEastAsia" w:cs="仿宋" w:hint="eastAsia"/>
          <w:sz w:val="32"/>
          <w:szCs w:val="32"/>
        </w:rPr>
        <w:t>二、预算单位构成。通道侗族自治县总单位2020年部门预算汇总公开单位构成包括：通道侗族自治县县溪镇人民政府本级共一家单位。</w:t>
      </w:r>
    </w:p>
    <w:p w:rsidR="00BA00E2" w:rsidRPr="005B60BF" w:rsidRDefault="00BA00E2" w:rsidP="00BA00E2">
      <w:pPr>
        <w:ind w:firstLineChars="200" w:firstLine="643"/>
        <w:outlineLvl w:val="0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三、部门收支概况</w:t>
      </w:r>
    </w:p>
    <w:p w:rsidR="00BA00E2" w:rsidRPr="005B60BF" w:rsidRDefault="00BA00E2" w:rsidP="00BA00E2">
      <w:pPr>
        <w:ind w:firstLineChars="200" w:firstLine="643"/>
        <w:outlineLvl w:val="0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（一）收入预算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lastRenderedPageBreak/>
        <w:t>公共财政预算收入：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工资福利支出：工资中心统发工资5730230元、五险配套1095960元、住房公积金642191元、定额经费267200元。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商品和服务支出公务费1770000元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对个人和家庭的补助：独生子女补助720元，遗属补助47520元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专项项目支出：古冲煤矸石环保治理土地流转182600元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政府性基金国道边镇城市维护和路灯亮化照明、城市建设支出1970000元</w:t>
      </w:r>
    </w:p>
    <w:p w:rsidR="00BA00E2" w:rsidRPr="005B60BF" w:rsidRDefault="00BA00E2" w:rsidP="00BA00E2">
      <w:pPr>
        <w:numPr>
          <w:ilvl w:val="0"/>
          <w:numId w:val="2"/>
        </w:numPr>
        <w:ind w:firstLineChars="200" w:firstLine="643"/>
        <w:outlineLvl w:val="0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支出预算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公共财政预算支出：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工资福利支出7735581元。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商品和服务支出公务费：工会经费、医保铺底、社保单位部分、办公耗材、水电费、会议费、公车运行维护费、扶贫支出、政府其他方面支出等1770000元。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对个人和家庭的补助48240 元。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专项项目支出：古冲煤矸石环保治理土地流转182600元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政府性基金国道边镇城市维护和路灯亮化照明、城市建设支出1970000元</w:t>
      </w:r>
    </w:p>
    <w:p w:rsidR="00BA00E2" w:rsidRPr="005B60BF" w:rsidRDefault="00BA00E2" w:rsidP="00BA00E2">
      <w:pPr>
        <w:ind w:firstLineChars="200" w:firstLine="643"/>
        <w:outlineLvl w:val="0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四、一般公共预算拨款支出预算 </w:t>
      </w:r>
    </w:p>
    <w:p w:rsidR="00BA00E2" w:rsidRPr="005B60BF" w:rsidRDefault="00BA00E2" w:rsidP="00BA00E2">
      <w:pPr>
        <w:ind w:firstLineChars="200" w:firstLine="640"/>
        <w:outlineLvl w:val="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color w:val="333333"/>
          <w:sz w:val="32"/>
          <w:szCs w:val="32"/>
        </w:rPr>
        <w:t>2020年县财政安排我镇</w:t>
      </w:r>
      <w:r w:rsidRPr="005B60BF">
        <w:rPr>
          <w:rFonts w:asciiTheme="minorEastAsia" w:eastAsiaTheme="minorEastAsia" w:hAnsiTheme="minorEastAsia"/>
          <w:sz w:val="32"/>
          <w:szCs w:val="32"/>
        </w:rPr>
        <w:t>基本支出</w:t>
      </w:r>
      <w:r w:rsidRPr="005B60BF">
        <w:rPr>
          <w:rFonts w:asciiTheme="minorEastAsia" w:eastAsiaTheme="minorEastAsia" w:hAnsiTheme="minorEastAsia" w:hint="eastAsia"/>
          <w:color w:val="333333"/>
          <w:sz w:val="32"/>
          <w:szCs w:val="32"/>
        </w:rPr>
        <w:t>资金9553821元，项目支出金额2152600 元，已于当年全部到位。其中人员经费支出总计7735581元；公务费支出177万元。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Chars="250" w:firstLine="800"/>
        <w:jc w:val="both"/>
        <w:rPr>
          <w:rFonts w:asciiTheme="minorEastAsia" w:eastAsiaTheme="minorEastAsia" w:hAnsiTheme="minorEastAsia" w:cs="Times New Roman"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color w:val="333333"/>
          <w:sz w:val="32"/>
          <w:szCs w:val="32"/>
        </w:rPr>
        <w:lastRenderedPageBreak/>
        <w:t>为全面提高我镇整体支出预算绩效，将有限的资金发挥最大作用，镇党委、政府严格执行县政府、县财政部门下发的有关财务制度，出台了“三公”经费财务管理制度等一系列的资金管理制度和措施。进一步规范财务制度，促进财务管理科学、合理化，2020年我镇的经费在上年的基础下有所下降，达到缩减开支过“紧日子”的预算目标。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="640"/>
        <w:jc w:val="both"/>
        <w:rPr>
          <w:rFonts w:asciiTheme="minorEastAsia" w:eastAsiaTheme="minorEastAsia" w:hAnsiTheme="minorEastAsia" w:cs="Times New Roman"/>
          <w:b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b/>
          <w:color w:val="333333"/>
          <w:sz w:val="32"/>
          <w:szCs w:val="32"/>
        </w:rPr>
        <w:t>四、资金使用情况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="640"/>
        <w:jc w:val="both"/>
        <w:rPr>
          <w:rFonts w:asciiTheme="minorEastAsia" w:eastAsiaTheme="minorEastAsia" w:hAnsiTheme="minorEastAsia" w:cs="Times New Roman"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color w:val="333333"/>
          <w:sz w:val="32"/>
          <w:szCs w:val="32"/>
        </w:rPr>
        <w:t>2020年，我镇加强资金管理，所有资金按制度和预算执行，资金使用效果十分明显。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="640"/>
        <w:jc w:val="both"/>
        <w:rPr>
          <w:rFonts w:asciiTheme="minorEastAsia" w:eastAsiaTheme="minorEastAsia" w:hAnsiTheme="minorEastAsia" w:cs="Times New Roman"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color w:val="333333"/>
          <w:sz w:val="32"/>
          <w:szCs w:val="32"/>
        </w:rPr>
        <w:t>1、我镇在公务费接待中做到“四严格”即严格预算管理，规定接待严格控制在预算额度内使用；严格审批程序，规定接待用餐原则上安排在政府食堂，严格报账，要求公务接待费用实行”一支笔”审批，严格执行先审批，后报账的程序。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="640"/>
        <w:jc w:val="both"/>
        <w:rPr>
          <w:rFonts w:asciiTheme="minorEastAsia" w:eastAsiaTheme="minorEastAsia" w:hAnsiTheme="minorEastAsia" w:cs="Times New Roman"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color w:val="333333"/>
          <w:sz w:val="32"/>
          <w:szCs w:val="32"/>
        </w:rPr>
        <w:t>2、公务用车购置及运行费。我镇对公务车辆运行管理实行严禁公车私用，要求驾驶员详细记录每次出车情况，确保了车辆的安全使用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="640"/>
        <w:jc w:val="both"/>
        <w:rPr>
          <w:rFonts w:asciiTheme="minorEastAsia" w:eastAsiaTheme="minorEastAsia" w:hAnsiTheme="minorEastAsia" w:cs="Times New Roman"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color w:val="333333"/>
          <w:sz w:val="32"/>
          <w:szCs w:val="32"/>
        </w:rPr>
        <w:t>3、我镇会议费、培训费、差旅费、办公费等费用开支的标准严格按照国家规定的标准和范围列支，控制会议培训数量、规模；控制差旅活动的天数和人数，不安排无明确目的公务考察活动；坚持厉行节约的原则，控制和压缩办公经费的支出，各项费用严格控制在预算额度内使用。</w:t>
      </w:r>
    </w:p>
    <w:p w:rsidR="00BA00E2" w:rsidRPr="005B60BF" w:rsidRDefault="00BA00E2" w:rsidP="00BA00E2">
      <w:pPr>
        <w:pStyle w:val="a3"/>
        <w:spacing w:before="0" w:beforeAutospacing="0" w:after="0" w:afterAutospacing="0" w:line="330" w:lineRule="atLeast"/>
        <w:ind w:firstLine="640"/>
        <w:jc w:val="both"/>
        <w:rPr>
          <w:rFonts w:asciiTheme="minorEastAsia" w:eastAsiaTheme="minorEastAsia" w:hAnsiTheme="minorEastAsia" w:cs="Times New Roman"/>
          <w:b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cs="Times New Roman" w:hint="eastAsia"/>
          <w:b/>
          <w:bCs/>
          <w:color w:val="333333"/>
          <w:sz w:val="32"/>
          <w:szCs w:val="32"/>
        </w:rPr>
        <w:t>五、其他重要事项的情况说明 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sz w:val="32"/>
          <w:szCs w:val="32"/>
        </w:rPr>
        <w:t>1、机关运行经费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及从公务费用1770000元中支出：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bCs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lastRenderedPageBreak/>
        <w:t>工会经费39万、医保铺底24万、社保单位部分48万、办公耗材12万、水电费16万、会议费8万、公车运行维护费12.28万，扶贫支出12万、政府其他方面支出5.72万。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sz w:val="32"/>
          <w:szCs w:val="32"/>
        </w:rPr>
        <w:t>2、“三公”经费预算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sz w:val="32"/>
          <w:szCs w:val="32"/>
        </w:rPr>
        <w:t>三公经费预算数：公款出国（境）经费0元、公务用车购置及运行经费122860元，公务接待经费148500元。</w:t>
      </w:r>
    </w:p>
    <w:p w:rsidR="00BA00E2" w:rsidRPr="005B60BF" w:rsidRDefault="00BA00E2" w:rsidP="00BA00E2">
      <w:pPr>
        <w:numPr>
          <w:ilvl w:val="0"/>
          <w:numId w:val="1"/>
        </w:num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sz w:val="32"/>
          <w:szCs w:val="32"/>
        </w:rPr>
        <w:t>政府采购情况 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sz w:val="32"/>
          <w:szCs w:val="32"/>
        </w:rPr>
        <w:t>政府到目前为止暂无采购计划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sz w:val="32"/>
          <w:szCs w:val="32"/>
        </w:rPr>
        <w:t>4、国有资产占有使用情况  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sz w:val="32"/>
          <w:szCs w:val="32"/>
        </w:rPr>
        <w:t>本单位所有的固定资产全部由上级部门配置，或自主购置，不存在用国有资产的情况。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sz w:val="32"/>
          <w:szCs w:val="32"/>
        </w:rPr>
        <w:t>5、绩效目标设置情况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color w:val="333333"/>
          <w:sz w:val="32"/>
          <w:szCs w:val="32"/>
        </w:rPr>
        <w:t>（1）短期目标：根据国家政策法规和本单位实际情况，建立健全财务制度和约束机制，依法、合理地使用财政资金，提高财政资金使用效率，在完成部门职能目标中合理分配人、财、物，使之达到较高的工作效率和水平。</w:t>
      </w:r>
    </w:p>
    <w:p w:rsidR="00BA00E2" w:rsidRPr="005B60BF" w:rsidRDefault="00BA00E2" w:rsidP="00BA00E2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color w:val="333333"/>
          <w:sz w:val="32"/>
          <w:szCs w:val="32"/>
        </w:rPr>
        <w:t>（2）长期目标：围绕构建“和谐社会”的总目标，稳定镇经济市场，确保县溪镇镇社会安全稳定，同时，力保社会全面健康发展。</w:t>
      </w:r>
    </w:p>
    <w:p w:rsidR="00BA00E2" w:rsidRPr="005B60BF" w:rsidRDefault="00BA00E2" w:rsidP="00BA00E2">
      <w:pPr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B60BF">
        <w:rPr>
          <w:rFonts w:asciiTheme="minorEastAsia" w:eastAsiaTheme="minorEastAsia" w:hAnsiTheme="minorEastAsia" w:hint="eastAsia"/>
          <w:b/>
          <w:bCs/>
          <w:sz w:val="32"/>
          <w:szCs w:val="32"/>
        </w:rPr>
        <w:t>六、名词解释 </w:t>
      </w:r>
    </w:p>
    <w:p w:rsidR="00BA00E2" w:rsidRPr="005B60BF" w:rsidRDefault="00BA00E2" w:rsidP="00BA00E2">
      <w:pPr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5B60BF"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机关运行经费</w:t>
      </w:r>
      <w:r w:rsidRPr="005B60BF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 ：是指为保障单位运行用于购买货物和服务的各项资金，包括办公及印刷费、邮电费、差旅费、会议费、福利费、日常维修费、专用材料及一般设备购置费、办公用房水电费、办公用房</w:t>
      </w:r>
      <w:r w:rsidRPr="005B60BF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lastRenderedPageBreak/>
        <w:t>取暖费、办公用房物业管理费、公务用车运行维护费以及其他费用；</w:t>
      </w:r>
    </w:p>
    <w:p w:rsidR="00BA00E2" w:rsidRPr="005B60BF" w:rsidRDefault="00BA00E2" w:rsidP="00BA00E2">
      <w:pPr>
        <w:spacing w:line="600" w:lineRule="exact"/>
        <w:ind w:firstLineChars="200" w:firstLine="643"/>
        <w:rPr>
          <w:rFonts w:asciiTheme="minorEastAsia" w:eastAsiaTheme="minorEastAsia" w:hAnsiTheme="minorEastAsia"/>
          <w:kern w:val="0"/>
          <w:sz w:val="32"/>
          <w:szCs w:val="32"/>
        </w:rPr>
      </w:pPr>
      <w:r w:rsidRPr="005B60BF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三公经费</w:t>
      </w:r>
      <w:r w:rsidRPr="005B60BF">
        <w:rPr>
          <w:rFonts w:asciiTheme="minorEastAsia" w:eastAsiaTheme="minorEastAsia" w:hAnsiTheme="minorEastAsia" w:cs="仿宋_GB2312" w:hint="eastAsia"/>
          <w:sz w:val="32"/>
          <w:szCs w:val="32"/>
        </w:rPr>
        <w:t>：</w:t>
      </w:r>
      <w:r w:rsidRPr="005B60BF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三公经费是指财政拨款支出安排的出国（境）费、车辆购置及运行费、公务接待费这三项经费；</w:t>
      </w:r>
    </w:p>
    <w:p w:rsidR="00BA00E2" w:rsidRPr="005B60BF" w:rsidRDefault="00C17DB3" w:rsidP="00BA00E2">
      <w:pPr>
        <w:widowControl/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七、预算公开表（附后）</w:t>
      </w:r>
    </w:p>
    <w:p w:rsidR="00BA00E2" w:rsidRPr="005B60BF" w:rsidRDefault="00BA00E2" w:rsidP="00BA00E2">
      <w:pPr>
        <w:widowControl/>
        <w:spacing w:line="560" w:lineRule="exact"/>
        <w:rPr>
          <w:rFonts w:asciiTheme="minorEastAsia" w:eastAsiaTheme="minorEastAsia" w:hAnsiTheme="minorEastAsia"/>
          <w:sz w:val="32"/>
          <w:szCs w:val="32"/>
        </w:rPr>
      </w:pPr>
    </w:p>
    <w:p w:rsidR="00BA00E2" w:rsidRPr="005B60BF" w:rsidRDefault="00BA00E2" w:rsidP="00BA00E2">
      <w:pPr>
        <w:widowControl/>
        <w:spacing w:line="560" w:lineRule="exac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5B60BF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       2020年3月20</w:t>
      </w:r>
      <w:r w:rsidR="005B60BF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425E0B" w:rsidRPr="00C17DB3" w:rsidRDefault="00425E0B">
      <w:pPr>
        <w:rPr>
          <w:rFonts w:asciiTheme="minorEastAsia" w:eastAsiaTheme="minorEastAsia" w:hAnsiTheme="minorEastAsia"/>
          <w:sz w:val="28"/>
          <w:szCs w:val="28"/>
        </w:rPr>
      </w:pPr>
    </w:p>
    <w:p w:rsidR="005B60BF" w:rsidRPr="00C17DB3" w:rsidRDefault="00C17DB3">
      <w:pPr>
        <w:rPr>
          <w:rFonts w:asciiTheme="minorEastAsia" w:eastAsiaTheme="minorEastAsia" w:hAnsiTheme="minorEastAsia"/>
          <w:sz w:val="28"/>
          <w:szCs w:val="28"/>
        </w:rPr>
      </w:pPr>
      <w:r w:rsidRPr="00C17DB3">
        <w:rPr>
          <w:rFonts w:asciiTheme="minorEastAsia" w:eastAsiaTheme="minorEastAsia" w:hAnsiTheme="minorEastAsia" w:hint="eastAsia"/>
          <w:sz w:val="28"/>
          <w:szCs w:val="28"/>
        </w:rPr>
        <w:t>附件：预算公开表</w:t>
      </w:r>
    </w:p>
    <w:p w:rsidR="005B60BF" w:rsidRDefault="005B60BF">
      <w:pPr>
        <w:rPr>
          <w:rFonts w:asciiTheme="minorEastAsia" w:eastAsiaTheme="minorEastAsia" w:hAnsiTheme="minorEastAsia"/>
        </w:rPr>
      </w:pPr>
    </w:p>
    <w:p w:rsidR="005B60BF" w:rsidRDefault="00EB26EF">
      <w:pPr>
        <w:rPr>
          <w:rFonts w:asciiTheme="minorEastAsia" w:eastAsiaTheme="minorEastAsia" w:hAnsiTheme="minorEastAsia"/>
        </w:rPr>
      </w:pPr>
      <w:r w:rsidRPr="002808FF">
        <w:rPr>
          <w:rFonts w:asciiTheme="minorEastAsia" w:eastAsiaTheme="minorEastAsia" w:hAnsiTheme="minorEastAsia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5477" r:id="rId8"/>
        </w:object>
      </w:r>
    </w:p>
    <w:p w:rsidR="005B60BF" w:rsidRPr="005B60BF" w:rsidRDefault="005B60BF">
      <w:pPr>
        <w:rPr>
          <w:rFonts w:asciiTheme="minorEastAsia" w:eastAsiaTheme="minorEastAsia" w:hAnsiTheme="minorEastAsia"/>
        </w:rPr>
      </w:pPr>
    </w:p>
    <w:sectPr w:rsidR="005B60BF" w:rsidRPr="005B60BF" w:rsidSect="00B822DE">
      <w:head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30" w:rsidRDefault="00965430" w:rsidP="00B822DE">
      <w:r>
        <w:separator/>
      </w:r>
    </w:p>
  </w:endnote>
  <w:endnote w:type="continuationSeparator" w:id="0">
    <w:p w:rsidR="00965430" w:rsidRDefault="00965430" w:rsidP="00B8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30" w:rsidRDefault="00965430" w:rsidP="00B822DE">
      <w:r>
        <w:separator/>
      </w:r>
    </w:p>
  </w:footnote>
  <w:footnote w:type="continuationSeparator" w:id="0">
    <w:p w:rsidR="00965430" w:rsidRDefault="00965430" w:rsidP="00B82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80" w:rsidRDefault="0096543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48A3A7"/>
    <w:multiLevelType w:val="singleLevel"/>
    <w:tmpl w:val="C548A3A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A44A80"/>
    <w:multiLevelType w:val="singleLevel"/>
    <w:tmpl w:val="F5A44A80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0E2"/>
    <w:rsid w:val="001A3CD3"/>
    <w:rsid w:val="001F6F7D"/>
    <w:rsid w:val="002808FF"/>
    <w:rsid w:val="00325A71"/>
    <w:rsid w:val="00425E0B"/>
    <w:rsid w:val="005B60BF"/>
    <w:rsid w:val="005F64D2"/>
    <w:rsid w:val="007C30BD"/>
    <w:rsid w:val="008B1251"/>
    <w:rsid w:val="00965430"/>
    <w:rsid w:val="00B822DE"/>
    <w:rsid w:val="00BA00E2"/>
    <w:rsid w:val="00C17DB3"/>
    <w:rsid w:val="00C41308"/>
    <w:rsid w:val="00EB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0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A0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00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60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0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A0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00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6</cp:revision>
  <dcterms:created xsi:type="dcterms:W3CDTF">2020-04-27T07:32:00Z</dcterms:created>
  <dcterms:modified xsi:type="dcterms:W3CDTF">2020-07-10T03:25:00Z</dcterms:modified>
</cp:coreProperties>
</file>