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BE348">
      <w:pPr>
        <w:keepNext w:val="0"/>
        <w:keepLines w:val="0"/>
        <w:pageBreakBefore w:val="0"/>
        <w:widowControl w:val="0"/>
        <w:kinsoku/>
        <w:wordWrap/>
        <w:overflowPunct/>
        <w:topLinePunct w:val="0"/>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eastAsia="zh-CN"/>
        </w:rPr>
      </w:pPr>
    </w:p>
    <w:p w14:paraId="23D74ECF">
      <w:pPr>
        <w:keepNext w:val="0"/>
        <w:keepLines w:val="0"/>
        <w:pageBreakBefore w:val="0"/>
        <w:widowControl w:val="0"/>
        <w:kinsoku/>
        <w:wordWrap/>
        <w:overflowPunct/>
        <w:topLinePunct w:val="0"/>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通道侗族自治县政府投资项目资金管理办法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lang w:eastAsia="zh-CN"/>
        </w:rPr>
        <w:t>）目录</w:t>
      </w:r>
    </w:p>
    <w:p w14:paraId="6EC3E5E6">
      <w:pPr>
        <w:wordWrap w:val="0"/>
        <w:ind w:left="0" w:leftChars="0" w:firstLine="0" w:firstLineChars="0"/>
        <w:jc w:val="both"/>
        <w:rPr>
          <w:rFonts w:hint="default" w:ascii="Times New Roman" w:hAnsi="Times New Roman" w:cs="Times New Roman"/>
          <w:color w:val="auto"/>
        </w:rPr>
      </w:pPr>
    </w:p>
    <w:p w14:paraId="7F74737C">
      <w:pPr>
        <w:wordWrap w:val="0"/>
        <w:ind w:left="0" w:leftChars="0" w:firstLine="0" w:firstLineChars="0"/>
        <w:jc w:val="both"/>
        <w:rPr>
          <w:rFonts w:hint="eastAsia" w:ascii="Times New Roman" w:hAnsi="Times New Roman" w:cs="Times New Roman"/>
          <w:color w:val="auto"/>
          <w:lang w:val="en-US" w:eastAsia="zh-CN"/>
        </w:rPr>
      </w:pPr>
    </w:p>
    <w:p w14:paraId="77B158D5">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第一章：总则（1—4条）</w:t>
      </w:r>
    </w:p>
    <w:p w14:paraId="7A96A4E8">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第二章：项目审批及变更管理（5—10条）</w:t>
      </w:r>
    </w:p>
    <w:p w14:paraId="0418C977">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第三章：项目预算评审管理（11—21条）</w:t>
      </w:r>
    </w:p>
    <w:p w14:paraId="08602258">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第四章：项目招投标和政府采购管理（22—23条）</w:t>
      </w:r>
    </w:p>
    <w:p w14:paraId="5226076F">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第五章：项目资金拨付管理（24—28条）</w:t>
      </w:r>
    </w:p>
    <w:p w14:paraId="49C03FE9">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第六章：项目绩效管理（29—31条）</w:t>
      </w:r>
    </w:p>
    <w:p w14:paraId="53C324AD">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第七章：法律责任（32—36条）</w:t>
      </w:r>
    </w:p>
    <w:p w14:paraId="2B392CB9">
      <w:pPr>
        <w:wordWrap w:val="0"/>
        <w:ind w:left="0" w:leftChars="0" w:firstLine="0" w:firstLineChars="0"/>
        <w:jc w:val="both"/>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 xml:space="preserve">    第八章：附则（37—40条）</w:t>
      </w:r>
    </w:p>
    <w:p w14:paraId="6693F28C">
      <w:pPr>
        <w:wordWrap w:val="0"/>
        <w:ind w:left="0" w:leftChars="0" w:firstLine="0" w:firstLineChars="0"/>
        <w:jc w:val="both"/>
        <w:rPr>
          <w:rFonts w:hint="default" w:ascii="Times New Roman" w:hAnsi="Times New Roman" w:cs="Times New Roman"/>
          <w:color w:val="auto"/>
        </w:rPr>
      </w:pPr>
    </w:p>
    <w:p w14:paraId="3B39143F">
      <w:pPr>
        <w:wordWrap w:val="0"/>
        <w:ind w:left="0" w:leftChars="0" w:firstLine="0" w:firstLineChars="0"/>
        <w:jc w:val="both"/>
        <w:rPr>
          <w:rFonts w:hint="default" w:ascii="Times New Roman" w:hAnsi="Times New Roman" w:cs="Times New Roman"/>
          <w:color w:val="auto"/>
        </w:rPr>
      </w:pPr>
    </w:p>
    <w:p w14:paraId="63F351C2">
      <w:pPr>
        <w:wordWrap w:val="0"/>
        <w:ind w:left="0" w:leftChars="0" w:firstLine="0" w:firstLineChars="0"/>
        <w:jc w:val="both"/>
        <w:rPr>
          <w:rFonts w:hint="default" w:ascii="Times New Roman" w:hAnsi="Times New Roman" w:cs="Times New Roman"/>
          <w:color w:val="auto"/>
        </w:rPr>
      </w:pPr>
    </w:p>
    <w:p w14:paraId="71C62A6F">
      <w:pPr>
        <w:wordWrap w:val="0"/>
        <w:ind w:left="0" w:leftChars="0" w:firstLine="0" w:firstLineChars="0"/>
        <w:jc w:val="both"/>
        <w:rPr>
          <w:rFonts w:hint="default" w:ascii="Times New Roman" w:hAnsi="Times New Roman" w:cs="Times New Roman"/>
          <w:color w:val="auto"/>
        </w:rPr>
      </w:pPr>
    </w:p>
    <w:p w14:paraId="663F74EE">
      <w:pPr>
        <w:wordWrap w:val="0"/>
        <w:ind w:left="0" w:leftChars="0" w:firstLine="0" w:firstLineChars="0"/>
        <w:jc w:val="both"/>
        <w:rPr>
          <w:rFonts w:hint="default" w:ascii="Times New Roman" w:hAnsi="Times New Roman" w:cs="Times New Roman"/>
          <w:color w:val="auto"/>
        </w:rPr>
      </w:pPr>
    </w:p>
    <w:p w14:paraId="7F2207B8">
      <w:pPr>
        <w:wordWrap w:val="0"/>
        <w:ind w:left="0" w:leftChars="0" w:firstLine="0" w:firstLineChars="0"/>
        <w:jc w:val="both"/>
        <w:rPr>
          <w:rFonts w:hint="default" w:ascii="Times New Roman" w:hAnsi="Times New Roman" w:cs="Times New Roman"/>
          <w:color w:val="auto"/>
        </w:rPr>
      </w:pPr>
    </w:p>
    <w:p w14:paraId="17095D64">
      <w:pPr>
        <w:wordWrap w:val="0"/>
        <w:ind w:left="0" w:leftChars="0" w:firstLine="0" w:firstLineChars="0"/>
        <w:jc w:val="both"/>
        <w:rPr>
          <w:rFonts w:hint="default" w:ascii="Times New Roman" w:hAnsi="Times New Roman" w:cs="Times New Roman"/>
          <w:color w:val="auto"/>
        </w:rPr>
      </w:pPr>
    </w:p>
    <w:p w14:paraId="7603EB5E">
      <w:pPr>
        <w:wordWrap w:val="0"/>
        <w:ind w:left="0" w:leftChars="0" w:firstLine="0" w:firstLineChars="0"/>
        <w:jc w:val="both"/>
        <w:rPr>
          <w:rFonts w:hint="default" w:ascii="Times New Roman" w:hAnsi="Times New Roman" w:cs="Times New Roman"/>
          <w:color w:val="auto"/>
        </w:rPr>
      </w:pPr>
    </w:p>
    <w:p w14:paraId="232B7A66">
      <w:pPr>
        <w:wordWrap w:val="0"/>
        <w:ind w:left="0" w:leftChars="0" w:firstLine="0" w:firstLineChars="0"/>
        <w:jc w:val="both"/>
        <w:rPr>
          <w:rFonts w:hint="default" w:ascii="Times New Roman" w:hAnsi="Times New Roman" w:cs="Times New Roman"/>
          <w:color w:val="auto"/>
        </w:rPr>
      </w:pPr>
    </w:p>
    <w:p w14:paraId="1F2E8014">
      <w:pPr>
        <w:wordWrap w:val="0"/>
        <w:ind w:left="0" w:leftChars="0" w:firstLine="0" w:firstLineChars="0"/>
        <w:jc w:val="both"/>
        <w:rPr>
          <w:rFonts w:hint="default" w:ascii="Times New Roman" w:hAnsi="Times New Roman" w:cs="Times New Roman"/>
          <w:color w:val="auto"/>
        </w:rPr>
      </w:pPr>
    </w:p>
    <w:p w14:paraId="6FAD56F2">
      <w:pPr>
        <w:keepNext w:val="0"/>
        <w:keepLines w:val="0"/>
        <w:pageBreakBefore w:val="0"/>
        <w:widowControl w:val="0"/>
        <w:kinsoku/>
        <w:wordWrap/>
        <w:overflowPunct/>
        <w:topLinePunct w:val="0"/>
        <w:autoSpaceDE/>
        <w:autoSpaceDN/>
        <w:bidi w:val="0"/>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通道侗族自治县政府投资项目资金管理办法</w:t>
      </w:r>
    </w:p>
    <w:p w14:paraId="49688F7A">
      <w:pPr>
        <w:keepNext w:val="0"/>
        <w:keepLines w:val="0"/>
        <w:pageBreakBefore w:val="0"/>
        <w:widowControl w:val="0"/>
        <w:kinsoku/>
        <w:wordWrap/>
        <w:overflowPunct/>
        <w:topLinePunct w:val="0"/>
        <w:autoSpaceDE/>
        <w:autoSpaceDN/>
        <w:bidi w:val="0"/>
        <w:spacing w:line="560" w:lineRule="exact"/>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(征求意见稿）</w:t>
      </w:r>
    </w:p>
    <w:p w14:paraId="56B0634E">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bookmarkStart w:id="0" w:name="_GoBack"/>
      <w:bookmarkEnd w:id="0"/>
    </w:p>
    <w:p w14:paraId="60FD4F8D">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p>
    <w:p w14:paraId="783879A7">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eastAsia="仿宋_GB2312"/>
          <w:lang w:val="en-US" w:eastAsia="zh-CN"/>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为加强政府投资项目资金监督管理，保障项目工程质量和建设进度，提高投资效益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《中华人民共和国预算法》、《基本建设财务规则》（财政部令第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81号）、</w:t>
      </w:r>
      <w:r>
        <w:rPr>
          <w:rFonts w:hint="eastAsia" w:ascii="仿宋_GB2312" w:hAnsi="仿宋_GB2312" w:eastAsia="仿宋_GB2312" w:cs="仿宋_GB2312"/>
          <w:color w:val="000000" w:themeColor="text1"/>
          <w:sz w:val="32"/>
          <w:szCs w:val="32"/>
          <w14:textFill>
            <w14:solidFill>
              <w14:schemeClr w14:val="tx1"/>
            </w14:solidFill>
          </w14:textFill>
        </w:rPr>
        <w:t>《湖南省财政监督条例》、《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湖南省财政厅关于深化财政预算评审改革的实施意见》（湘财预</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241</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、《怀化市市本级预算评审实施细则（试行）的通知》（怀财预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100号）</w:t>
      </w:r>
      <w:r>
        <w:rPr>
          <w:rFonts w:hint="eastAsia" w:ascii="仿宋_GB2312" w:hAnsi="仿宋_GB2312" w:eastAsia="仿宋_GB2312" w:cs="仿宋_GB2312"/>
          <w:color w:val="000000" w:themeColor="text1"/>
          <w:sz w:val="32"/>
          <w:szCs w:val="32"/>
          <w14:textFill>
            <w14:solidFill>
              <w14:schemeClr w14:val="tx1"/>
            </w14:solidFill>
          </w14:textFill>
        </w:rPr>
        <w:t>及相关法律法规规定，结合我县实际，制定本办法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A9031AF">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第二条 </w:t>
      </w:r>
      <w:r>
        <w:rPr>
          <w:rFonts w:hint="default" w:ascii="Times New Roman" w:hAnsi="Times New Roman" w:eastAsia="仿宋_GB2312" w:cs="Times New Roman"/>
          <w:color w:val="auto"/>
          <w:sz w:val="32"/>
          <w:szCs w:val="32"/>
        </w:rPr>
        <w:t>本办法所称政府投资项目资金是指使用财政性资金进行基本建设项目资金和其他项目资金。资金来源包括：</w:t>
      </w:r>
    </w:p>
    <w:p w14:paraId="533C94B5">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（一）财政预算资金；</w:t>
      </w:r>
    </w:p>
    <w:p w14:paraId="4BC83323">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法定债务资金和政策性借</w:t>
      </w:r>
      <w:r>
        <w:rPr>
          <w:rFonts w:hint="eastAsia" w:ascii="仿宋_GB2312" w:hAnsi="仿宋_GB2312" w:cs="仿宋_GB2312"/>
          <w:color w:val="000000" w:themeColor="text1"/>
          <w:sz w:val="32"/>
          <w:szCs w:val="32"/>
          <w:lang w:eastAsia="zh-CN"/>
          <w14:textFill>
            <w14:solidFill>
              <w14:schemeClr w14:val="tx1"/>
            </w14:solidFill>
          </w14:textFill>
        </w:rPr>
        <w:t>（贷）</w:t>
      </w:r>
      <w:r>
        <w:rPr>
          <w:rFonts w:hint="eastAsia" w:ascii="仿宋_GB2312" w:hAnsi="仿宋_GB2312" w:eastAsia="仿宋_GB2312" w:cs="仿宋_GB2312"/>
          <w:color w:val="000000" w:themeColor="text1"/>
          <w:sz w:val="32"/>
          <w:szCs w:val="32"/>
          <w:lang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w:t>
      </w:r>
    </w:p>
    <w:p w14:paraId="28AD3A2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（三）其他财政性资金。</w:t>
      </w:r>
    </w:p>
    <w:p w14:paraId="30375F49">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政府投资项目资金管理是指决策、设计、政府采购或招投标、施工、竣工验收等阶段的全过程资金管理。</w:t>
      </w:r>
    </w:p>
    <w:p w14:paraId="58FB863A">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auto"/>
          <w:sz w:val="32"/>
          <w:szCs w:val="32"/>
        </w:rPr>
        <w:t xml:space="preserve">第三条 </w:t>
      </w:r>
      <w:r>
        <w:rPr>
          <w:rFonts w:hint="default" w:ascii="Times New Roman" w:hAnsi="Times New Roman" w:eastAsia="仿宋_GB2312" w:cs="Times New Roman"/>
          <w:color w:val="000000" w:themeColor="text1"/>
          <w:sz w:val="32"/>
          <w:szCs w:val="32"/>
          <w14:textFill>
            <w14:solidFill>
              <w14:schemeClr w14:val="tx1"/>
            </w14:solidFill>
          </w14:textFill>
        </w:rPr>
        <w:t>项目范围包括：由县财政安排政府性资金为主的投资建设项目</w:t>
      </w:r>
      <w:r>
        <w:rPr>
          <w:rFonts w:hint="eastAsia" w:ascii="Times New Roman" w:hAnsi="Times New Roman" w:cs="Times New Roman"/>
          <w:color w:val="000000" w:themeColor="text1"/>
          <w:sz w:val="32"/>
          <w:szCs w:val="32"/>
          <w:lang w:eastAsia="zh-CN"/>
          <w14:textFill>
            <w14:solidFill>
              <w14:schemeClr w14:val="tx1"/>
            </w14:solidFill>
          </w14:textFill>
        </w:rPr>
        <w:t>、服务类项目及货物类项目等。投资建设项目</w:t>
      </w:r>
      <w:r>
        <w:rPr>
          <w:rFonts w:hint="default" w:ascii="Times New Roman" w:hAnsi="Times New Roman" w:eastAsia="仿宋_GB2312" w:cs="Times New Roman"/>
          <w:color w:val="000000" w:themeColor="text1"/>
          <w:sz w:val="32"/>
          <w:szCs w:val="32"/>
          <w14:textFill>
            <w14:solidFill>
              <w14:schemeClr w14:val="tx1"/>
            </w14:solidFill>
          </w14:textFill>
        </w:rPr>
        <w:t>主要包括社会公益服务、公共基础设施、农业农村、生态环境保护、重大科技进步、社会管理、国家安全等公共领域的投资建设项目</w:t>
      </w:r>
      <w:r>
        <w:rPr>
          <w:rFonts w:hint="eastAsia" w:ascii="Times New Roman" w:hAnsi="Times New Roman" w:cs="Times New Roman"/>
          <w:color w:val="000000" w:themeColor="text1"/>
          <w:sz w:val="32"/>
          <w:szCs w:val="32"/>
          <w:lang w:eastAsia="zh-CN"/>
          <w14:textFill>
            <w14:solidFill>
              <w14:schemeClr w14:val="tx1"/>
            </w14:solidFill>
          </w14:textFill>
        </w:rPr>
        <w:t>。</w:t>
      </w:r>
    </w:p>
    <w:p w14:paraId="2BB000B1">
      <w:pPr>
        <w:keepNext w:val="0"/>
        <w:keepLines w:val="0"/>
        <w:pageBreakBefore w:val="0"/>
        <w:widowControl w:val="0"/>
        <w:kinsoku/>
        <w:wordWrap/>
        <w:overflowPunct/>
        <w:topLinePunct w:val="0"/>
        <w:autoSpaceDE/>
        <w:autoSpaceDN/>
        <w:bidi w:val="0"/>
        <w:spacing w:line="560" w:lineRule="exact"/>
        <w:ind w:left="320" w:leftChars="100" w:firstLine="643" w:firstLineChars="200"/>
        <w:rPr>
          <w:rFonts w:hint="eastAsia" w:eastAsia="仿宋_GB2312"/>
          <w:color w:val="FF0000"/>
          <w:lang w:eastAsia="zh-CN"/>
        </w:rPr>
      </w:pPr>
      <w:r>
        <w:rPr>
          <w:rFonts w:hint="default" w:ascii="Times New Roman" w:hAnsi="Times New Roman" w:eastAsia="仿宋_GB2312" w:cs="Times New Roman"/>
          <w:b/>
          <w:bCs/>
          <w:color w:val="auto"/>
          <w:sz w:val="32"/>
          <w:szCs w:val="32"/>
        </w:rPr>
        <w:t xml:space="preserve">第四条 </w:t>
      </w:r>
      <w:r>
        <w:rPr>
          <w:rFonts w:hint="default" w:ascii="Times New Roman" w:hAnsi="Times New Roman" w:eastAsia="仿宋_GB2312" w:cs="Times New Roman"/>
          <w:color w:val="auto"/>
          <w:sz w:val="32"/>
          <w:szCs w:val="32"/>
        </w:rPr>
        <w:t>成立通道侗族自治县政府投资项目资金管理</w:t>
      </w:r>
      <w:r>
        <w:rPr>
          <w:rFonts w:hint="eastAsia" w:ascii="Times New Roman" w:hAnsi="Times New Roman" w:cs="Times New Roman"/>
          <w:color w:val="auto"/>
          <w:sz w:val="32"/>
          <w:szCs w:val="32"/>
          <w:lang w:eastAsia="zh-CN"/>
        </w:rPr>
        <w:t>工作</w:t>
      </w:r>
      <w:r>
        <w:rPr>
          <w:rFonts w:hint="eastAsia" w:ascii="Times New Roman" w:hAnsi="Times New Roman" w:cs="Times New Roman"/>
          <w:strike w:val="0"/>
          <w:dstrike w:val="0"/>
          <w:color w:val="000000" w:themeColor="text1"/>
          <w:sz w:val="32"/>
          <w:szCs w:val="32"/>
          <w:lang w:eastAsia="zh-CN"/>
          <w14:textFill>
            <w14:solidFill>
              <w14:schemeClr w14:val="tx1"/>
            </w14:solidFill>
          </w14:textFill>
        </w:rPr>
        <w:t>专班</w:t>
      </w:r>
      <w:r>
        <w:rPr>
          <w:rFonts w:hint="default" w:ascii="Times New Roman" w:hAnsi="Times New Roman" w:eastAsia="仿宋_GB2312" w:cs="Times New Roman"/>
          <w:color w:val="auto"/>
          <w:sz w:val="32"/>
          <w:szCs w:val="32"/>
        </w:rPr>
        <w:t>，由县长任组长，常务副县长任常务副组长，其他副县长任副组长，</w:t>
      </w:r>
      <w:r>
        <w:rPr>
          <w:rFonts w:hint="default" w:ascii="Times New Roman" w:hAnsi="Times New Roman" w:eastAsia="仿宋" w:cs="Times New Roman"/>
          <w:color w:val="auto"/>
          <w:sz w:val="32"/>
          <w:szCs w:val="32"/>
        </w:rPr>
        <w:t>县政府办、县发展和改革局、县财政局、县审计局、县住房和城乡建设局、县交通运输局、县农业农村局、县水利局、县自然资源局、怀化市生态环境局通道分局、县卫生健康局、县教育局、县文化旅游广电体育局、县商务科技和工业信息化局</w:t>
      </w:r>
      <w:r>
        <w:rPr>
          <w:rFonts w:hint="default" w:ascii="Times New Roman" w:hAnsi="Times New Roman" w:eastAsia="仿宋_GB2312" w:cs="Times New Roman"/>
          <w:color w:val="auto"/>
          <w:sz w:val="32"/>
          <w:szCs w:val="32"/>
        </w:rPr>
        <w:t>等部门负责人为成员。</w:t>
      </w:r>
      <w:r>
        <w:rPr>
          <w:rFonts w:hint="default" w:ascii="Times New Roman" w:hAnsi="Times New Roman" w:eastAsia="仿宋_GB2312" w:cs="Times New Roman"/>
          <w:color w:val="auto"/>
          <w:sz w:val="32"/>
          <w:szCs w:val="32"/>
          <w:highlight w:val="none"/>
          <w:lang w:eastAsia="zh-CN"/>
        </w:rPr>
        <w:t>相关行政主管部门</w:t>
      </w:r>
      <w:r>
        <w:rPr>
          <w:rFonts w:hint="default" w:ascii="Times New Roman" w:hAnsi="Times New Roman" w:eastAsia="仿宋_GB2312" w:cs="Times New Roman"/>
          <w:color w:val="auto"/>
          <w:sz w:val="32"/>
          <w:szCs w:val="32"/>
          <w:highlight w:val="none"/>
        </w:rPr>
        <w:t>按职责分工履行管理职责。</w:t>
      </w:r>
    </w:p>
    <w:p w14:paraId="68B63CA2">
      <w:pPr>
        <w:keepNext w:val="0"/>
        <w:keepLines w:val="0"/>
        <w:pageBreakBefore w:val="0"/>
        <w:widowControl w:val="0"/>
        <w:kinsoku/>
        <w:wordWrap/>
        <w:overflowPunct/>
        <w:topLinePunct w:val="0"/>
        <w:autoSpaceDE/>
        <w:autoSpaceDN/>
        <w:bidi w:val="0"/>
        <w:spacing w:line="560" w:lineRule="exact"/>
        <w:ind w:left="0" w:leftChars="0" w:firstLine="0" w:firstLineChars="0"/>
        <w:jc w:val="both"/>
        <w:rPr>
          <w:rFonts w:hint="default" w:ascii="Times New Roman" w:hAnsi="Times New Roman" w:eastAsia="黑体" w:cs="Times New Roman"/>
          <w:color w:val="auto"/>
          <w:sz w:val="32"/>
          <w:szCs w:val="32"/>
        </w:rPr>
      </w:pPr>
    </w:p>
    <w:p w14:paraId="5CB84F0A">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项目审批及变更管理</w:t>
      </w:r>
    </w:p>
    <w:p w14:paraId="6E05224C">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项目实施实行审批制度，审批后方可组织实施。项目工程建设总投资含工程费用及工程建设其他费用，工程建设其他费用包括工程监理费、勘察费、设计费、建设用地费、</w:t>
      </w:r>
      <w:r>
        <w:rPr>
          <w:rFonts w:hint="default" w:ascii="Times New Roman" w:hAnsi="Times New Roman" w:eastAsia="仿宋_GB2312" w:cs="Times New Roman"/>
          <w:color w:val="auto"/>
          <w:spacing w:val="-6"/>
          <w:sz w:val="32"/>
          <w:szCs w:val="32"/>
        </w:rPr>
        <w:t>项目实施方案编制费、</w:t>
      </w:r>
      <w:r>
        <w:rPr>
          <w:rFonts w:hint="default" w:ascii="Times New Roman" w:hAnsi="Times New Roman" w:eastAsia="仿宋_GB2312" w:cs="Times New Roman"/>
          <w:color w:val="auto"/>
          <w:sz w:val="32"/>
          <w:szCs w:val="32"/>
        </w:rPr>
        <w:t>可行性研究费、项目评审费等。</w:t>
      </w:r>
    </w:p>
    <w:p w14:paraId="07B611D6">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（一）已落实资金的项目实行以下审批程序：</w:t>
      </w:r>
    </w:p>
    <w:p w14:paraId="47AEE52A">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lang w:eastAsia="zh-CN"/>
          <w14:textFill>
            <w14:solidFill>
              <w14:schemeClr w14:val="tx1"/>
            </w14:solidFill>
          </w14:textFill>
        </w:rPr>
        <w:t>已落实资金包含但不限于上级专项资金（含上级部门项目实施计划文件明确的资金和财政部门提前下达的资金）、本级预算安排的专项资金、县委常委会或县政府常务会议决定安排的项目资金。</w:t>
      </w:r>
    </w:p>
    <w:p w14:paraId="16F346B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000000" w:themeColor="text1"/>
          <w:sz w:val="32"/>
          <w:szCs w:val="32"/>
          <w:lang w:eastAsia="zh-CN"/>
          <w14:textFill>
            <w14:solidFill>
              <w14:schemeClr w14:val="tx1"/>
            </w14:solidFill>
          </w14:textFill>
        </w:rPr>
        <w:t>50万元以下（含50万元）的</w:t>
      </w:r>
      <w:r>
        <w:rPr>
          <w:rFonts w:hint="default" w:ascii="Times New Roman" w:hAnsi="Times New Roman" w:eastAsia="仿宋_GB2312" w:cs="Times New Roman"/>
          <w:color w:val="000000" w:themeColor="text1"/>
          <w:sz w:val="32"/>
          <w:szCs w:val="32"/>
          <w14:textFill>
            <w14:solidFill>
              <w14:schemeClr w14:val="tx1"/>
            </w14:solidFill>
          </w14:textFill>
        </w:rPr>
        <w:t>由分管副县长审定</w:t>
      </w:r>
      <w:r>
        <w:rPr>
          <w:rFonts w:hint="eastAsia" w:ascii="Times New Roman" w:hAnsi="Times New Roman" w:cs="Times New Roman"/>
          <w:color w:val="000000" w:themeColor="text1"/>
          <w:sz w:val="32"/>
          <w:szCs w:val="32"/>
          <w:lang w:eastAsia="zh-CN"/>
          <w14:textFill>
            <w14:solidFill>
              <w14:schemeClr w14:val="tx1"/>
            </w14:solidFill>
          </w14:textFill>
        </w:rPr>
        <w:t>，其中</w:t>
      </w:r>
      <w:r>
        <w:rPr>
          <w:rFonts w:hint="eastAsia" w:ascii="Times New Roman" w:hAnsi="Times New Roman" w:cs="Times New Roman"/>
          <w:color w:val="000000" w:themeColor="text1"/>
          <w:sz w:val="32"/>
          <w:szCs w:val="32"/>
          <w:lang w:val="en-US" w:eastAsia="zh-CN"/>
          <w14:textFill>
            <w14:solidFill>
              <w14:schemeClr w14:val="tx1"/>
            </w14:solidFill>
          </w14:textFill>
        </w:rPr>
        <w:t>10万元（含10万元）以下的由项目单位集体研究决定；</w:t>
      </w:r>
    </w:p>
    <w:p w14:paraId="1A80CCFD">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rPr>
        <w:t>2．</w:t>
      </w:r>
      <w:r>
        <w:rPr>
          <w:rFonts w:hint="eastAsia" w:ascii="Times New Roman" w:hAnsi="Times New Roman" w:cs="Times New Roman"/>
          <w:color w:val="000000" w:themeColor="text1"/>
          <w:sz w:val="32"/>
          <w:szCs w:val="32"/>
          <w:lang w:val="en-US" w:eastAsia="zh-CN"/>
          <w14:textFill>
            <w14:solidFill>
              <w14:schemeClr w14:val="tx1"/>
            </w14:solidFill>
          </w14:textFill>
        </w:rPr>
        <w:t>50万元</w:t>
      </w:r>
      <w:r>
        <w:rPr>
          <w:rFonts w:hint="eastAsia" w:ascii="Times New Roman" w:hAnsi="Times New Roman" w:cs="Times New Roman"/>
          <w:color w:val="000000" w:themeColor="text1"/>
          <w:sz w:val="32"/>
          <w:szCs w:val="32"/>
          <w:lang w:eastAsia="zh-CN"/>
          <w14:textFill>
            <w14:solidFill>
              <w14:schemeClr w14:val="tx1"/>
            </w14:solidFill>
          </w14:textFill>
        </w:rPr>
        <w:t>至</w:t>
      </w:r>
      <w:r>
        <w:rPr>
          <w:rFonts w:hint="eastAsia" w:ascii="Times New Roman" w:hAnsi="Times New Roman" w:cs="Times New Roman"/>
          <w:color w:val="000000" w:themeColor="text1"/>
          <w:sz w:val="32"/>
          <w:szCs w:val="32"/>
          <w:lang w:val="en-US" w:eastAsia="zh-CN"/>
          <w14:textFill>
            <w14:solidFill>
              <w14:schemeClr w14:val="tx1"/>
            </w14:solidFill>
          </w14:textFill>
        </w:rPr>
        <w:t>100万元（含100万元）</w:t>
      </w:r>
      <w:r>
        <w:rPr>
          <w:rFonts w:hint="eastAsia" w:ascii="Times New Roman" w:hAnsi="Times New Roman"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经分管副县长审核，报常务副县长审定；</w:t>
      </w:r>
    </w:p>
    <w:p w14:paraId="2D6F1515">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cs="Times New Roman"/>
          <w:color w:val="FF0000"/>
          <w:sz w:val="32"/>
          <w:szCs w:val="32"/>
          <w:lang w:val="en-US" w:eastAsia="zh-CN"/>
        </w:rPr>
      </w:pPr>
      <w:r>
        <w:rPr>
          <w:rFonts w:hint="default" w:ascii="Times New Roman" w:hAnsi="Times New Roman" w:eastAsia="仿宋_GB2312" w:cs="Times New Roman"/>
          <w:color w:val="auto"/>
          <w:sz w:val="32"/>
          <w:szCs w:val="32"/>
        </w:rPr>
        <w:t>3．</w:t>
      </w:r>
      <w:r>
        <w:rPr>
          <w:rFonts w:hint="eastAsia" w:ascii="Times New Roman" w:hAnsi="Times New Roman"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0万元</w:t>
      </w:r>
      <w:r>
        <w:rPr>
          <w:rFonts w:hint="eastAsia" w:ascii="Times New Roman" w:hAnsi="Times New Roman" w:cs="Times New Roman"/>
          <w:color w:val="000000" w:themeColor="text1"/>
          <w:sz w:val="32"/>
          <w:szCs w:val="32"/>
          <w:lang w:eastAsia="zh-CN"/>
          <w14:textFill>
            <w14:solidFill>
              <w14:schemeClr w14:val="tx1"/>
            </w14:solidFill>
          </w14:textFill>
        </w:rPr>
        <w:t>至</w:t>
      </w:r>
      <w:r>
        <w:rPr>
          <w:rFonts w:hint="eastAsia" w:ascii="Times New Roman" w:hAnsi="Times New Roman" w:cs="Times New Roman"/>
          <w:color w:val="000000" w:themeColor="text1"/>
          <w:sz w:val="32"/>
          <w:szCs w:val="32"/>
          <w:lang w:val="en-US" w:eastAsia="zh-CN"/>
          <w14:textFill>
            <w14:solidFill>
              <w14:schemeClr w14:val="tx1"/>
            </w14:solidFill>
          </w14:textFill>
        </w:rPr>
        <w:t>500万元（含500万元）</w:t>
      </w:r>
      <w:r>
        <w:rPr>
          <w:rFonts w:hint="eastAsia" w:ascii="Times New Roman" w:hAnsi="Times New Roman"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，经分管副县长审核，报常务副县长复核，县长审定</w:t>
      </w:r>
      <w:r>
        <w:rPr>
          <w:rFonts w:hint="eastAsia" w:ascii="Times New Roman" w:hAnsi="Times New Roman" w:cs="Times New Roman"/>
          <w:color w:val="000000" w:themeColor="text1"/>
          <w:sz w:val="32"/>
          <w:szCs w:val="32"/>
          <w:lang w:eastAsia="zh-CN"/>
          <w14:textFill>
            <w14:solidFill>
              <w14:schemeClr w14:val="tx1"/>
            </w14:solidFill>
          </w14:textFill>
        </w:rPr>
        <w:t>；</w:t>
      </w:r>
    </w:p>
    <w:p w14:paraId="72BBEBF4">
      <w:pPr>
        <w:pStyle w:val="12"/>
        <w:rPr>
          <w:rFonts w:hint="eastAsia" w:ascii="Times New Roman" w:hAnsi="Times New Roman" w:eastAsia="仿宋_GB2312" w:cs="Times New Roman"/>
          <w:color w:val="FF0000"/>
          <w:sz w:val="32"/>
          <w:szCs w:val="32"/>
          <w:lang w:eastAsia="zh-CN"/>
        </w:rPr>
      </w:pPr>
      <w:r>
        <w:rPr>
          <w:rFonts w:hint="eastAsia"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Times New Roman" w:hAnsi="Times New Roman"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万元以上</w:t>
      </w:r>
      <w:r>
        <w:rPr>
          <w:rFonts w:hint="eastAsia" w:ascii="Times New Roman" w:hAnsi="Times New Roman" w:cs="Times New Roman"/>
          <w:color w:val="000000" w:themeColor="text1"/>
          <w:sz w:val="32"/>
          <w:szCs w:val="32"/>
          <w:lang w:eastAsia="zh-CN"/>
          <w14:textFill>
            <w14:solidFill>
              <w14:schemeClr w14:val="tx1"/>
            </w14:solidFill>
          </w14:textFill>
        </w:rPr>
        <w:t>的，按程序审批后，由县政府常务会议研究决定。</w:t>
      </w:r>
    </w:p>
    <w:p w14:paraId="3D80D21A">
      <w:pPr>
        <w:keepNext w:val="0"/>
        <w:keepLines w:val="0"/>
        <w:pageBreakBefore w:val="0"/>
        <w:widowControl w:val="0"/>
        <w:numPr>
          <w:ilvl w:val="0"/>
          <w:numId w:val="1"/>
        </w:numPr>
        <w:kinsoku/>
        <w:wordWrap/>
        <w:overflowPunct/>
        <w:topLinePunct w:val="0"/>
        <w:autoSpaceDE/>
        <w:autoSpaceDN/>
        <w:bidi w:val="0"/>
        <w:spacing w:line="560" w:lineRule="exact"/>
        <w:ind w:left="-3" w:leftChars="0" w:firstLine="643" w:firstLineChars="0"/>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未落实资金的项目</w:t>
      </w:r>
      <w:r>
        <w:rPr>
          <w:rFonts w:hint="default" w:ascii="Times New Roman" w:hAnsi="Times New Roman" w:eastAsia="楷体_GB2312" w:cs="Times New Roman"/>
          <w:b/>
          <w:bCs/>
          <w:color w:val="000000" w:themeColor="text1"/>
          <w:sz w:val="32"/>
          <w:szCs w:val="32"/>
          <w14:textFill>
            <w14:solidFill>
              <w14:schemeClr w14:val="tx1"/>
            </w14:solidFill>
          </w14:textFill>
        </w:rPr>
        <w:t>实行以下审批程序：</w:t>
      </w:r>
    </w:p>
    <w:p w14:paraId="062368D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1．20万元</w:t>
      </w:r>
      <w:r>
        <w:rPr>
          <w:rFonts w:hint="eastAsia" w:ascii="Times New Roman" w:hAnsi="Times New Roman" w:cs="Times New Roman"/>
          <w:color w:val="000000" w:themeColor="text1"/>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14:textFill>
            <w14:solidFill>
              <w14:schemeClr w14:val="tx1"/>
            </w14:solidFill>
          </w14:textFill>
        </w:rPr>
        <w:t>（含20万元），由分管副县长审核，报常务副县长审定；</w:t>
      </w:r>
    </w:p>
    <w:p w14:paraId="34440F7E">
      <w:pPr>
        <w:keepNext w:val="0"/>
        <w:keepLines w:val="0"/>
        <w:pageBreakBefore w:val="0"/>
        <w:widowControl w:val="0"/>
        <w:kinsoku/>
        <w:wordWrap/>
        <w:overflowPunct/>
        <w:topLinePunct w:val="0"/>
        <w:autoSpaceDE/>
        <w:autoSpaceDN/>
        <w:bidi w:val="0"/>
        <w:spacing w:line="560" w:lineRule="exact"/>
        <w:ind w:firstLine="640" w:firstLineChars="200"/>
        <w:rPr>
          <w:rFonts w:hint="eastAsia" w:eastAsia="仿宋_GB2312"/>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2．20万元</w:t>
      </w:r>
      <w:r>
        <w:rPr>
          <w:rFonts w:hint="eastAsia" w:ascii="Times New Roman" w:hAnsi="Times New Roman" w:cs="Times New Roman"/>
          <w:color w:val="000000" w:themeColor="text1"/>
          <w:sz w:val="32"/>
          <w:szCs w:val="32"/>
          <w:lang w:eastAsia="zh-CN"/>
          <w14:textFill>
            <w14:solidFill>
              <w14:schemeClr w14:val="tx1"/>
            </w14:solidFill>
          </w14:textFill>
        </w:rPr>
        <w:t>至</w:t>
      </w:r>
      <w:r>
        <w:rPr>
          <w:rFonts w:hint="default" w:ascii="Times New Roman" w:hAnsi="Times New Roman" w:eastAsia="仿宋_GB2312" w:cs="Times New Roman"/>
          <w:color w:val="000000" w:themeColor="text1"/>
          <w:sz w:val="32"/>
          <w:szCs w:val="32"/>
          <w14:textFill>
            <w14:solidFill>
              <w14:schemeClr w14:val="tx1"/>
            </w14:solidFill>
          </w14:textFill>
        </w:rPr>
        <w:t>50万元（含50万元），经分管副县长审核，报常务副县长复核，县长审定；</w:t>
      </w:r>
    </w:p>
    <w:p w14:paraId="6542DEAA">
      <w:pPr>
        <w:keepNext w:val="0"/>
        <w:keepLines w:val="0"/>
        <w:pageBreakBefore w:val="0"/>
        <w:widowControl w:val="0"/>
        <w:kinsoku/>
        <w:wordWrap/>
        <w:overflowPunct/>
        <w:topLinePunct w:val="0"/>
        <w:autoSpaceDE/>
        <w:autoSpaceDN/>
        <w:bidi w:val="0"/>
        <w:spacing w:line="560" w:lineRule="exact"/>
        <w:ind w:firstLine="640" w:firstLineChars="200"/>
        <w:rPr>
          <w:rFonts w:hint="default" w:eastAsia="仿宋_GB2312"/>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3．50万元以上</w:t>
      </w:r>
      <w:r>
        <w:rPr>
          <w:rFonts w:hint="eastAsia" w:ascii="Times New Roman" w:hAnsi="Times New Roman"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lang w:eastAsia="zh-CN"/>
          <w14:textFill>
            <w14:solidFill>
              <w14:schemeClr w14:val="tx1"/>
            </w14:solidFill>
          </w14:textFill>
        </w:rPr>
        <w:t>按程序审批后，由县政府常务会议研究决定。</w:t>
      </w:r>
    </w:p>
    <w:p w14:paraId="72AB6D80">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政府投资项目需申请立项批复程序的，应具备财政部门出具的相关资金证明，县发改局方可按照相关规定进行立项批复。</w:t>
      </w:r>
    </w:p>
    <w:p w14:paraId="531A049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bdr w:val="single" w:color="auto" w:sz="4" w:space="0"/>
        </w:rPr>
      </w:pPr>
      <w:r>
        <w:rPr>
          <w:rFonts w:hint="default" w:ascii="Times New Roman" w:hAnsi="Times New Roman" w:eastAsia="仿宋_GB2312" w:cs="Times New Roman"/>
          <w:color w:val="auto"/>
          <w:sz w:val="32"/>
          <w:szCs w:val="32"/>
        </w:rPr>
        <w:t>根据县政府常务会议纪要、县委常委会议纪要和符合第</w:t>
      </w:r>
      <w:r>
        <w:rPr>
          <w:rFonts w:hint="eastAsia" w:ascii="Times New Roman" w:hAnsi="Times New Roman" w:cs="Times New Roman"/>
          <w:color w:val="auto"/>
          <w:sz w:val="32"/>
          <w:szCs w:val="32"/>
          <w:lang w:eastAsia="zh-CN"/>
        </w:rPr>
        <w:t>五</w:t>
      </w:r>
      <w:r>
        <w:rPr>
          <w:rFonts w:hint="default" w:ascii="Times New Roman" w:hAnsi="Times New Roman" w:eastAsia="仿宋_GB2312" w:cs="Times New Roman"/>
          <w:color w:val="auto"/>
          <w:sz w:val="32"/>
          <w:szCs w:val="32"/>
        </w:rPr>
        <w:t>条（一）（二）款规定的，财政部门方可出具相关资金证明。</w:t>
      </w:r>
    </w:p>
    <w:p w14:paraId="104E51A2">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七</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政府投资项目在建设过程中，不得擅自进行设计变更，不得扩大建设规模、增加投资额。有下列情形的，可提出工程变更：</w:t>
      </w:r>
    </w:p>
    <w:p w14:paraId="689C5ED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（一）国家设计、质量安全标准和其他有关建设标准发生改变的；</w:t>
      </w:r>
    </w:p>
    <w:p w14:paraId="05D1D15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（二）设计、地勘单位出具的设计文件、地勘报告与实际情况不符，致使不能满足强制性规范和使用功能，需增加隐蔽工程量的；</w:t>
      </w:r>
    </w:p>
    <w:p w14:paraId="0C59988B">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（三）主要材料和设备等市场价格上涨幅度较大，相关政策规定可以调整的；</w:t>
      </w:r>
    </w:p>
    <w:p w14:paraId="4FEDAFCC">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（四）提出的工程变更方案能达到原设计标准质量，可缩短工期、节约投资和土地的；</w:t>
      </w:r>
    </w:p>
    <w:p w14:paraId="762EEC2B">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（五）其他确需变更的情形。</w:t>
      </w:r>
    </w:p>
    <w:p w14:paraId="4D5BA795">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八</w:t>
      </w:r>
      <w:r>
        <w:rPr>
          <w:rFonts w:hint="default" w:ascii="Times New Roman" w:hAnsi="Times New Roman" w:eastAsia="仿宋_GB2312" w:cs="Times New Roman"/>
          <w:b/>
          <w:bCs/>
          <w:color w:val="auto"/>
          <w:sz w:val="32"/>
          <w:szCs w:val="32"/>
        </w:rPr>
        <w:t xml:space="preserve">条 </w:t>
      </w:r>
      <w:r>
        <w:rPr>
          <w:rFonts w:hint="eastAsia"/>
          <w:color w:val="000000" w:themeColor="text1"/>
          <w:spacing w:val="-2"/>
          <w:lang w:val="en-US" w:eastAsia="zh-CN"/>
          <w14:textFill>
            <w14:solidFill>
              <w14:schemeClr w14:val="tx1"/>
            </w14:solidFill>
          </w14:textFill>
        </w:rPr>
        <w:t>项目变更应按资金审批权限先落实资金，再履行变更审批程序，项目变更审批按以下程序进行：</w:t>
      </w:r>
    </w:p>
    <w:p w14:paraId="2B1F70C9">
      <w:pPr>
        <w:keepNext w:val="0"/>
        <w:keepLines w:val="0"/>
        <w:pageBreakBefore w:val="0"/>
        <w:widowControl w:val="0"/>
        <w:kinsoku/>
        <w:wordWrap/>
        <w:overflowPunct/>
        <w:topLinePunct w:val="0"/>
        <w:autoSpaceDE/>
        <w:autoSpaceDN/>
        <w:bidi w:val="0"/>
        <w:spacing w:line="560" w:lineRule="exact"/>
        <w:ind w:left="0" w:leftChars="0" w:firstLine="640" w:firstLineChars="200"/>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（一）合同金额内变更：</w:t>
      </w:r>
    </w:p>
    <w:p w14:paraId="521F23DD">
      <w:pPr>
        <w:pStyle w:val="12"/>
        <w:rPr>
          <w:rFonts w:hint="default" w:ascii="仿宋" w:hAnsi="仿宋" w:eastAsia="仿宋" w:cs="仿宋"/>
          <w:color w:val="000000" w:themeColor="text1"/>
          <w:spacing w:val="3"/>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cs="Times New Roman"/>
          <w:color w:val="000000" w:themeColor="text1"/>
          <w:sz w:val="32"/>
          <w:szCs w:val="32"/>
          <w:lang w:val="en-US" w:eastAsia="zh-CN"/>
          <w14:textFill>
            <w14:solidFill>
              <w14:schemeClr w14:val="tx1"/>
            </w14:solidFill>
          </w14:textFill>
        </w:rPr>
        <w:t>工程预算单次变更在50万元以下或变更累计合同总价10%以下的，</w:t>
      </w:r>
      <w:r>
        <w:rPr>
          <w:rFonts w:hint="eastAsia" w:ascii="仿宋" w:hAnsi="仿宋" w:eastAsia="仿宋" w:cs="仿宋"/>
          <w:color w:val="000000" w:themeColor="text1"/>
          <w:spacing w:val="3"/>
          <w:sz w:val="32"/>
          <w:szCs w:val="32"/>
          <w:lang w:val="en-US" w:eastAsia="zh-CN"/>
          <w14:textFill>
            <w14:solidFill>
              <w14:schemeClr w14:val="tx1"/>
            </w14:solidFill>
          </w14:textFill>
        </w:rPr>
        <w:t>由建设单位</w:t>
      </w:r>
      <w:r>
        <w:rPr>
          <w:rFonts w:hint="eastAsia" w:ascii="Times New Roman" w:hAnsi="Times New Roman" w:cs="Times New Roman"/>
          <w:color w:val="000000" w:themeColor="text1"/>
          <w:sz w:val="32"/>
          <w:szCs w:val="32"/>
          <w:lang w:val="en-US" w:eastAsia="zh-CN"/>
          <w14:textFill>
            <w14:solidFill>
              <w14:schemeClr w14:val="tx1"/>
            </w14:solidFill>
          </w14:textFill>
        </w:rPr>
        <w:t>负责组织项目业主、设计、监理等单位进行论证。经论证</w:t>
      </w:r>
      <w:r>
        <w:rPr>
          <w:rFonts w:hint="default" w:ascii="Times New Roman" w:hAnsi="Times New Roman" w:eastAsia="仿宋_GB2312" w:cs="Times New Roman"/>
          <w:color w:val="000000" w:themeColor="text1"/>
          <w:sz w:val="32"/>
          <w:szCs w:val="32"/>
          <w14:textFill>
            <w14:solidFill>
              <w14:schemeClr w14:val="tx1"/>
            </w14:solidFill>
          </w14:textFill>
        </w:rPr>
        <w:t>确需变更的</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pacing w:val="3"/>
          <w:sz w:val="32"/>
          <w:szCs w:val="32"/>
          <w:lang w:val="en-US" w:eastAsia="zh-CN"/>
          <w14:textFill>
            <w14:solidFill>
              <w14:schemeClr w14:val="tx1"/>
            </w14:solidFill>
          </w14:textFill>
        </w:rPr>
        <w:t>按照集体研究原则，并经法定代表人签字确定。</w:t>
      </w:r>
    </w:p>
    <w:p w14:paraId="771024A0">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cs="Times New Roman"/>
          <w:strike/>
          <w:dstrike w:val="0"/>
          <w:color w:val="000000" w:themeColor="text1"/>
          <w:sz w:val="32"/>
          <w:szCs w:val="32"/>
          <w:u w:val="single"/>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工程预算单次变更在50万元以上或变更累计合同总价10%以上的，由建设单位负责组织项目业主、设计、监理等单位进行论证。经论证</w:t>
      </w:r>
      <w:r>
        <w:rPr>
          <w:rFonts w:hint="default" w:ascii="Times New Roman" w:hAnsi="Times New Roman" w:eastAsia="仿宋_GB2312" w:cs="Times New Roman"/>
          <w:color w:val="000000" w:themeColor="text1"/>
          <w:sz w:val="32"/>
          <w:szCs w:val="32"/>
          <w14:textFill>
            <w14:solidFill>
              <w14:schemeClr w14:val="tx1"/>
            </w14:solidFill>
          </w14:textFill>
        </w:rPr>
        <w:t>确需变更的，建设单位提出书面报告，</w:t>
      </w:r>
      <w:r>
        <w:rPr>
          <w:rFonts w:hint="eastAsia" w:ascii="Times New Roman" w:hAnsi="Times New Roman" w:cs="Times New Roman"/>
          <w:color w:val="000000" w:themeColor="text1"/>
          <w:sz w:val="32"/>
          <w:szCs w:val="32"/>
          <w:lang w:eastAsia="zh-CN"/>
          <w14:textFill>
            <w14:solidFill>
              <w14:schemeClr w14:val="tx1"/>
            </w14:solidFill>
          </w14:textFill>
        </w:rPr>
        <w:t>报项目行业主管部门同意后，</w:t>
      </w:r>
      <w:r>
        <w:rPr>
          <w:rFonts w:hint="default" w:ascii="Times New Roman" w:hAnsi="Times New Roman" w:eastAsia="仿宋_GB2312" w:cs="Times New Roman"/>
          <w:color w:val="000000" w:themeColor="text1"/>
          <w:sz w:val="32"/>
          <w:szCs w:val="32"/>
          <w14:textFill>
            <w14:solidFill>
              <w14:schemeClr w14:val="tx1"/>
            </w14:solidFill>
          </w14:textFill>
        </w:rPr>
        <w:t>报县</w:t>
      </w:r>
      <w:r>
        <w:rPr>
          <w:rFonts w:hint="eastAsia" w:ascii="Times New Roman" w:hAnsi="Times New Roman" w:cs="Times New Roman"/>
          <w:color w:val="000000" w:themeColor="text1"/>
          <w:sz w:val="32"/>
          <w:szCs w:val="32"/>
          <w:lang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14:textFill>
            <w14:solidFill>
              <w14:schemeClr w14:val="tx1"/>
            </w14:solidFill>
          </w14:textFill>
        </w:rPr>
        <w:t>政府</w:t>
      </w:r>
      <w:r>
        <w:rPr>
          <w:rFonts w:hint="eastAsia" w:ascii="Times New Roman" w:hAnsi="Times New Roman" w:cs="Times New Roman"/>
          <w:color w:val="000000" w:themeColor="text1"/>
          <w:sz w:val="32"/>
          <w:szCs w:val="32"/>
          <w:lang w:eastAsia="zh-CN"/>
          <w14:textFill>
            <w14:solidFill>
              <w14:schemeClr w14:val="tx1"/>
            </w14:solidFill>
          </w14:textFill>
        </w:rPr>
        <w:t>分管副县长审批</w:t>
      </w:r>
      <w:r>
        <w:rPr>
          <w:rFonts w:hint="eastAsia" w:ascii="Times New Roman" w:hAnsi="Times New Roman" w:cs="Times New Roman"/>
          <w:color w:val="000000" w:themeColor="text1"/>
          <w:sz w:val="32"/>
          <w:szCs w:val="32"/>
          <w:lang w:val="en-US" w:eastAsia="zh-CN"/>
          <w14:textFill>
            <w14:solidFill>
              <w14:schemeClr w14:val="tx1"/>
            </w14:solidFill>
          </w14:textFill>
        </w:rPr>
        <w:t>。</w:t>
      </w:r>
    </w:p>
    <w:p w14:paraId="4F4A5679">
      <w:pPr>
        <w:pStyle w:val="12"/>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（二）增加合同金额变更：</w:t>
      </w:r>
    </w:p>
    <w:p w14:paraId="2439D527">
      <w:pPr>
        <w:pStyle w:val="12"/>
        <w:rPr>
          <w:rFonts w:hint="eastAsia"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cs="Times New Roman"/>
          <w:color w:val="000000" w:themeColor="text1"/>
          <w:sz w:val="32"/>
          <w:szCs w:val="32"/>
          <w:lang w:eastAsia="zh-CN"/>
          <w14:textFill>
            <w14:solidFill>
              <w14:schemeClr w14:val="tx1"/>
            </w14:solidFill>
          </w14:textFill>
        </w:rPr>
        <w:t>超出合同金额部分视为未落实资金，应先按资金审批程序落实资金，再履行项目变更审批程序。</w:t>
      </w:r>
    </w:p>
    <w:p w14:paraId="3FFFD155">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lang w:eastAsia="zh-CN"/>
          <w14:textFill>
            <w14:solidFill>
              <w14:schemeClr w14:val="tx1"/>
            </w14:solidFill>
          </w14:textFill>
        </w:rPr>
        <w:t>项目</w:t>
      </w:r>
      <w:r>
        <w:rPr>
          <w:rFonts w:hint="eastAsia" w:ascii="Times New Roman" w:hAnsi="Times New Roman" w:cs="Times New Roman"/>
          <w:color w:val="000000" w:themeColor="text1"/>
          <w:sz w:val="32"/>
          <w:szCs w:val="32"/>
          <w:lang w:val="en-US" w:eastAsia="zh-CN"/>
          <w14:textFill>
            <w14:solidFill>
              <w14:schemeClr w14:val="tx1"/>
            </w14:solidFill>
          </w14:textFill>
        </w:rPr>
        <w:t>变更后，增加金额超出合同总价50万元以内的，落实资金后，由建设单位负责组织相关单位进行论证，经论证</w:t>
      </w:r>
      <w:r>
        <w:rPr>
          <w:rFonts w:hint="default" w:ascii="Times New Roman" w:hAnsi="Times New Roman" w:eastAsia="仿宋_GB2312" w:cs="Times New Roman"/>
          <w:color w:val="000000" w:themeColor="text1"/>
          <w:sz w:val="32"/>
          <w:szCs w:val="32"/>
          <w14:textFill>
            <w14:solidFill>
              <w14:schemeClr w14:val="tx1"/>
            </w14:solidFill>
          </w14:textFill>
        </w:rPr>
        <w:t>确需变更的，建设单位提出书面报告，</w:t>
      </w:r>
      <w:r>
        <w:rPr>
          <w:rFonts w:hint="eastAsia" w:ascii="Times New Roman" w:hAnsi="Times New Roman" w:cs="Times New Roman"/>
          <w:color w:val="000000" w:themeColor="text1"/>
          <w:sz w:val="32"/>
          <w:szCs w:val="32"/>
          <w:lang w:eastAsia="zh-CN"/>
          <w14:textFill>
            <w14:solidFill>
              <w14:schemeClr w14:val="tx1"/>
            </w14:solidFill>
          </w14:textFill>
        </w:rPr>
        <w:t>报项目行业主管部门同意后，</w:t>
      </w:r>
      <w:r>
        <w:rPr>
          <w:rFonts w:hint="default" w:ascii="Times New Roman" w:hAnsi="Times New Roman" w:eastAsia="仿宋_GB2312" w:cs="Times New Roman"/>
          <w:color w:val="000000" w:themeColor="text1"/>
          <w:sz w:val="32"/>
          <w:szCs w:val="32"/>
          <w14:textFill>
            <w14:solidFill>
              <w14:schemeClr w14:val="tx1"/>
            </w14:solidFill>
          </w14:textFill>
        </w:rPr>
        <w:t>报县</w:t>
      </w:r>
      <w:r>
        <w:rPr>
          <w:rFonts w:hint="eastAsia" w:ascii="Times New Roman" w:hAnsi="Times New Roman" w:cs="Times New Roman"/>
          <w:color w:val="000000" w:themeColor="text1"/>
          <w:sz w:val="32"/>
          <w:szCs w:val="32"/>
          <w:lang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14:textFill>
            <w14:solidFill>
              <w14:schemeClr w14:val="tx1"/>
            </w14:solidFill>
          </w14:textFill>
        </w:rPr>
        <w:t>政府</w:t>
      </w:r>
      <w:r>
        <w:rPr>
          <w:rFonts w:hint="eastAsia" w:ascii="Times New Roman" w:hAnsi="Times New Roman" w:cs="Times New Roman"/>
          <w:color w:val="000000" w:themeColor="text1"/>
          <w:sz w:val="32"/>
          <w:szCs w:val="32"/>
          <w:lang w:eastAsia="zh-CN"/>
          <w14:textFill>
            <w14:solidFill>
              <w14:schemeClr w14:val="tx1"/>
            </w14:solidFill>
          </w14:textFill>
        </w:rPr>
        <w:t>分管副县长审批</w:t>
      </w:r>
      <w:r>
        <w:rPr>
          <w:rFonts w:hint="eastAsia" w:ascii="Times New Roman" w:hAnsi="Times New Roman" w:cs="Times New Roman"/>
          <w:color w:val="000000" w:themeColor="text1"/>
          <w:sz w:val="32"/>
          <w:szCs w:val="32"/>
          <w:lang w:val="en-US" w:eastAsia="zh-CN"/>
          <w14:textFill>
            <w14:solidFill>
              <w14:schemeClr w14:val="tx1"/>
            </w14:solidFill>
          </w14:textFill>
        </w:rPr>
        <w:t>。</w:t>
      </w:r>
    </w:p>
    <w:p w14:paraId="35DC1DF2">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lang w:eastAsia="zh-CN"/>
          <w14:textFill>
            <w14:solidFill>
              <w14:schemeClr w14:val="tx1"/>
            </w14:solidFill>
          </w14:textFill>
        </w:rPr>
        <w:t>项目</w:t>
      </w:r>
      <w:r>
        <w:rPr>
          <w:rFonts w:hint="eastAsia" w:ascii="Times New Roman" w:hAnsi="Times New Roman" w:cs="Times New Roman"/>
          <w:color w:val="000000" w:themeColor="text1"/>
          <w:sz w:val="32"/>
          <w:szCs w:val="32"/>
          <w:lang w:val="en-US" w:eastAsia="zh-CN"/>
          <w14:textFill>
            <w14:solidFill>
              <w14:schemeClr w14:val="tx1"/>
            </w14:solidFill>
          </w14:textFill>
        </w:rPr>
        <w:t>变更后，增加金额超出合同总价50万元以上的，由县政府常务会议研究确定。</w:t>
      </w:r>
    </w:p>
    <w:p w14:paraId="07A4CC1D">
      <w:pPr>
        <w:pStyle w:val="12"/>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(三）</w:t>
      </w:r>
      <w:r>
        <w:rPr>
          <w:rFonts w:hint="eastAsia" w:ascii="Times New Roman" w:hAnsi="Times New Roman" w:cs="Times New Roman"/>
          <w:color w:val="000000" w:themeColor="text1"/>
          <w:sz w:val="32"/>
          <w:szCs w:val="32"/>
          <w:u w:val="none"/>
          <w:lang w:val="en-US" w:eastAsia="zh-CN"/>
          <w14:textFill>
            <w14:solidFill>
              <w14:schemeClr w14:val="tx1"/>
            </w14:solidFill>
          </w14:textFill>
        </w:rPr>
        <w:t>严格控制项目变更，完善变更程序，结算总金额不能超过预算执行评审相应金额。</w:t>
      </w:r>
      <w:r>
        <w:rPr>
          <w:rFonts w:hint="eastAsia" w:ascii="Times New Roman" w:hAnsi="Times New Roman" w:cs="Times New Roman"/>
          <w:color w:val="000000" w:themeColor="text1"/>
          <w:sz w:val="32"/>
          <w:szCs w:val="32"/>
          <w:lang w:eastAsia="zh-CN"/>
          <w14:textFill>
            <w14:solidFill>
              <w14:schemeClr w14:val="tx1"/>
            </w14:solidFill>
          </w14:textFill>
        </w:rPr>
        <w:t>项目变更未按规定审批增加投资额的，办理工程结（决）算、资金拨付时不予认可；合同价款以外的变更造价在依程序审批后，办理工程结（决）算时予以认可。</w:t>
      </w:r>
    </w:p>
    <w:p w14:paraId="5023C23E">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九</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审批工程变更时，建设单位需提供以下相关资料：</w:t>
      </w:r>
    </w:p>
    <w:p w14:paraId="69B76908">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（一）变更的内容、原因及相关单位论证意见；</w:t>
      </w:r>
    </w:p>
    <w:p w14:paraId="69FA8657">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（二）变更的资金来源证明；</w:t>
      </w:r>
    </w:p>
    <w:p w14:paraId="4419308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（三）通道侗族自治县政府投资项目工程变更审批表；</w:t>
      </w:r>
    </w:p>
    <w:p w14:paraId="52F7AD9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（四）其他相关资料。</w:t>
      </w:r>
    </w:p>
    <w:p w14:paraId="3D9B879B">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cs="Times New Roman"/>
          <w:bCs/>
          <w:color w:val="FF0000"/>
          <w:sz w:val="32"/>
          <w:szCs w:val="32"/>
          <w:lang w:val="en-US" w:eastAsia="zh-CN"/>
        </w:rPr>
      </w:pPr>
      <w:r>
        <w:rPr>
          <w:rFonts w:hint="default" w:ascii="Times New Roman" w:hAnsi="Times New Roman" w:eastAsia="仿宋_GB2312" w:cs="Times New Roman"/>
          <w:b/>
          <w:bCs/>
          <w:color w:val="auto"/>
          <w:sz w:val="32"/>
          <w:szCs w:val="32"/>
        </w:rPr>
        <w:t xml:space="preserve">第十条 </w:t>
      </w:r>
      <w:r>
        <w:rPr>
          <w:rFonts w:hint="default" w:ascii="Times New Roman" w:hAnsi="Times New Roman" w:eastAsia="仿宋_GB2312" w:cs="Times New Roman"/>
          <w:color w:val="auto"/>
          <w:sz w:val="32"/>
          <w:szCs w:val="32"/>
        </w:rPr>
        <w:t>上级专项资金安排建设的项目变更，上级主管部门另有审批程序的，按上级规定办理后可直接变更，上级同意变更的批复文件可直接作为结算依据。</w:t>
      </w:r>
    </w:p>
    <w:p w14:paraId="09070313">
      <w:pPr>
        <w:pStyle w:val="12"/>
        <w:ind w:left="0" w:leftChars="0" w:firstLine="0" w:firstLineChars="0"/>
        <w:rPr>
          <w:rFonts w:hint="default" w:ascii="Times New Roman" w:hAnsi="Times New Roman" w:cs="Times New Roman"/>
          <w:bCs/>
          <w:color w:val="FF0000"/>
          <w:sz w:val="32"/>
          <w:szCs w:val="32"/>
          <w:lang w:val="en-US" w:eastAsia="zh-CN"/>
        </w:rPr>
      </w:pPr>
    </w:p>
    <w:p w14:paraId="732B7019">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w:t>
      </w:r>
      <w:r>
        <w:rPr>
          <w:rFonts w:hint="eastAsia" w:ascii="Times New Roman" w:hAnsi="Times New Roman"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章</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t>项目</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预算评审</w:t>
      </w:r>
      <w:r>
        <w:rPr>
          <w:rFonts w:hint="default" w:ascii="Times New Roman" w:hAnsi="Times New Roman" w:eastAsia="黑体" w:cs="Times New Roman"/>
          <w:color w:val="000000" w:themeColor="text1"/>
          <w:sz w:val="32"/>
          <w:szCs w:val="32"/>
          <w14:textFill>
            <w14:solidFill>
              <w14:schemeClr w14:val="tx1"/>
            </w14:solidFill>
          </w14:textFill>
        </w:rPr>
        <w:t>管理</w:t>
      </w:r>
    </w:p>
    <w:p w14:paraId="6BB04305">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w:t>
      </w:r>
      <w:r>
        <w:rPr>
          <w:rFonts w:hint="eastAsia" w:ascii="Times New Roman" w:hAnsi="Times New Roman" w:cs="Times New Roman"/>
          <w:b/>
          <w:bCs/>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bCs/>
          <w:color w:val="000000" w:themeColor="text1"/>
          <w:sz w:val="32"/>
          <w:szCs w:val="32"/>
          <w14:textFill>
            <w14:solidFill>
              <w14:schemeClr w14:val="tx1"/>
            </w14:solidFill>
          </w14:textFill>
        </w:rPr>
        <w:t>条</w:t>
      </w:r>
      <w:r>
        <w:rPr>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page">
                  <wp:posOffset>3694430</wp:posOffset>
                </wp:positionH>
                <wp:positionV relativeFrom="paragraph">
                  <wp:posOffset>2394585</wp:posOffset>
                </wp:positionV>
                <wp:extent cx="153035" cy="89535"/>
                <wp:effectExtent l="0" t="0" r="0" b="0"/>
                <wp:wrapNone/>
                <wp:docPr id="18" name="Textbox 18"/>
                <wp:cNvGraphicFramePr/>
                <a:graphic xmlns:a="http://schemas.openxmlformats.org/drawingml/2006/main">
                  <a:graphicData uri="http://schemas.microsoft.com/office/word/2010/wordprocessingShape">
                    <wps:wsp>
                      <wps:cNvSpPr txBox="1"/>
                      <wps:spPr>
                        <a:xfrm>
                          <a:off x="0" y="0"/>
                          <a:ext cx="153035" cy="89535"/>
                        </a:xfrm>
                        <a:prstGeom prst="rect">
                          <a:avLst/>
                        </a:prstGeom>
                      </wps:spPr>
                      <wps:txbx>
                        <w:txbxContent>
                          <w:p w14:paraId="5ECF3F9A">
                            <w:pPr>
                              <w:spacing w:before="0" w:line="240" w:lineRule="exact"/>
                              <w:ind w:left="20" w:right="0" w:firstLine="0"/>
                              <w:jc w:val="left"/>
                              <w:rPr>
                                <w:sz w:val="20"/>
                              </w:rPr>
                            </w:pPr>
                            <w:r>
                              <w:rPr>
                                <w:color w:val="3D3D3D"/>
                                <w:spacing w:val="-10"/>
                                <w:sz w:val="20"/>
                              </w:rPr>
                              <w:t>5</w:t>
                            </w:r>
                          </w:p>
                        </w:txbxContent>
                      </wps:txbx>
                      <wps:bodyPr vert="vert" wrap="square" lIns="0" tIns="0" rIns="0" bIns="0" rtlCol="0">
                        <a:noAutofit/>
                      </wps:bodyPr>
                    </wps:wsp>
                  </a:graphicData>
                </a:graphic>
              </wp:anchor>
            </w:drawing>
          </mc:Choice>
          <mc:Fallback>
            <w:pict>
              <v:shape id="Textbox 18" o:spid="_x0000_s1026" o:spt="202" type="#_x0000_t202" style="position:absolute;left:0pt;margin-left:290.9pt;margin-top:188.55pt;height:7.05pt;width:12.05pt;mso-position-horizontal-relative:page;z-index:251660288;mso-width-relative:page;mso-height-relative:page;" filled="f" stroked="f" coordsize="21600,21600" o:gfxdata="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bM+BXcAAAACwEAAA8AAAAAAAAAAQAgAAAAIgAAAGRycy9kb3ducmV2LnhtbFBLAQIU&#10;ABQAAAAIAIdO4kBmWKq9tgEAAIADAAAOAAAAAAAAAAEAIAAAACsBAABkcnMvZTJvRG9jLnhtbFBL&#10;BQYAAAAABgAGAFkBAABTBQAAAAA=&#10;">
                <v:fill on="f" focussize="0,0"/>
                <v:stroke on="f"/>
                <v:imagedata o:title=""/>
                <o:lock v:ext="edit" aspectratio="f"/>
                <v:textbox inset="0mm,0mm,0mm,0mm" style="layout-flow:vertical;">
                  <w:txbxContent>
                    <w:p w14:paraId="5ECF3F9A">
                      <w:pPr>
                        <w:spacing w:before="0" w:line="240" w:lineRule="exact"/>
                        <w:ind w:left="20" w:right="0" w:firstLine="0"/>
                        <w:jc w:val="left"/>
                        <w:rPr>
                          <w:sz w:val="20"/>
                        </w:rPr>
                      </w:pPr>
                      <w:r>
                        <w:rPr>
                          <w:color w:val="3D3D3D"/>
                          <w:spacing w:val="-10"/>
                          <w:sz w:val="20"/>
                        </w:rPr>
                        <w:t>5</w:t>
                      </w:r>
                    </w:p>
                  </w:txbxContent>
                </v:textbox>
              </v:shape>
            </w:pict>
          </mc:Fallback>
        </mc:AlternateContent>
      </w:r>
      <w:r>
        <w:rPr>
          <w:rFonts w:hint="eastAsia" w:ascii="Times New Roman" w:hAnsi="Times New Roman" w:cs="Times New Roman"/>
          <w:b/>
          <w:bCs/>
          <w:color w:val="000000" w:themeColor="text1"/>
          <w:sz w:val="32"/>
          <w:szCs w:val="32"/>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财政部门组织对拟申请纳入县本级实施的预算项目开展评审，县本级财政预算评审范围主要包括年初部门预算评审、预算执行评审、新增预算评审、可选择评审四类。年初部门预算评审、预算执行评审、新增预算评审，按照“即有即评”原则，由项目单位申报、主管部门初审后，财政部门开展项目预算评审。可选择评审根据财政预算管理需要开展。未按要求进行评审的项目，不得安排预算。具体为：</w:t>
      </w:r>
    </w:p>
    <w:p w14:paraId="41887671">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（一）年初部门预算评审。在部门预算编制阶段，对预算管理审核确认需评审的项目，评审范围为：</w:t>
      </w:r>
    </w:p>
    <w:p w14:paraId="69B9FE1F">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资金需求总额在县本级政府采购限额（含）以上的基本建设、信息化建设（含信息化运维）类项目（含工程费、工程其他费及预备费）；</w:t>
      </w:r>
    </w:p>
    <w:p w14:paraId="134EE59D">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（二）预算执行评审。在年度部门预算执行中，对部门已有预算安排的项目，评审范围为：</w:t>
      </w:r>
    </w:p>
    <w:p w14:paraId="7FB3C88A">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1.县本级政府采购限额（含）以上的工程项目（含与工程相关的货物、设备）。项目申报单位（以下简称申报单位）在完成审图合格的施工图(EPC项目可在完成经批复的初步设计图）并编制项目细化预算后，在招标（采购）之前开展预算执行评审。 </w:t>
      </w:r>
    </w:p>
    <w:p w14:paraId="20E39DB0">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2.县本级政府采购限额（含）以上的信息化项目（含与项目相关的货物、设备）。申报单位在完成详细设计或运维方案并编制项目细化预算后，在招标（采购）之前开展预算执行评审。</w:t>
      </w:r>
    </w:p>
    <w:p w14:paraId="7969CA75">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送审金额不能超过年初部门预算评审金额及批复概算金额。</w:t>
      </w:r>
    </w:p>
    <w:p w14:paraId="160EC6AE">
      <w:pPr>
        <w:pStyle w:val="3"/>
        <w:spacing w:before="1" w:line="338" w:lineRule="auto"/>
        <w:ind w:left="213" w:right="372" w:firstLine="602"/>
        <w:rPr>
          <w:rFonts w:hint="eastAsia"/>
          <w:color w:val="FF0000"/>
          <w:lang w:val="en-US" w:eastAsia="zh-CN"/>
        </w:rPr>
      </w:pPr>
      <w:r>
        <w:rPr>
          <w:rFonts w:hint="eastAsia"/>
          <w:color w:val="000000" w:themeColor="text1"/>
          <w:lang w:val="en-US" w:eastAsia="zh-CN"/>
          <w14:textFill>
            <w14:solidFill>
              <w14:schemeClr w14:val="tx1"/>
            </w14:solidFill>
          </w14:textFill>
        </w:rPr>
        <w:t xml:space="preserve">  （三）新增预算评审。评审范围为：部门拟申请新增预算安排，且资金需求在县本级政府采购限额（含）以上的项目。</w:t>
      </w:r>
    </w:p>
    <w:p w14:paraId="272A587B">
      <w:pPr>
        <w:pStyle w:val="3"/>
        <w:spacing w:before="1" w:line="338" w:lineRule="auto"/>
        <w:ind w:left="213" w:right="372" w:firstLine="60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（四）可选择评审。对巡视巡察、审计、财会监督、预算绩效管理等发现问题的项目，制定支出标准需要评审的项目和其他确有评审必要性的项目，可选择开展预算评审。</w:t>
      </w:r>
    </w:p>
    <w:p w14:paraId="197A4D3D">
      <w:pPr>
        <w:pStyle w:val="3"/>
        <w:spacing w:before="1" w:line="338" w:lineRule="auto"/>
        <w:ind w:left="213" w:right="372" w:firstLine="602"/>
        <w:rPr>
          <w:rFonts w:hint="eastAsia"/>
          <w:color w:val="000000" w:themeColor="text1"/>
          <w:spacing w:val="-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在项目立项前，原则上不开展预算评审。以上项目在开展评审中，涉及新增资产配置的，还应当一并进行资产配置审核。</w:t>
      </w:r>
    </w:p>
    <w:p w14:paraId="15C1F58E">
      <w:pPr>
        <w:pStyle w:val="3"/>
        <w:spacing w:before="1" w:line="338" w:lineRule="auto"/>
        <w:ind w:left="213" w:right="372" w:firstLine="602"/>
        <w:rPr>
          <w:color w:val="000000" w:themeColor="text1"/>
          <w:spacing w:val="-2"/>
          <w14:textFill>
            <w14:solidFill>
              <w14:schemeClr w14:val="tx1"/>
            </w14:solidFill>
          </w14:textFill>
        </w:rPr>
      </w:pPr>
      <w:r>
        <w:rPr>
          <w:b/>
          <w:bCs/>
          <w:color w:val="000000" w:themeColor="text1"/>
          <w:spacing w:val="-2"/>
          <w14:textFill>
            <w14:solidFill>
              <w14:schemeClr w14:val="tx1"/>
            </w14:solidFill>
          </w14:textFill>
        </w:rPr>
        <w:t>第</w:t>
      </w:r>
      <w:r>
        <w:rPr>
          <w:rFonts w:hint="eastAsia"/>
          <w:b/>
          <w:bCs/>
          <w:color w:val="000000" w:themeColor="text1"/>
          <w:spacing w:val="-2"/>
          <w:lang w:val="en-US" w:eastAsia="zh-CN"/>
          <w14:textFill>
            <w14:solidFill>
              <w14:schemeClr w14:val="tx1"/>
            </w14:solidFill>
          </w14:textFill>
        </w:rPr>
        <w:t>十二</w:t>
      </w:r>
      <w:r>
        <w:rPr>
          <w:b/>
          <w:bCs/>
          <w:color w:val="000000" w:themeColor="text1"/>
          <w:spacing w:val="-2"/>
          <w14:textFill>
            <w14:solidFill>
              <w14:schemeClr w14:val="tx1"/>
            </w14:solidFill>
          </w14:textFill>
        </w:rPr>
        <w:t>条</w:t>
      </w:r>
      <w:r>
        <w:rPr>
          <w:rFonts w:hint="eastAsia"/>
          <w:color w:val="000000" w:themeColor="text1"/>
          <w:spacing w:val="-2"/>
          <w:lang w:val="en-US" w:eastAsia="zh-CN"/>
          <w14:textFill>
            <w14:solidFill>
              <w14:schemeClr w14:val="tx1"/>
            </w14:solidFill>
          </w14:textFill>
        </w:rPr>
        <w:t xml:space="preserve">  </w:t>
      </w:r>
      <w:r>
        <w:rPr>
          <w:color w:val="000000" w:themeColor="text1"/>
          <w:spacing w:val="-2"/>
          <w14:textFill>
            <w14:solidFill>
              <w14:schemeClr w14:val="tx1"/>
            </w14:solidFill>
          </w14:textFill>
        </w:rPr>
        <w:t>按照节约高效原则，对以下项目原则上无需开展部门预算评审：</w:t>
      </w:r>
    </w:p>
    <w:p w14:paraId="5BC70F70">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（一）人员类项目和公用经费项目；</w:t>
      </w:r>
    </w:p>
    <w:p w14:paraId="00B8F565">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（二）</w:t>
      </w:r>
      <w:r>
        <w:rPr>
          <w:rFonts w:hint="eastAsia"/>
          <w:color w:val="000000" w:themeColor="text1"/>
          <w:spacing w:val="-2"/>
          <w:lang w:val="en-US" w:eastAsia="zh-CN"/>
          <w14:textFill>
            <w14:solidFill>
              <w14:schemeClr w14:val="tx1"/>
            </w14:solidFill>
          </w14:textFill>
        </w:rPr>
        <w:t>中央</w:t>
      </w:r>
      <w:r>
        <w:rPr>
          <w:color w:val="000000" w:themeColor="text1"/>
          <w:spacing w:val="-2"/>
          <w14:textFill>
            <w14:solidFill>
              <w14:schemeClr w14:val="tx1"/>
            </w14:solidFill>
          </w14:textFill>
        </w:rPr>
        <w:t>和省委省政府、</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委</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政府已出台政策或文件、会议纪要等已明确具体金额的项目；</w:t>
      </w:r>
    </w:p>
    <w:p w14:paraId="5170C781">
      <w:pPr>
        <w:pStyle w:val="3"/>
        <w:spacing w:before="1" w:line="338" w:lineRule="auto"/>
        <w:ind w:left="213" w:right="372" w:firstLine="602"/>
        <w:rPr>
          <w:color w:val="000000" w:themeColor="text1"/>
          <w14:textFill>
            <w14:solidFill>
              <w14:schemeClr w14:val="tx1"/>
            </w14:solidFill>
          </w14:textFill>
        </w:rPr>
      </w:pPr>
      <w:r>
        <w:rPr>
          <w:color w:val="000000" w:themeColor="text1"/>
          <w:spacing w:val="-2"/>
          <w14:textFill>
            <w14:solidFill>
              <w14:schemeClr w14:val="tx1"/>
            </w14:solidFill>
          </w14:textFill>
        </w:rPr>
        <w:t>（三）已开展过预算评审且项目支出总额或年度资金需求未增加的项目；</w:t>
      </w:r>
    </w:p>
    <w:p w14:paraId="1B881AB1">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（四）按财政部门规定或认定的支出标准和任务量可直接测算资金需求的项目；</w:t>
      </w:r>
    </w:p>
    <w:p w14:paraId="1339BA6B">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（五）按规定由项目主管部门（指负责专项资金管理并审核相关单位申报项目的部门）负责评审并批复立项、可行性研究报告、任务书等文件的项目；</w:t>
      </w:r>
    </w:p>
    <w:p w14:paraId="7A3802CF">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（六）项目内容敏感、知悉范围有严格限定的项目；</w:t>
      </w:r>
    </w:p>
    <w:p w14:paraId="6BBE16E9">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（七）项目支出总额低于</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级财政部门规定金额标准的项目；</w:t>
      </w:r>
    </w:p>
    <w:p w14:paraId="72BBAD49">
      <w:pPr>
        <w:pStyle w:val="3"/>
        <w:spacing w:before="1" w:line="338" w:lineRule="auto"/>
        <w:ind w:left="213" w:right="372" w:firstLine="602"/>
        <w:rPr>
          <w:rFonts w:hint="eastAsia"/>
          <w:color w:val="000000" w:themeColor="text1"/>
          <w:spacing w:val="-2"/>
          <w:lang w:eastAsia="zh-CN"/>
          <w14:textFill>
            <w14:solidFill>
              <w14:schemeClr w14:val="tx1"/>
            </w14:solidFill>
          </w14:textFill>
        </w:rPr>
      </w:pPr>
      <w:r>
        <w:rPr>
          <w:color w:val="000000" w:themeColor="text1"/>
          <w:spacing w:val="-2"/>
          <w14:textFill>
            <w14:solidFill>
              <w14:schemeClr w14:val="tx1"/>
            </w14:solidFill>
          </w14:textFill>
        </w:rPr>
        <w:t>（八）</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委</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政府及财政部门规定不需评审的其他项目。</w:t>
      </w:r>
    </w:p>
    <w:p w14:paraId="351190C7">
      <w:pPr>
        <w:pStyle w:val="3"/>
        <w:spacing w:before="1" w:line="338" w:lineRule="auto"/>
        <w:ind w:left="213" w:right="372" w:firstLine="602"/>
        <w:rPr>
          <w:color w:val="000000" w:themeColor="text1"/>
          <w:spacing w:val="-2"/>
          <w:sz w:val="32"/>
          <w:u w:val="none"/>
          <w14:textFill>
            <w14:solidFill>
              <w14:schemeClr w14:val="tx1"/>
            </w14:solidFill>
          </w14:textFill>
        </w:rPr>
      </w:pPr>
      <w:r>
        <w:rPr>
          <w:b/>
          <w:bCs/>
          <w:color w:val="000000" w:themeColor="text1"/>
          <w:spacing w:val="-2"/>
          <w:sz w:val="32"/>
          <w:u w:val="none"/>
          <w14:textFill>
            <w14:solidFill>
              <w14:schemeClr w14:val="tx1"/>
            </w14:solidFill>
          </w14:textFill>
        </w:rPr>
        <w:t>第</w:t>
      </w:r>
      <w:r>
        <w:rPr>
          <w:rFonts w:hint="eastAsia"/>
          <w:b/>
          <w:bCs/>
          <w:color w:val="000000" w:themeColor="text1"/>
          <w:spacing w:val="-2"/>
          <w:sz w:val="32"/>
          <w:u w:val="none"/>
          <w:lang w:val="en-US" w:eastAsia="zh-CN"/>
          <w14:textFill>
            <w14:solidFill>
              <w14:schemeClr w14:val="tx1"/>
            </w14:solidFill>
          </w14:textFill>
        </w:rPr>
        <w:t>十三</w:t>
      </w:r>
      <w:r>
        <w:rPr>
          <w:b/>
          <w:bCs/>
          <w:color w:val="000000" w:themeColor="text1"/>
          <w:spacing w:val="-2"/>
          <w:sz w:val="32"/>
          <w:u w:val="none"/>
          <w14:textFill>
            <w14:solidFill>
              <w14:schemeClr w14:val="tx1"/>
            </w14:solidFill>
          </w14:textFill>
        </w:rPr>
        <w:t>条</w:t>
      </w:r>
      <w:r>
        <w:rPr>
          <w:rFonts w:hint="eastAsia"/>
          <w:color w:val="000000" w:themeColor="text1"/>
          <w:spacing w:val="-2"/>
          <w:sz w:val="32"/>
          <w:u w:val="none"/>
          <w:lang w:val="en-US" w:eastAsia="zh-CN"/>
          <w14:textFill>
            <w14:solidFill>
              <w14:schemeClr w14:val="tx1"/>
            </w14:solidFill>
          </w14:textFill>
        </w:rPr>
        <w:t xml:space="preserve">  县</w:t>
      </w:r>
      <w:r>
        <w:rPr>
          <w:color w:val="000000" w:themeColor="text1"/>
          <w:spacing w:val="-2"/>
          <w:sz w:val="32"/>
          <w:u w:val="none"/>
          <w14:textFill>
            <w14:solidFill>
              <w14:schemeClr w14:val="tx1"/>
            </w14:solidFill>
          </w14:textFill>
        </w:rPr>
        <w:t>级财政部门要统筹安排预算评审和财政事前绩效评估等工作。财政事前绩效评估、成本预算绩效管理等已经对项</w:t>
      </w:r>
      <w:r>
        <w:rPr>
          <w:color w:val="000000" w:themeColor="text1"/>
          <w:spacing w:val="-2"/>
          <w:sz w:val="32"/>
          <w:u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page">
                  <wp:posOffset>3757930</wp:posOffset>
                </wp:positionH>
                <wp:positionV relativeFrom="paragraph">
                  <wp:posOffset>1054735</wp:posOffset>
                </wp:positionV>
                <wp:extent cx="159385" cy="92710"/>
                <wp:effectExtent l="0" t="0" r="0" b="0"/>
                <wp:wrapNone/>
                <wp:docPr id="20" name="Textbox 20"/>
                <wp:cNvGraphicFramePr/>
                <a:graphic xmlns:a="http://schemas.openxmlformats.org/drawingml/2006/main">
                  <a:graphicData uri="http://schemas.microsoft.com/office/word/2010/wordprocessingShape">
                    <wps:wsp>
                      <wps:cNvSpPr txBox="1"/>
                      <wps:spPr>
                        <a:xfrm>
                          <a:off x="0" y="0"/>
                          <a:ext cx="159385" cy="92710"/>
                        </a:xfrm>
                        <a:prstGeom prst="rect">
                          <a:avLst/>
                        </a:prstGeom>
                      </wps:spPr>
                      <wps:txbx>
                        <w:txbxContent>
                          <w:p w14:paraId="78D6B115">
                            <w:pPr>
                              <w:spacing w:before="0" w:line="250" w:lineRule="exact"/>
                              <w:ind w:left="20" w:right="0" w:firstLine="0"/>
                              <w:jc w:val="left"/>
                              <w:rPr>
                                <w:sz w:val="21"/>
                              </w:rPr>
                            </w:pPr>
                            <w:r>
                              <w:rPr>
                                <w:color w:val="575757"/>
                                <w:spacing w:val="-10"/>
                                <w:sz w:val="21"/>
                              </w:rPr>
                              <w:t>7</w:t>
                            </w:r>
                          </w:p>
                        </w:txbxContent>
                      </wps:txbx>
                      <wps:bodyPr vert="vert" wrap="square" lIns="0" tIns="0" rIns="0" bIns="0" rtlCol="0">
                        <a:noAutofit/>
                      </wps:bodyPr>
                    </wps:wsp>
                  </a:graphicData>
                </a:graphic>
              </wp:anchor>
            </w:drawing>
          </mc:Choice>
          <mc:Fallback>
            <w:pict>
              <v:shape id="Textbox 20" o:spid="_x0000_s1026" o:spt="202" type="#_x0000_t202" style="position:absolute;left:0pt;margin-left:295.9pt;margin-top:83.05pt;height:7.3pt;width:12.55pt;mso-position-horizontal-relative:page;z-index:251661312;mso-width-relative:page;mso-height-relative:page;" filled="f" stroked="f" coordsize="21600,21600" o:gfxdata="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gL8d2wAAAAsBAAAPAAAAAAAAAAEAIAAAACIAAABkcnMvZG93bnJldi54bWxQSwEC&#10;FAAUAAAACACHTuJAVG85jrgBAACAAwAADgAAAAAAAAABACAAAAAqAQAAZHJzL2Uyb0RvYy54bWxQ&#10;SwUGAAAAAAYABgBZAQAAVAUAAAAA&#10;">
                <v:fill on="f" focussize="0,0"/>
                <v:stroke on="f"/>
                <v:imagedata o:title=""/>
                <o:lock v:ext="edit" aspectratio="f"/>
                <v:textbox inset="0mm,0mm,0mm,0mm" style="layout-flow:vertical;">
                  <w:txbxContent>
                    <w:p w14:paraId="78D6B115">
                      <w:pPr>
                        <w:spacing w:before="0" w:line="250" w:lineRule="exact"/>
                        <w:ind w:left="20" w:right="0" w:firstLine="0"/>
                        <w:jc w:val="left"/>
                        <w:rPr>
                          <w:sz w:val="21"/>
                        </w:rPr>
                      </w:pPr>
                      <w:r>
                        <w:rPr>
                          <w:color w:val="575757"/>
                          <w:spacing w:val="-10"/>
                          <w:sz w:val="21"/>
                        </w:rPr>
                        <w:t>7</w:t>
                      </w:r>
                    </w:p>
                  </w:txbxContent>
                </v:textbox>
              </v:shape>
            </w:pict>
          </mc:Fallback>
        </mc:AlternateContent>
      </w:r>
      <w:r>
        <w:rPr>
          <w:color w:val="000000" w:themeColor="text1"/>
          <w:spacing w:val="-2"/>
          <w:sz w:val="32"/>
          <w:u w:val="none"/>
          <w14:textFill>
            <w14:solidFill>
              <w14:schemeClr w14:val="tx1"/>
            </w14:solidFill>
          </w14:textFill>
        </w:rPr>
        <w:t>目资金需求出具明确意见的，视为</w:t>
      </w:r>
      <w:r>
        <w:rPr>
          <w:rFonts w:hint="eastAsia"/>
          <w:color w:val="000000" w:themeColor="text1"/>
          <w:spacing w:val="-2"/>
          <w:sz w:val="32"/>
          <w:u w:val="none"/>
          <w:lang w:eastAsia="zh-CN"/>
          <w14:textFill>
            <w14:solidFill>
              <w14:schemeClr w14:val="tx1"/>
            </w14:solidFill>
          </w14:textFill>
        </w:rPr>
        <w:t>已</w:t>
      </w:r>
      <w:r>
        <w:rPr>
          <w:color w:val="000000" w:themeColor="text1"/>
          <w:spacing w:val="-2"/>
          <w:sz w:val="32"/>
          <w:u w:val="none"/>
          <w14:textFill>
            <w14:solidFill>
              <w14:schemeClr w14:val="tx1"/>
            </w14:solidFill>
          </w14:textFill>
        </w:rPr>
        <w:t>开展</w:t>
      </w:r>
      <w:r>
        <w:rPr>
          <w:rFonts w:hint="eastAsia"/>
          <w:color w:val="000000" w:themeColor="text1"/>
          <w:spacing w:val="-2"/>
          <w:sz w:val="32"/>
          <w:u w:val="none"/>
          <w:lang w:eastAsia="zh-CN"/>
          <w14:textFill>
            <w14:solidFill>
              <w14:schemeClr w14:val="tx1"/>
            </w14:solidFill>
          </w14:textFill>
        </w:rPr>
        <w:t>部门</w:t>
      </w:r>
      <w:r>
        <w:rPr>
          <w:color w:val="000000" w:themeColor="text1"/>
          <w:spacing w:val="-2"/>
          <w:sz w:val="32"/>
          <w:u w:val="none"/>
          <w14:textFill>
            <w14:solidFill>
              <w14:schemeClr w14:val="tx1"/>
            </w14:solidFill>
          </w14:textFill>
        </w:rPr>
        <w:t>预算评审</w:t>
      </w:r>
      <w:r>
        <w:rPr>
          <w:rFonts w:hint="eastAsia"/>
          <w:color w:val="000000" w:themeColor="text1"/>
          <w:spacing w:val="-2"/>
          <w:sz w:val="32"/>
          <w:u w:val="none"/>
          <w:lang w:eastAsia="zh-CN"/>
          <w14:textFill>
            <w14:solidFill>
              <w14:schemeClr w14:val="tx1"/>
            </w14:solidFill>
          </w14:textFill>
        </w:rPr>
        <w:t>。</w:t>
      </w:r>
    </w:p>
    <w:p w14:paraId="6C9AEE10">
      <w:pPr>
        <w:pStyle w:val="3"/>
        <w:spacing w:before="1" w:line="338" w:lineRule="auto"/>
        <w:ind w:left="213" w:right="372" w:firstLine="602"/>
        <w:rPr>
          <w:rFonts w:hint="eastAsia"/>
          <w:color w:val="000000" w:themeColor="text1"/>
          <w:spacing w:val="-2"/>
          <w:lang w:val="en-US" w:eastAsia="zh-CN"/>
          <w14:textFill>
            <w14:solidFill>
              <w14:schemeClr w14:val="tx1"/>
            </w14:solidFill>
          </w14:textFill>
        </w:rPr>
      </w:pPr>
      <w:r>
        <w:rPr>
          <w:b/>
          <w:bCs/>
          <w:color w:val="000000" w:themeColor="text1"/>
          <w:spacing w:val="-2"/>
          <w14:textFill>
            <w14:solidFill>
              <w14:schemeClr w14:val="tx1"/>
            </w14:solidFill>
          </w14:textFill>
        </w:rPr>
        <w:t>第十</w:t>
      </w:r>
      <w:r>
        <w:rPr>
          <w:rFonts w:hint="eastAsia"/>
          <w:b/>
          <w:bCs/>
          <w:color w:val="000000" w:themeColor="text1"/>
          <w:spacing w:val="-2"/>
          <w:lang w:eastAsia="zh-CN"/>
          <w14:textFill>
            <w14:solidFill>
              <w14:schemeClr w14:val="tx1"/>
            </w14:solidFill>
          </w14:textFill>
        </w:rPr>
        <w:t>四</w:t>
      </w:r>
      <w:r>
        <w:rPr>
          <w:b/>
          <w:bCs/>
          <w:color w:val="000000" w:themeColor="text1"/>
          <w:spacing w:val="-2"/>
          <w14:textFill>
            <w14:solidFill>
              <w14:schemeClr w14:val="tx1"/>
            </w14:solidFill>
          </w14:textFill>
        </w:rPr>
        <w:t>条</w:t>
      </w:r>
      <w:r>
        <w:rPr>
          <w:rFonts w:hint="eastAsia"/>
          <w:color w:val="000000" w:themeColor="text1"/>
          <w:spacing w:val="-2"/>
          <w:lang w:val="en-US" w:eastAsia="zh-CN"/>
          <w14:textFill>
            <w14:solidFill>
              <w14:schemeClr w14:val="tx1"/>
            </w14:solidFill>
          </w14:textFill>
        </w:rPr>
        <w:t xml:space="preserve">  县级财政评审机构可组织中心评审员、委托专家、委托有相关专业能力的中介机构开展预算评审。原则上在接到评审任务且项目资料满足评审条件后15个工作日内出具评审报告，对于集中委托的评审任务，原则上45个工作日内出具评审报告。对资料不符合要求的，一次性告知，限期补正，因申报单位原因造成时限延长不计入评审工作时间。</w:t>
      </w:r>
    </w:p>
    <w:p w14:paraId="3B48C97D">
      <w:pPr>
        <w:pStyle w:val="3"/>
        <w:spacing w:before="1" w:line="338" w:lineRule="auto"/>
        <w:ind w:left="213" w:right="372" w:firstLine="602"/>
        <w:rPr>
          <w:rFonts w:hint="eastAsia"/>
          <w:color w:val="000000" w:themeColor="text1"/>
          <w:spacing w:val="-2"/>
          <w:lang w:val="en-US" w:eastAsia="zh-CN"/>
          <w14:textFill>
            <w14:solidFill>
              <w14:schemeClr w14:val="tx1"/>
            </w14:solidFill>
          </w14:textFill>
        </w:rPr>
      </w:pPr>
      <w:r>
        <w:rPr>
          <w:b/>
          <w:bCs/>
          <w:color w:val="000000" w:themeColor="text1"/>
          <w:spacing w:val="-2"/>
          <w14:textFill>
            <w14:solidFill>
              <w14:schemeClr w14:val="tx1"/>
            </w14:solidFill>
          </w14:textFill>
        </w:rPr>
        <w:t>第十</w:t>
      </w:r>
      <w:r>
        <w:rPr>
          <w:rFonts w:hint="eastAsia"/>
          <w:b/>
          <w:bCs/>
          <w:color w:val="000000" w:themeColor="text1"/>
          <w:spacing w:val="-2"/>
          <w:lang w:eastAsia="zh-CN"/>
          <w14:textFill>
            <w14:solidFill>
              <w14:schemeClr w14:val="tx1"/>
            </w14:solidFill>
          </w14:textFill>
        </w:rPr>
        <w:t>五</w:t>
      </w:r>
      <w:r>
        <w:rPr>
          <w:b/>
          <w:bCs/>
          <w:color w:val="000000" w:themeColor="text1"/>
          <w:spacing w:val="-2"/>
          <w14:textFill>
            <w14:solidFill>
              <w14:schemeClr w14:val="tx1"/>
            </w14:solidFill>
          </w14:textFill>
        </w:rPr>
        <w:t>条</w:t>
      </w:r>
      <w:r>
        <w:rPr>
          <w:rFonts w:hint="eastAsia"/>
          <w:color w:val="000000" w:themeColor="text1"/>
          <w:spacing w:val="-2"/>
          <w:lang w:val="en-US" w:eastAsia="zh-CN"/>
          <w14:textFill>
            <w14:solidFill>
              <w14:schemeClr w14:val="tx1"/>
            </w14:solidFill>
          </w14:textFill>
        </w:rPr>
        <w:t xml:space="preserve"> 建设单位、监理单位须对签字确认后的送审资料合法性、真实性、准确性、完整性负责，因送审资料原因造成的造价变化审核单位不承担责任。</w:t>
      </w:r>
    </w:p>
    <w:p w14:paraId="2A3464C2">
      <w:pPr>
        <w:pStyle w:val="3"/>
        <w:spacing w:before="1" w:line="338" w:lineRule="auto"/>
        <w:ind w:left="213" w:right="372" w:firstLine="602"/>
        <w:rPr>
          <w:color w:val="000000" w:themeColor="text1"/>
          <w:spacing w:val="-2"/>
          <w14:textFill>
            <w14:solidFill>
              <w14:schemeClr w14:val="tx1"/>
            </w14:solidFill>
          </w14:textFill>
        </w:rPr>
      </w:pPr>
      <w:r>
        <w:rPr>
          <w:rFonts w:hint="eastAsia"/>
          <w:b/>
          <w:bCs/>
          <w:color w:val="000000" w:themeColor="text1"/>
          <w:spacing w:val="-2"/>
          <w:lang w:val="en-US" w:eastAsia="zh-CN"/>
          <w14:textFill>
            <w14:solidFill>
              <w14:schemeClr w14:val="tx1"/>
            </w14:solidFill>
          </w14:textFill>
        </w:rPr>
        <w:t>第十六条</w:t>
      </w:r>
      <w:r>
        <w:rPr>
          <w:rFonts w:hint="eastAsia"/>
          <w:color w:val="000000" w:themeColor="text1"/>
          <w:spacing w:val="-2"/>
          <w:lang w:val="en-US" w:eastAsia="zh-CN"/>
          <w14:textFill>
            <w14:solidFill>
              <w14:schemeClr w14:val="tx1"/>
            </w14:solidFill>
          </w14:textFill>
        </w:rPr>
        <w:t xml:space="preserve"> 县</w:t>
      </w:r>
      <w:r>
        <w:rPr>
          <w:color w:val="000000" w:themeColor="text1"/>
          <w:spacing w:val="-2"/>
          <w14:textFill>
            <w14:solidFill>
              <w14:schemeClr w14:val="tx1"/>
            </w14:solidFill>
          </w14:textFill>
        </w:rPr>
        <w:t>级财政部门应当加强预算评审结果运用，结果运用的方式包括：</w:t>
      </w:r>
    </w:p>
    <w:p w14:paraId="5AEE1B73">
      <w:pPr>
        <w:pStyle w:val="3"/>
        <w:spacing w:before="1" w:line="338" w:lineRule="auto"/>
        <w:ind w:left="213" w:right="372" w:firstLine="602"/>
        <w:rPr>
          <w:color w:val="000000" w:themeColor="text1"/>
          <w:spacing w:val="-2"/>
          <w14:textFill>
            <w14:solidFill>
              <w14:schemeClr w14:val="tx1"/>
            </w14:solidFill>
          </w14:textFill>
        </w:rPr>
      </w:pPr>
      <w:r>
        <w:rPr>
          <w:color w:val="000000" w:themeColor="text1"/>
          <w:spacing w:val="-2"/>
          <w14:textFill>
            <w14:solidFill>
              <w14:schemeClr w14:val="tx1"/>
            </w14:solidFill>
          </w14:textFill>
        </w:rPr>
        <w:t>预算评审结果作为预算编制和执行的重要依据，不作为申报单位招投标、政府采购、结算和决算的依据。</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级财政部门运用年初部门预算评审结果指导</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直部门（</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本级预算单位）编制并审核项目支出预算，被评审项目预算安排金额一般不应超</w:t>
      </w:r>
      <w:r>
        <w:rPr>
          <w:rFonts w:hint="eastAsia"/>
          <w:color w:val="000000" w:themeColor="text1"/>
          <w:spacing w:val="-2"/>
          <w:lang w:val="en-US" w:eastAsia="zh-CN"/>
          <w14:textFill>
            <w14:solidFill>
              <w14:schemeClr w14:val="tx1"/>
            </w14:solidFill>
          </w14:textFill>
        </w:rPr>
        <w:t>过</w:t>
      </w:r>
      <w:r>
        <w:rPr>
          <w:color w:val="000000" w:themeColor="text1"/>
          <w:spacing w:val="-2"/>
          <w14:textFill>
            <w14:solidFill>
              <w14:schemeClr w14:val="tx1"/>
            </w14:solidFill>
          </w14:textFill>
        </w:rPr>
        <w:t>评审结果，确需超出评审结果安排预算的，应由相关部门、</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级财政部门严格论证后，在部门、单位预算审核测算过程中作出重点说明。运用预算执行评审结果调整预算安排并指导</w:t>
      </w:r>
      <w:r>
        <w:rPr>
          <w:rFonts w:hint="eastAsia"/>
          <w:color w:val="000000" w:themeColor="text1"/>
          <w:spacing w:val="-2"/>
          <w:lang w:val="en-US" w:eastAsia="zh-CN"/>
          <w14:textFill>
            <w14:solidFill>
              <w14:schemeClr w14:val="tx1"/>
            </w14:solidFill>
          </w14:textFill>
        </w:rPr>
        <w:t>县</w:t>
      </w:r>
      <w:r>
        <w:rPr>
          <w:color w:val="000000" w:themeColor="text1"/>
          <w:spacing w:val="-2"/>
          <w14:textFill>
            <w14:solidFill>
              <w14:schemeClr w14:val="tx1"/>
            </w14:solidFill>
          </w14:textFill>
        </w:rPr>
        <w:t>直部门严控预算执行，招标（采购）控制价和合同价不应超过预算执行评审结果。运用新增预算评审结果提出预算安排建议。</w:t>
      </w:r>
    </w:p>
    <w:p w14:paraId="2BFEF772">
      <w:pPr>
        <w:pStyle w:val="3"/>
        <w:numPr>
          <w:ilvl w:val="0"/>
          <w:numId w:val="0"/>
        </w:numPr>
        <w:spacing w:before="1" w:line="338" w:lineRule="auto"/>
        <w:ind w:right="372" w:rightChars="0" w:firstLine="635" w:firstLineChars="200"/>
        <w:rPr>
          <w:color w:val="000000" w:themeColor="text1"/>
          <w:spacing w:val="-2"/>
          <w14:textFill>
            <w14:solidFill>
              <w14:schemeClr w14:val="tx1"/>
            </w14:solidFill>
          </w14:textFill>
        </w:rPr>
      </w:pPr>
      <w:r>
        <w:rPr>
          <w:b/>
          <w:bCs/>
          <w:color w:val="000000" w:themeColor="text1"/>
          <w:spacing w:val="-2"/>
          <w14:textFill>
            <w14:solidFill>
              <w14:schemeClr w14:val="tx1"/>
            </w14:solidFill>
          </w14:textFill>
        </w:rPr>
        <w:t>第十</w:t>
      </w:r>
      <w:r>
        <w:rPr>
          <w:rFonts w:hint="eastAsia"/>
          <w:b/>
          <w:bCs/>
          <w:color w:val="000000" w:themeColor="text1"/>
          <w:spacing w:val="-2"/>
          <w:lang w:eastAsia="zh-CN"/>
          <w14:textFill>
            <w14:solidFill>
              <w14:schemeClr w14:val="tx1"/>
            </w14:solidFill>
          </w14:textFill>
        </w:rPr>
        <w:t>七</w:t>
      </w:r>
      <w:r>
        <w:rPr>
          <w:b/>
          <w:bCs/>
          <w:color w:val="000000" w:themeColor="text1"/>
          <w:spacing w:val="-2"/>
          <w14:textFill>
            <w14:solidFill>
              <w14:schemeClr w14:val="tx1"/>
            </w14:solidFill>
          </w14:textFill>
        </w:rPr>
        <w:t>条</w:t>
      </w:r>
      <w:r>
        <w:rPr>
          <w:rFonts w:hint="eastAsia"/>
          <w:color w:val="000000" w:themeColor="text1"/>
          <w:spacing w:val="-2"/>
          <w:lang w:val="en-US" w:eastAsia="zh-CN"/>
          <w14:textFill>
            <w14:solidFill>
              <w14:schemeClr w14:val="tx1"/>
            </w14:solidFill>
          </w14:textFill>
        </w:rPr>
        <w:t xml:space="preserve">  县</w:t>
      </w:r>
      <w:r>
        <w:rPr>
          <w:color w:val="000000" w:themeColor="text1"/>
          <w:spacing w:val="-2"/>
          <w14:textFill>
            <w14:solidFill>
              <w14:schemeClr w14:val="tx1"/>
            </w14:solidFill>
          </w14:textFill>
        </w:rPr>
        <w:t>本级预算评审所需经费按照“谁委托谁付费＂的原则。</w:t>
      </w:r>
    </w:p>
    <w:p w14:paraId="20668C90">
      <w:pPr>
        <w:pStyle w:val="3"/>
        <w:spacing w:before="1" w:line="338" w:lineRule="auto"/>
        <w:ind w:left="213" w:right="372" w:firstLine="602"/>
        <w:rPr>
          <w:color w:val="000000" w:themeColor="text1"/>
          <w:spacing w:val="-2"/>
          <w14:textFill>
            <w14:solidFill>
              <w14:schemeClr w14:val="tx1"/>
            </w14:solidFill>
          </w14:textFill>
        </w:rPr>
      </w:pPr>
      <w:r>
        <w:rPr>
          <w:b/>
          <w:bCs/>
          <w:color w:val="000000" w:themeColor="text1"/>
          <w:spacing w:val="-2"/>
          <w14:textFill>
            <w14:solidFill>
              <w14:schemeClr w14:val="tx1"/>
            </w14:solidFill>
          </w14:textFill>
        </w:rPr>
        <w:t>第十</w:t>
      </w:r>
      <w:r>
        <w:rPr>
          <w:rFonts w:hint="eastAsia"/>
          <w:b/>
          <w:bCs/>
          <w:color w:val="000000" w:themeColor="text1"/>
          <w:spacing w:val="-2"/>
          <w:lang w:eastAsia="zh-CN"/>
          <w14:textFill>
            <w14:solidFill>
              <w14:schemeClr w14:val="tx1"/>
            </w14:solidFill>
          </w14:textFill>
        </w:rPr>
        <w:t>八</w:t>
      </w:r>
      <w:r>
        <w:rPr>
          <w:b/>
          <w:bCs/>
          <w:color w:val="000000" w:themeColor="text1"/>
          <w:spacing w:val="-2"/>
          <w14:textFill>
            <w14:solidFill>
              <w14:schemeClr w14:val="tx1"/>
            </w14:solidFill>
          </w14:textFill>
        </w:rPr>
        <w:t>条</w:t>
      </w:r>
      <w:r>
        <w:rPr>
          <w:rFonts w:hint="eastAsia"/>
          <w:color w:val="000000" w:themeColor="text1"/>
          <w:spacing w:val="-2"/>
          <w:lang w:val="en-US" w:eastAsia="zh-CN"/>
          <w14:textFill>
            <w14:solidFill>
              <w14:schemeClr w14:val="tx1"/>
            </w14:solidFill>
          </w14:textFill>
        </w:rPr>
        <w:t xml:space="preserve">  </w:t>
      </w:r>
      <w:r>
        <w:rPr>
          <w:color w:val="000000" w:themeColor="text1"/>
          <w:spacing w:val="-2"/>
          <w14:textFill>
            <w14:solidFill>
              <w14:schemeClr w14:val="tx1"/>
            </w14:solidFill>
          </w14:textFill>
        </w:rPr>
        <w:t>项目单位切实履行项目招标采购、结算、决算管理主体责任，强化内控，严防财务风险。项目主管部门督促和指导项目单位做好项目预算编制、执行和调整，并审核批复项目竣工财务决算。</w:t>
      </w:r>
    </w:p>
    <w:p w14:paraId="67CB6AAD">
      <w:pPr>
        <w:keepNext w:val="0"/>
        <w:keepLines w:val="0"/>
        <w:pageBreakBefore w:val="0"/>
        <w:widowControl w:val="0"/>
        <w:kinsoku/>
        <w:wordWrap/>
        <w:overflowPunct/>
        <w:topLinePunct w:val="0"/>
        <w:autoSpaceDE/>
        <w:autoSpaceDN/>
        <w:bidi w:val="0"/>
        <w:spacing w:line="560" w:lineRule="exact"/>
        <w:ind w:firstLine="635"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b/>
          <w:bCs/>
          <w:color w:val="000000" w:themeColor="text1"/>
          <w:spacing w:val="-2"/>
          <w:lang w:eastAsia="zh-CN"/>
          <w14:textFill>
            <w14:solidFill>
              <w14:schemeClr w14:val="tx1"/>
            </w14:solidFill>
          </w14:textFill>
        </w:rPr>
        <w:t>第十九条</w:t>
      </w:r>
      <w:r>
        <w:rPr>
          <w:rFonts w:hint="eastAsia"/>
          <w:b/>
          <w:bCs/>
          <w:color w:val="000000" w:themeColor="text1"/>
          <w:spacing w:val="-2"/>
          <w:lang w:val="en-US" w:eastAsia="zh-CN"/>
          <w14:textFill>
            <w14:solidFill>
              <w14:schemeClr w14:val="tx1"/>
            </w14:solidFill>
          </w14:textFill>
        </w:rPr>
        <w:t xml:space="preserve"> </w:t>
      </w:r>
      <w:r>
        <w:rPr>
          <w:rFonts w:hint="eastAsia"/>
          <w:color w:val="000000" w:themeColor="text1"/>
          <w:spacing w:val="-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政府采购限额标准以下项目的预算、结算由建设单位审核把关。其中工程结算由建设单位按现行基本建设管理制度审核后直接拨付。办理资金拨付时须提交以下资料：工程合同、发票、建设单位集体研究会议纪要、建设单位经办人员和主要负责人同时签字并盖章确认的工程价款详细组成清单及工程量签证单。</w:t>
      </w:r>
    </w:p>
    <w:p w14:paraId="381CFCB2">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lang w:eastAsia="zh-CN"/>
          <w14:textFill>
            <w14:solidFill>
              <w14:schemeClr w14:val="tx1"/>
            </w14:solidFill>
          </w14:textFill>
        </w:rPr>
        <w:t>第二十条</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向中介造价机构购买服务</w:t>
      </w:r>
      <w:r>
        <w:rPr>
          <w:rFonts w:hint="eastAsia" w:ascii="Times New Roman" w:hAnsi="Times New Roman" w:cs="Times New Roman"/>
          <w:color w:val="000000" w:themeColor="text1"/>
          <w:sz w:val="32"/>
          <w:szCs w:val="32"/>
          <w:lang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服务费在政府采购限额标准以上按《怀化市202</w:t>
      </w: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年政府集中采购目录及政府采购限额标准》（怀财购〔202</w:t>
      </w:r>
      <w:r>
        <w:rPr>
          <w:rFonts w:hint="eastAsia"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52</w:t>
      </w:r>
      <w:r>
        <w:rPr>
          <w:rFonts w:hint="default" w:ascii="Times New Roman" w:hAnsi="Times New Roman" w:eastAsia="仿宋_GB2312" w:cs="Times New Roman"/>
          <w:color w:val="000000" w:themeColor="text1"/>
          <w:sz w:val="32"/>
          <w:szCs w:val="32"/>
          <w14:textFill>
            <w14:solidFill>
              <w14:schemeClr w14:val="tx1"/>
            </w14:solidFill>
          </w14:textFill>
        </w:rPr>
        <w:t>号）文件执行。政府采购工程及工程建设有关的货物和服务公开招标数额按国家发展和改革委员会2018年第16号令执行。</w:t>
      </w:r>
    </w:p>
    <w:p w14:paraId="297D6A0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介机构为建设单位提供的项目前期工程咨询服务、工程勘察与设计服务、工程监理服务、工程造价咨询服务、环评咨询、土地成本复核、会计事务咨询等费用，按照公平合理和诚实信用的原则，依据服务质量、服务成本和市场供求情况按照不超过行业协会制定收费标准的</w:t>
      </w:r>
      <w:r>
        <w:rPr>
          <w:rFonts w:hint="eastAsia" w:ascii="Times New Roman" w:hAnsi="Times New Roman" w:cs="Times New Roman"/>
          <w:color w:val="000000" w:themeColor="text1"/>
          <w:sz w:val="32"/>
          <w:szCs w:val="32"/>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14:textFill>
            <w14:solidFill>
              <w14:schemeClr w14:val="tx1"/>
            </w14:solidFill>
          </w14:textFill>
        </w:rPr>
        <w:t>%确定。</w:t>
      </w:r>
    </w:p>
    <w:p w14:paraId="73F0516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rightChars="0" w:firstLine="640" w:firstLineChars="200"/>
        <w:jc w:val="left"/>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预、结算审核服务费总额，实行保底和封顶，单个项目低于 1000元的按1000元计算，高于20万元按20万元计算。</w:t>
      </w:r>
    </w:p>
    <w:p w14:paraId="54C83BEE">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w:t>
      </w:r>
      <w:r>
        <w:rPr>
          <w:rFonts w:hint="eastAsia" w:ascii="Times New Roman" w:hAnsi="Times New Roman" w:cs="Times New Roman"/>
          <w:b/>
          <w:bCs/>
          <w:color w:val="auto"/>
          <w:sz w:val="32"/>
          <w:szCs w:val="32"/>
          <w:lang w:eastAsia="zh-CN"/>
        </w:rPr>
        <w:t>一</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向中介造价机构购买服务所发生费用按以下方式解决：</w:t>
      </w:r>
    </w:p>
    <w:p w14:paraId="1AE2D46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一</w:t>
      </w:r>
      <w:r>
        <w:rPr>
          <w:rFonts w:hint="default" w:ascii="Times New Roman" w:hAnsi="Times New Roman" w:eastAsia="仿宋_GB2312" w:cs="Times New Roman"/>
          <w:color w:val="auto"/>
          <w:sz w:val="32"/>
          <w:szCs w:val="32"/>
        </w:rPr>
        <w:t>）上级专项资金安排建设的项目，按照相关</w:t>
      </w:r>
      <w:r>
        <w:rPr>
          <w:rFonts w:hint="eastAsia" w:ascii="Times New Roman" w:hAnsi="Times New Roman" w:cs="Times New Roman"/>
          <w:color w:val="auto"/>
          <w:sz w:val="32"/>
          <w:szCs w:val="32"/>
          <w:lang w:eastAsia="zh-CN"/>
        </w:rPr>
        <w:t>资金管理办法</w:t>
      </w:r>
      <w:r>
        <w:rPr>
          <w:rFonts w:hint="default" w:ascii="Times New Roman" w:hAnsi="Times New Roman" w:eastAsia="仿宋_GB2312" w:cs="Times New Roman"/>
          <w:color w:val="auto"/>
          <w:sz w:val="32"/>
          <w:szCs w:val="32"/>
        </w:rPr>
        <w:t>可以在专项资金中列支的，从相应的专项资金中支付，费用纳入项目建设成本。</w:t>
      </w:r>
    </w:p>
    <w:p w14:paraId="55CE9B8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Chars="200" w:right="0" w:rightChars="0"/>
        <w:jc w:val="both"/>
        <w:rPr>
          <w:rFonts w:hint="eastAsia" w:ascii="仿宋_GB2312" w:hAnsi="Times New Roman" w:eastAsia="仿宋_GB2312" w:cs="仿宋_GB2312"/>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color w:val="auto"/>
          <w:spacing w:val="-11"/>
          <w:sz w:val="32"/>
          <w:szCs w:val="32"/>
        </w:rPr>
        <w:t>（</w:t>
      </w:r>
      <w:r>
        <w:rPr>
          <w:rFonts w:hint="eastAsia" w:ascii="Times New Roman" w:hAnsi="Times New Roman" w:cs="Times New Roman"/>
          <w:color w:val="auto"/>
          <w:spacing w:val="-11"/>
          <w:sz w:val="32"/>
          <w:szCs w:val="32"/>
          <w:lang w:eastAsia="zh-CN"/>
        </w:rPr>
        <w:t>二</w:t>
      </w:r>
      <w:r>
        <w:rPr>
          <w:rFonts w:hint="default" w:ascii="Times New Roman" w:hAnsi="Times New Roman" w:eastAsia="仿宋_GB2312" w:cs="Times New Roman"/>
          <w:color w:val="auto"/>
          <w:spacing w:val="-11"/>
          <w:sz w:val="32"/>
          <w:szCs w:val="32"/>
        </w:rPr>
        <w:t>）其他投资建设的项目，</w:t>
      </w:r>
      <w:r>
        <w:rPr>
          <w:rFonts w:hint="eastAsia" w:ascii="Times New Roman" w:hAnsi="Times New Roman" w:cs="Times New Roman"/>
          <w:color w:val="auto"/>
          <w:spacing w:val="-11"/>
          <w:sz w:val="32"/>
          <w:szCs w:val="32"/>
          <w:lang w:eastAsia="zh-CN"/>
        </w:rPr>
        <w:t>从项目资金中统筹安排经费列支</w:t>
      </w:r>
      <w:r>
        <w:rPr>
          <w:rFonts w:hint="default" w:ascii="Times New Roman" w:hAnsi="Times New Roman" w:eastAsia="仿宋_GB2312" w:cs="Times New Roman"/>
          <w:color w:val="auto"/>
          <w:spacing w:val="-11"/>
          <w:sz w:val="32"/>
          <w:szCs w:val="32"/>
        </w:rPr>
        <w:t>。</w:t>
      </w:r>
    </w:p>
    <w:p w14:paraId="3EDE0BC1">
      <w:pPr>
        <w:pStyle w:val="12"/>
        <w:rPr>
          <w:rFonts w:hint="default"/>
        </w:rPr>
      </w:pPr>
    </w:p>
    <w:p w14:paraId="605509BB">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 xml:space="preserve">章  </w:t>
      </w:r>
      <w:r>
        <w:rPr>
          <w:rFonts w:hint="eastAsia" w:ascii="Times New Roman" w:hAnsi="Times New Roman" w:eastAsia="黑体" w:cs="Times New Roman"/>
          <w:color w:val="auto"/>
          <w:sz w:val="32"/>
          <w:szCs w:val="32"/>
          <w:lang w:eastAsia="zh-CN"/>
        </w:rPr>
        <w:t>项目</w:t>
      </w:r>
      <w:r>
        <w:rPr>
          <w:rFonts w:hint="default" w:ascii="Times New Roman" w:hAnsi="Times New Roman" w:eastAsia="黑体" w:cs="Times New Roman"/>
          <w:color w:val="auto"/>
          <w:sz w:val="32"/>
          <w:szCs w:val="32"/>
        </w:rPr>
        <w:t>招投标</w:t>
      </w:r>
      <w:r>
        <w:rPr>
          <w:rFonts w:hint="eastAsia" w:ascii="Times New Roman" w:hAnsi="Times New Roman" w:eastAsia="黑体" w:cs="Times New Roman"/>
          <w:color w:val="auto"/>
          <w:sz w:val="32"/>
          <w:szCs w:val="32"/>
          <w:lang w:eastAsia="zh-CN"/>
        </w:rPr>
        <w:t>和</w:t>
      </w:r>
      <w:r>
        <w:rPr>
          <w:rFonts w:hint="default" w:ascii="Times New Roman" w:hAnsi="Times New Roman" w:eastAsia="黑体" w:cs="Times New Roman"/>
          <w:color w:val="auto"/>
          <w:sz w:val="32"/>
          <w:szCs w:val="32"/>
        </w:rPr>
        <w:t>政府采购管理</w:t>
      </w:r>
    </w:p>
    <w:p w14:paraId="6459F707">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cs="Times New Roman"/>
          <w:b/>
          <w:bCs/>
          <w:color w:val="auto"/>
          <w:sz w:val="32"/>
          <w:szCs w:val="32"/>
          <w:lang w:eastAsia="zh-CN"/>
        </w:rPr>
        <w:t>二</w:t>
      </w:r>
      <w:r>
        <w:rPr>
          <w:rFonts w:hint="default" w:ascii="Times New Roman" w:hAnsi="Times New Roman" w:eastAsia="仿宋_GB2312" w:cs="Times New Roman"/>
          <w:b/>
          <w:bCs/>
          <w:color w:val="auto"/>
          <w:sz w:val="32"/>
          <w:szCs w:val="32"/>
        </w:rPr>
        <w:t>十</w:t>
      </w:r>
      <w:r>
        <w:rPr>
          <w:rFonts w:hint="eastAsia" w:ascii="Times New Roman" w:hAnsi="Times New Roman" w:cs="Times New Roman"/>
          <w:b/>
          <w:bCs/>
          <w:color w:val="auto"/>
          <w:sz w:val="32"/>
          <w:szCs w:val="32"/>
          <w:lang w:eastAsia="zh-CN"/>
        </w:rPr>
        <w:t>二</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县发改局和</w:t>
      </w:r>
      <w:r>
        <w:rPr>
          <w:rFonts w:hint="eastAsia" w:ascii="Times New Roman" w:hAnsi="Times New Roman" w:cs="Times New Roman"/>
          <w:color w:val="auto"/>
          <w:sz w:val="32"/>
          <w:szCs w:val="32"/>
          <w:lang w:eastAsia="zh-CN"/>
        </w:rPr>
        <w:t>县</w:t>
      </w:r>
      <w:r>
        <w:rPr>
          <w:rFonts w:hint="default" w:ascii="Times New Roman" w:hAnsi="Times New Roman" w:eastAsia="仿宋_GB2312" w:cs="Times New Roman"/>
          <w:color w:val="auto"/>
          <w:sz w:val="32"/>
          <w:szCs w:val="32"/>
        </w:rPr>
        <w:t>财政局按照国家相关规定和各自职</w:t>
      </w:r>
      <w:r>
        <w:rPr>
          <w:rFonts w:hint="default" w:ascii="Times New Roman" w:hAnsi="Times New Roman" w:eastAsia="仿宋_GB2312" w:cs="Times New Roman"/>
          <w:color w:val="auto"/>
          <w:spacing w:val="-11"/>
          <w:sz w:val="32"/>
          <w:szCs w:val="32"/>
        </w:rPr>
        <w:t>责职能负责招投标和政府采购活动的管理，具体按以下要求进行：</w:t>
      </w:r>
    </w:p>
    <w:p w14:paraId="39CA111C">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（一）政府投资工程类项目金额达到怀化市政府采购限额标准且在400万元以内的，适用《中华人民共和国政府采购法》及其实施条例，由县财政局负责管理。</w:t>
      </w:r>
    </w:p>
    <w:p w14:paraId="56056354">
      <w:pPr>
        <w:keepNext w:val="0"/>
        <w:keepLines w:val="0"/>
        <w:pageBreakBefore w:val="0"/>
        <w:widowControl w:val="0"/>
        <w:kinsoku/>
        <w:wordWrap/>
        <w:overflowPunct/>
        <w:topLinePunct w:val="0"/>
        <w:autoSpaceDE/>
        <w:autoSpaceDN/>
        <w:bidi w:val="0"/>
        <w:spacing w:line="560" w:lineRule="exact"/>
        <w:ind w:firstLine="640" w:firstLineChars="200"/>
        <w:jc w:val="both"/>
        <w:rPr>
          <w:rFonts w:hint="default"/>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政府采购前需填报政府采购意向，</w:t>
      </w:r>
      <w:r>
        <w:rPr>
          <w:rFonts w:hint="eastAsia" w:ascii="Times New Roman" w:hAnsi="Times New Roman" w:cs="Times New Roman"/>
          <w:color w:val="000000" w:themeColor="text1"/>
          <w:sz w:val="32"/>
          <w:szCs w:val="32"/>
          <w:lang w:eastAsia="zh-CN"/>
          <w14:textFill>
            <w14:solidFill>
              <w14:schemeClr w14:val="tx1"/>
            </w14:solidFill>
          </w14:textFill>
        </w:rPr>
        <w:t>采购意向公开时间应当尽量提前，原则上不得晚于活动开始前</w:t>
      </w:r>
      <w:r>
        <w:rPr>
          <w:rFonts w:hint="eastAsia" w:ascii="Times New Roman" w:hAnsi="Times New Roman" w:cs="Times New Roman"/>
          <w:color w:val="000000" w:themeColor="text1"/>
          <w:sz w:val="32"/>
          <w:szCs w:val="32"/>
          <w:lang w:val="en-US" w:eastAsia="zh-CN"/>
          <w14:textFill>
            <w14:solidFill>
              <w14:schemeClr w14:val="tx1"/>
            </w14:solidFill>
          </w14:textFill>
        </w:rPr>
        <w:t>30日公开采购意向。</w:t>
      </w:r>
    </w:p>
    <w:p w14:paraId="3BD54656">
      <w:pPr>
        <w:keepNext w:val="0"/>
        <w:keepLines w:val="0"/>
        <w:pageBreakBefore w:val="0"/>
        <w:widowControl w:val="0"/>
        <w:kinsoku/>
        <w:wordWrap/>
        <w:overflowPunct/>
        <w:topLinePunct w:val="0"/>
        <w:autoSpaceDE/>
        <w:autoSpaceDN/>
        <w:bidi w:val="0"/>
        <w:spacing w:line="560" w:lineRule="exact"/>
        <w:ind w:firstLine="640" w:firstLineChars="200"/>
        <w:jc w:val="both"/>
        <w:rPr>
          <w:rFonts w:hint="eastAsia" w:ascii="Times New Roman" w:hAnsi="Times New Roman" w:eastAsia="仿宋_GB2312" w:cs="Times New Roman"/>
          <w:color w:val="auto"/>
          <w:spacing w:val="4"/>
          <w:sz w:val="32"/>
          <w:szCs w:val="32"/>
          <w:lang w:eastAsia="zh-CN"/>
        </w:rPr>
      </w:pPr>
      <w:r>
        <w:rPr>
          <w:rFonts w:hint="default" w:ascii="Times New Roman" w:hAnsi="Times New Roman" w:eastAsia="仿宋_GB2312" w:cs="Times New Roman"/>
          <w:color w:val="auto"/>
          <w:sz w:val="32"/>
          <w:szCs w:val="32"/>
        </w:rPr>
        <w:t>（二）政府投资工程类项目金额400万元以上，适用《中华人民共和国政府招标投标法》及其实施条例的，由县发改局及行业</w:t>
      </w:r>
      <w:r>
        <w:rPr>
          <w:rFonts w:hint="eastAsia" w:ascii="Times New Roman" w:hAnsi="Times New Roman" w:cs="Times New Roman"/>
          <w:color w:val="auto"/>
          <w:sz w:val="32"/>
          <w:szCs w:val="32"/>
          <w:lang w:eastAsia="zh-CN"/>
        </w:rPr>
        <w:t>主</w:t>
      </w:r>
      <w:r>
        <w:rPr>
          <w:rFonts w:hint="default" w:ascii="Times New Roman" w:hAnsi="Times New Roman" w:eastAsia="仿宋_GB2312" w:cs="Times New Roman"/>
          <w:color w:val="auto"/>
          <w:sz w:val="32"/>
          <w:szCs w:val="32"/>
        </w:rPr>
        <w:t>管部门负责管理。</w:t>
      </w:r>
    </w:p>
    <w:p w14:paraId="1A7C3E14">
      <w:pPr>
        <w:keepNext w:val="0"/>
        <w:keepLines w:val="0"/>
        <w:pageBreakBefore w:val="0"/>
        <w:widowControl w:val="0"/>
        <w:numPr>
          <w:ilvl w:val="0"/>
          <w:numId w:val="1"/>
        </w:numPr>
        <w:kinsoku/>
        <w:wordWrap/>
        <w:overflowPunct/>
        <w:topLinePunct w:val="0"/>
        <w:autoSpaceDE/>
        <w:autoSpaceDN/>
        <w:bidi w:val="0"/>
        <w:spacing w:line="560" w:lineRule="exact"/>
        <w:ind w:left="-3" w:leftChars="0" w:firstLine="643" w:firstLineChars="0"/>
        <w:rPr>
          <w:rFonts w:hint="default" w:eastAsia="仿宋_GB2312"/>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政府采购工程以及与工程建设有关的货物、服务，应当执行政府采购政策。</w:t>
      </w:r>
    </w:p>
    <w:p w14:paraId="01FF35B6">
      <w:pPr>
        <w:keepNext w:val="0"/>
        <w:keepLines w:val="0"/>
        <w:pageBreakBefore w:val="0"/>
        <w:widowControl w:val="0"/>
        <w:kinsoku/>
        <w:wordWrap/>
        <w:overflowPunct/>
        <w:topLinePunct w:val="0"/>
        <w:autoSpaceDE/>
        <w:autoSpaceDN/>
        <w:bidi w:val="0"/>
        <w:spacing w:line="560" w:lineRule="exact"/>
        <w:ind w:firstLine="596" w:firstLineChars="200"/>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政府采购限额和招投标限额中央、省、市有调整的从其规定。</w:t>
      </w:r>
    </w:p>
    <w:p w14:paraId="2B3F12E3">
      <w:pPr>
        <w:keepNext w:val="0"/>
        <w:keepLines w:val="0"/>
        <w:pageBreakBefore w:val="0"/>
        <w:widowControl w:val="0"/>
        <w:kinsoku/>
        <w:wordWrap/>
        <w:overflowPunct/>
        <w:topLinePunct w:val="0"/>
        <w:autoSpaceDE/>
        <w:autoSpaceDN/>
        <w:bidi w:val="0"/>
        <w:spacing w:line="560" w:lineRule="exact"/>
        <w:ind w:firstLine="599"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b/>
          <w:bCs/>
          <w:color w:val="auto"/>
          <w:spacing w:val="-11"/>
          <w:sz w:val="32"/>
          <w:szCs w:val="32"/>
          <w:lang w:eastAsia="zh-CN"/>
        </w:rPr>
        <w:t>第二十三条　</w:t>
      </w:r>
      <w:r>
        <w:rPr>
          <w:rFonts w:hint="default" w:ascii="Times New Roman" w:hAnsi="Times New Roman" w:eastAsia="仿宋_GB2312" w:cs="Times New Roman"/>
          <w:color w:val="000000" w:themeColor="text1"/>
          <w:sz w:val="32"/>
          <w:szCs w:val="32"/>
          <w14:textFill>
            <w14:solidFill>
              <w14:schemeClr w14:val="tx1"/>
            </w14:solidFill>
          </w14:textFill>
        </w:rPr>
        <w:t>合</w:t>
      </w:r>
      <w:r>
        <w:rPr>
          <w:rFonts w:hint="default" w:ascii="Times New Roman" w:hAnsi="Times New Roman" w:eastAsia="仿宋_GB2312" w:cs="Times New Roman"/>
          <w:color w:val="000000" w:themeColor="text1"/>
          <w:spacing w:val="4"/>
          <w:sz w:val="32"/>
          <w:szCs w:val="32"/>
          <w14:textFill>
            <w14:solidFill>
              <w14:schemeClr w14:val="tx1"/>
            </w14:solidFill>
          </w14:textFill>
        </w:rPr>
        <w:t>同管理。招投标或政府采购后，应依照国家相关部门颁布的施工合同规范文本拟定标准示范合同，合同签订后2个工作日内将合同副本报县发改局或财政局备案并公告</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0CE9C5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二级机构独立签订合同，单项合同金额超过50万元的应当经过主管部门审批。</w:t>
      </w:r>
    </w:p>
    <w:p w14:paraId="6B39C09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500</w:t>
      </w:r>
      <w:r>
        <w:rPr>
          <w:rFonts w:hint="default" w:ascii="仿宋_GB2312" w:hAnsi="仿宋_GB2312" w:cs="仿宋_GB2312"/>
          <w:color w:val="000000" w:themeColor="text1"/>
          <w:sz w:val="32"/>
          <w:szCs w:val="32"/>
          <w:lang w:val="en-US" w:eastAsia="zh-CN"/>
          <w14:textFill>
            <w14:solidFill>
              <w14:schemeClr w14:val="tx1"/>
            </w14:solidFill>
          </w14:textFill>
        </w:rPr>
        <w:t>万元以上政府投资项目合同文本须报县政府法制办进行合法性审查，合同签订后须报行业主管部门、县</w:t>
      </w:r>
      <w:r>
        <w:rPr>
          <w:rFonts w:hint="eastAsia" w:ascii="仿宋_GB2312" w:hAnsi="仿宋_GB2312" w:cs="仿宋_GB2312"/>
          <w:color w:val="000000" w:themeColor="text1"/>
          <w:sz w:val="32"/>
          <w:szCs w:val="32"/>
          <w:lang w:val="en-US" w:eastAsia="zh-CN"/>
          <w14:textFill>
            <w14:solidFill>
              <w14:schemeClr w14:val="tx1"/>
            </w14:solidFill>
          </w14:textFill>
        </w:rPr>
        <w:t>发改</w:t>
      </w:r>
      <w:r>
        <w:rPr>
          <w:rFonts w:hint="default" w:ascii="仿宋_GB2312" w:hAnsi="仿宋_GB2312" w:cs="仿宋_GB2312"/>
          <w:color w:val="000000" w:themeColor="text1"/>
          <w:sz w:val="32"/>
          <w:szCs w:val="32"/>
          <w:lang w:val="en-US" w:eastAsia="zh-CN"/>
          <w14:textFill>
            <w14:solidFill>
              <w14:schemeClr w14:val="tx1"/>
            </w14:solidFill>
          </w14:textFill>
        </w:rPr>
        <w:t>局备案。</w:t>
      </w:r>
    </w:p>
    <w:p w14:paraId="535C6BFC">
      <w:pPr>
        <w:keepNext w:val="0"/>
        <w:keepLines w:val="0"/>
        <w:pageBreakBefore w:val="0"/>
        <w:widowControl w:val="0"/>
        <w:kinsoku/>
        <w:wordWrap/>
        <w:overflowPunct/>
        <w:topLinePunct w:val="0"/>
        <w:autoSpaceDE/>
        <w:autoSpaceDN/>
        <w:bidi w:val="0"/>
        <w:spacing w:line="560" w:lineRule="exact"/>
        <w:ind w:left="0" w:leftChars="0" w:firstLine="0" w:firstLineChars="0"/>
        <w:rPr>
          <w:rFonts w:hint="default" w:ascii="Times New Roman" w:hAnsi="Times New Roman" w:eastAsia="仿宋_GB2312" w:cs="Times New Roman"/>
          <w:color w:val="auto"/>
          <w:sz w:val="30"/>
          <w:szCs w:val="30"/>
        </w:rPr>
      </w:pPr>
    </w:p>
    <w:p w14:paraId="0103B2B6">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第五章 </w:t>
      </w:r>
      <w:r>
        <w:rPr>
          <w:rFonts w:hint="eastAsia" w:ascii="Times New Roman" w:hAnsi="Times New Roman" w:eastAsia="黑体" w:cs="Times New Roman"/>
          <w:color w:val="auto"/>
          <w:sz w:val="32"/>
          <w:szCs w:val="32"/>
          <w:lang w:eastAsia="zh-CN"/>
        </w:rPr>
        <w:t>项目</w:t>
      </w:r>
      <w:r>
        <w:rPr>
          <w:rFonts w:hint="default" w:ascii="Times New Roman" w:hAnsi="Times New Roman" w:eastAsia="黑体" w:cs="Times New Roman"/>
          <w:color w:val="auto"/>
          <w:sz w:val="32"/>
          <w:szCs w:val="32"/>
        </w:rPr>
        <w:t>资金</w:t>
      </w:r>
      <w:r>
        <w:rPr>
          <w:rFonts w:hint="eastAsia" w:ascii="Times New Roman" w:hAnsi="Times New Roman" w:eastAsia="黑体" w:cs="Times New Roman"/>
          <w:color w:val="auto"/>
          <w:sz w:val="32"/>
          <w:szCs w:val="32"/>
          <w:lang w:eastAsia="zh-CN"/>
        </w:rPr>
        <w:t>支付</w:t>
      </w:r>
      <w:r>
        <w:rPr>
          <w:rFonts w:hint="default" w:ascii="Times New Roman" w:hAnsi="Times New Roman" w:eastAsia="黑体" w:cs="Times New Roman"/>
          <w:color w:val="auto"/>
          <w:sz w:val="32"/>
          <w:szCs w:val="32"/>
        </w:rPr>
        <w:t>管理</w:t>
      </w:r>
    </w:p>
    <w:p w14:paraId="4CBAD154">
      <w:pPr>
        <w:keepNext w:val="0"/>
        <w:keepLines w:val="0"/>
        <w:pageBreakBefore w:val="0"/>
        <w:widowControl w:val="0"/>
        <w:kinsoku/>
        <w:wordWrap/>
        <w:overflowPunct/>
        <w:topLinePunct w:val="0"/>
        <w:autoSpaceDE/>
        <w:autoSpaceDN/>
        <w:bidi w:val="0"/>
        <w:spacing w:line="560" w:lineRule="exact"/>
        <w:ind w:firstLine="643" w:firstLineChars="200"/>
        <w:rPr>
          <w:rFonts w:hint="eastAsia" w:eastAsia="仿宋_GB2312"/>
          <w:color w:val="FF0000"/>
          <w:lang w:eastAsia="zh-CN"/>
        </w:rPr>
      </w:pPr>
      <w:r>
        <w:rPr>
          <w:rFonts w:hint="default" w:ascii="Times New Roman" w:hAnsi="Times New Roman" w:eastAsia="仿宋_GB2312" w:cs="Times New Roman"/>
          <w:b/>
          <w:bCs/>
          <w:color w:val="auto"/>
          <w:sz w:val="32"/>
          <w:szCs w:val="32"/>
        </w:rPr>
        <w:t>第二十</w:t>
      </w:r>
      <w:r>
        <w:rPr>
          <w:rFonts w:hint="eastAsia" w:ascii="Times New Roman" w:hAnsi="Times New Roman" w:cs="Times New Roman"/>
          <w:b/>
          <w:bCs/>
          <w:color w:val="auto"/>
          <w:sz w:val="32"/>
          <w:szCs w:val="32"/>
          <w:lang w:eastAsia="zh-CN"/>
        </w:rPr>
        <w:t>四</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000000" w:themeColor="text1"/>
          <w:sz w:val="32"/>
          <w:szCs w:val="32"/>
          <w14:textFill>
            <w14:solidFill>
              <w14:schemeClr w14:val="tx1"/>
            </w14:solidFill>
          </w14:textFill>
        </w:rPr>
        <w:t>建设单位须严格按照规定的用途使用项目资金，专款专用，不得挪用、转移建设资金，不得列支与项目无关的支出。</w:t>
      </w:r>
    </w:p>
    <w:p w14:paraId="34C18E55">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auto"/>
          <w:sz w:val="32"/>
          <w:szCs w:val="32"/>
        </w:rPr>
        <w:t>第二十</w:t>
      </w:r>
      <w:r>
        <w:rPr>
          <w:rFonts w:hint="eastAsia" w:ascii="Times New Roman" w:hAnsi="Times New Roman" w:cs="Times New Roman"/>
          <w:b/>
          <w:bCs/>
          <w:color w:val="auto"/>
          <w:sz w:val="32"/>
          <w:szCs w:val="32"/>
          <w:lang w:eastAsia="zh-CN"/>
        </w:rPr>
        <w:t>五</w:t>
      </w:r>
      <w:r>
        <w:rPr>
          <w:rFonts w:hint="default" w:ascii="Times New Roman" w:hAnsi="Times New Roman" w:eastAsia="仿宋_GB2312" w:cs="Times New Roman"/>
          <w:b/>
          <w:bCs/>
          <w:color w:val="auto"/>
          <w:sz w:val="32"/>
          <w:szCs w:val="32"/>
        </w:rPr>
        <w:t xml:space="preserve">条 </w:t>
      </w:r>
      <w:r>
        <w:rPr>
          <w:rFonts w:hint="eastAsia" w:ascii="Times New Roman" w:hAnsi="Times New Roman" w:cs="Times New Roman"/>
          <w:color w:val="000000" w:themeColor="text1"/>
          <w:sz w:val="32"/>
          <w:szCs w:val="32"/>
          <w:lang w:val="en-US" w:eastAsia="zh-CN"/>
          <w14:textFill>
            <w14:solidFill>
              <w14:schemeClr w14:val="tx1"/>
            </w14:solidFill>
          </w14:textFill>
        </w:rPr>
        <w:t>资金支付实行审批制度。</w:t>
      </w:r>
      <w:r>
        <w:rPr>
          <w:rFonts w:hint="default" w:ascii="Times New Roman" w:hAnsi="Times New Roman" w:eastAsia="仿宋_GB2312" w:cs="Times New Roman"/>
          <w:color w:val="000000" w:themeColor="text1"/>
          <w:sz w:val="32"/>
          <w:szCs w:val="32"/>
          <w14:textFill>
            <w14:solidFill>
              <w14:schemeClr w14:val="tx1"/>
            </w14:solidFill>
          </w14:textFill>
        </w:rPr>
        <w:t>建设单位应当根据施工单位付款请求、实际完成工程量、工程合同、监理单位工程款支付意见等填报《通道侗族自治县政府投资项目资金</w:t>
      </w:r>
      <w:r>
        <w:rPr>
          <w:rFonts w:hint="eastAsia" w:ascii="Times New Roman" w:hAnsi="Times New Roman" w:cs="Times New Roman"/>
          <w:color w:val="000000" w:themeColor="text1"/>
          <w:sz w:val="32"/>
          <w:szCs w:val="32"/>
          <w:lang w:eastAsia="zh-CN"/>
          <w14:textFill>
            <w14:solidFill>
              <w14:schemeClr w14:val="tx1"/>
            </w14:solidFill>
          </w14:textFill>
        </w:rPr>
        <w:t>支</w:t>
      </w:r>
      <w:r>
        <w:rPr>
          <w:rFonts w:hint="default" w:ascii="Times New Roman" w:hAnsi="Times New Roman" w:eastAsia="仿宋_GB2312" w:cs="Times New Roman"/>
          <w:color w:val="000000" w:themeColor="text1"/>
          <w:sz w:val="32"/>
          <w:szCs w:val="32"/>
          <w14:textFill>
            <w14:solidFill>
              <w14:schemeClr w14:val="tx1"/>
            </w14:solidFill>
          </w14:textFill>
        </w:rPr>
        <w:t>付申请报批表》。</w:t>
      </w:r>
    </w:p>
    <w:p w14:paraId="0C49F03A">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auto"/>
          <w:sz w:val="32"/>
          <w:szCs w:val="32"/>
        </w:rPr>
        <w:t>第二十</w:t>
      </w:r>
      <w:r>
        <w:rPr>
          <w:rFonts w:hint="eastAsia" w:ascii="Times New Roman" w:hAnsi="Times New Roman" w:cs="Times New Roman"/>
          <w:b/>
          <w:bCs/>
          <w:color w:val="auto"/>
          <w:sz w:val="32"/>
          <w:szCs w:val="32"/>
          <w:lang w:eastAsia="zh-CN"/>
        </w:rPr>
        <w:t>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建设期间累计支付进度款不得超过</w:t>
      </w:r>
      <w:r>
        <w:rPr>
          <w:rFonts w:hint="eastAsia" w:ascii="Times New Roman" w:hAnsi="Times New Roman" w:cs="Times New Roman"/>
          <w:color w:val="000000" w:themeColor="text1"/>
          <w:sz w:val="32"/>
          <w:szCs w:val="32"/>
          <w:lang w:eastAsia="zh-CN"/>
          <w14:textFill>
            <w14:solidFill>
              <w14:schemeClr w14:val="tx1"/>
            </w14:solidFill>
          </w14:textFill>
        </w:rPr>
        <w:t>实际完成工程量和初始合同</w:t>
      </w:r>
      <w:r>
        <w:rPr>
          <w:rFonts w:hint="default" w:ascii="Times New Roman" w:hAnsi="Times New Roman" w:eastAsia="仿宋_GB2312" w:cs="Times New Roman"/>
          <w:color w:val="000000" w:themeColor="text1"/>
          <w:sz w:val="32"/>
          <w:szCs w:val="32"/>
          <w14:textFill>
            <w14:solidFill>
              <w14:schemeClr w14:val="tx1"/>
            </w14:solidFill>
          </w14:textFill>
        </w:rPr>
        <w:t>价款的</w:t>
      </w:r>
      <w:r>
        <w:rPr>
          <w:rFonts w:hint="eastAsia" w:ascii="Times New Roman" w:hAnsi="Times New Roman"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项目建设资金应当预留工程价款的3%作为质量保证金，保证金在建设工程合同约定质量缺陷责任期满后支付</w:t>
      </w:r>
      <w:r>
        <w:rPr>
          <w:rFonts w:hint="eastAsia" w:ascii="Times New Roman" w:hAnsi="Times New Roman" w:cs="Times New Roman"/>
          <w:color w:val="000000" w:themeColor="text1"/>
          <w:sz w:val="32"/>
          <w:szCs w:val="32"/>
          <w:lang w:eastAsia="zh-CN"/>
          <w14:textFill>
            <w14:solidFill>
              <w14:schemeClr w14:val="tx1"/>
            </w14:solidFill>
          </w14:textFill>
        </w:rPr>
        <w:t>。</w:t>
      </w:r>
    </w:p>
    <w:p w14:paraId="2C61127F">
      <w:pPr>
        <w:keepNext w:val="0"/>
        <w:keepLines w:val="0"/>
        <w:pageBreakBefore w:val="0"/>
        <w:widowControl w:val="0"/>
        <w:kinsoku/>
        <w:wordWrap/>
        <w:overflowPunct/>
        <w:topLinePunct w:val="0"/>
        <w:autoSpaceDE/>
        <w:autoSpaceDN/>
        <w:bidi w:val="0"/>
        <w:spacing w:line="560" w:lineRule="exact"/>
        <w:ind w:firstLine="643" w:firstLineChars="200"/>
        <w:rPr>
          <w:rFonts w:hint="eastAsia" w:eastAsia="仿宋_GB2312"/>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auto"/>
          <w:sz w:val="32"/>
          <w:szCs w:val="32"/>
        </w:rPr>
        <w:t>第</w:t>
      </w:r>
      <w:r>
        <w:rPr>
          <w:rFonts w:hint="eastAsia" w:ascii="Times New Roman" w:hAnsi="Times New Roman" w:cs="Times New Roman"/>
          <w:b/>
          <w:bCs/>
          <w:color w:val="auto"/>
          <w:sz w:val="32"/>
          <w:szCs w:val="32"/>
          <w:lang w:eastAsia="zh-CN"/>
        </w:rPr>
        <w:t>二</w:t>
      </w:r>
      <w:r>
        <w:rPr>
          <w:rFonts w:hint="default" w:ascii="Times New Roman" w:hAnsi="Times New Roman" w:eastAsia="仿宋_GB2312" w:cs="Times New Roman"/>
          <w:b/>
          <w:bCs/>
          <w:color w:val="auto"/>
          <w:sz w:val="32"/>
          <w:szCs w:val="32"/>
        </w:rPr>
        <w:t>十</w:t>
      </w:r>
      <w:r>
        <w:rPr>
          <w:rFonts w:hint="eastAsia" w:ascii="Times New Roman" w:hAnsi="Times New Roman" w:cs="Times New Roman"/>
          <w:b/>
          <w:bCs/>
          <w:color w:val="auto"/>
          <w:sz w:val="32"/>
          <w:szCs w:val="32"/>
          <w:lang w:eastAsia="zh-CN"/>
        </w:rPr>
        <w:t>七</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i w:val="0"/>
          <w:iCs w:val="0"/>
          <w:caps w:val="0"/>
          <w:color w:val="000000" w:themeColor="text1"/>
          <w:spacing w:val="-6"/>
          <w:sz w:val="32"/>
          <w:szCs w:val="32"/>
          <w:shd w:val="clear" w:color="auto" w:fill="FFFFFF"/>
          <w14:textFill>
            <w14:solidFill>
              <w14:schemeClr w14:val="tx1"/>
            </w14:solidFill>
          </w14:textFill>
        </w:rPr>
        <w:t>项目竣工后由项目建设单位向项目主管部门提出验收申请，由项目建设单位组织相关监管单位在10个工作日内完成验收。验收人员对项目的真实性、完整性、合法性、有效性负责，并签署验收意见，没有签署验收意见的项目，不予支付工程款。</w:t>
      </w:r>
    </w:p>
    <w:p w14:paraId="694F734A">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bCs/>
          <w:color w:val="auto"/>
          <w:sz w:val="32"/>
          <w:szCs w:val="32"/>
        </w:rPr>
      </w:pPr>
    </w:p>
    <w:p w14:paraId="6C7E8634">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cs="Times New Roman"/>
          <w:b/>
          <w:bCs/>
          <w:color w:val="auto"/>
          <w:sz w:val="32"/>
          <w:szCs w:val="32"/>
          <w:lang w:eastAsia="zh-CN"/>
        </w:rPr>
        <w:t>二</w:t>
      </w:r>
      <w:r>
        <w:rPr>
          <w:rFonts w:hint="default" w:ascii="Times New Roman" w:hAnsi="Times New Roman" w:eastAsia="仿宋_GB2312" w:cs="Times New Roman"/>
          <w:b/>
          <w:bCs/>
          <w:color w:val="auto"/>
          <w:sz w:val="32"/>
          <w:szCs w:val="32"/>
        </w:rPr>
        <w:t>十</w:t>
      </w:r>
      <w:r>
        <w:rPr>
          <w:rFonts w:hint="eastAsia" w:ascii="Times New Roman" w:hAnsi="Times New Roman" w:cs="Times New Roman"/>
          <w:b/>
          <w:bCs/>
          <w:color w:val="auto"/>
          <w:sz w:val="32"/>
          <w:szCs w:val="32"/>
          <w:lang w:eastAsia="zh-CN"/>
        </w:rPr>
        <w:t>八</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建设项目结余资金按以下规定处理：</w:t>
      </w:r>
    </w:p>
    <w:p w14:paraId="76FDAF36">
      <w:pPr>
        <w:keepNext w:val="0"/>
        <w:keepLines w:val="0"/>
        <w:pageBreakBefore w:val="0"/>
        <w:widowControl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rPr>
        <w:t>（一）财政预算安排项目的结余资金按规定收回由县财政统筹安排；</w:t>
      </w:r>
    </w:p>
    <w:p w14:paraId="062D931E">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rPr>
        <w:t>）拼盘项目结余资金按资金比例计算并作出相应处理。</w:t>
      </w:r>
    </w:p>
    <w:p w14:paraId="2577255B">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p>
    <w:p w14:paraId="7905A7E9">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第六章  </w:t>
      </w:r>
      <w:r>
        <w:rPr>
          <w:rFonts w:hint="eastAsia" w:ascii="Times New Roman" w:hAnsi="Times New Roman" w:eastAsia="黑体" w:cs="Times New Roman"/>
          <w:color w:val="auto"/>
          <w:sz w:val="32"/>
          <w:szCs w:val="32"/>
          <w:lang w:eastAsia="zh-CN"/>
        </w:rPr>
        <w:t>项目</w:t>
      </w:r>
      <w:r>
        <w:rPr>
          <w:rFonts w:hint="default" w:ascii="Times New Roman" w:hAnsi="Times New Roman" w:eastAsia="黑体" w:cs="Times New Roman"/>
          <w:color w:val="auto"/>
          <w:sz w:val="32"/>
          <w:szCs w:val="32"/>
        </w:rPr>
        <w:t>绩效管理</w:t>
      </w:r>
    </w:p>
    <w:p w14:paraId="7FDBD1A2">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auto"/>
          <w:sz w:val="32"/>
          <w:szCs w:val="32"/>
        </w:rPr>
        <w:t>第</w:t>
      </w:r>
      <w:r>
        <w:rPr>
          <w:rFonts w:hint="eastAsia" w:ascii="Times New Roman" w:hAnsi="Times New Roman" w:cs="Times New Roman"/>
          <w:b/>
          <w:bCs/>
          <w:color w:val="auto"/>
          <w:sz w:val="32"/>
          <w:szCs w:val="32"/>
          <w:lang w:eastAsia="zh-CN"/>
        </w:rPr>
        <w:t>二</w:t>
      </w:r>
      <w:r>
        <w:rPr>
          <w:rFonts w:hint="default" w:ascii="Times New Roman" w:hAnsi="Times New Roman" w:eastAsia="仿宋_GB2312" w:cs="Times New Roman"/>
          <w:b/>
          <w:bCs/>
          <w:color w:val="auto"/>
          <w:sz w:val="32"/>
          <w:szCs w:val="32"/>
        </w:rPr>
        <w:t>十</w:t>
      </w:r>
      <w:r>
        <w:rPr>
          <w:rFonts w:hint="eastAsia" w:ascii="Times New Roman" w:hAnsi="Times New Roman" w:cs="Times New Roman"/>
          <w:b/>
          <w:bCs/>
          <w:color w:val="auto"/>
          <w:sz w:val="32"/>
          <w:szCs w:val="32"/>
          <w:lang w:eastAsia="zh-CN"/>
        </w:rPr>
        <w:t>九</w:t>
      </w: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条 </w:t>
      </w:r>
      <w:r>
        <w:rPr>
          <w:rFonts w:hint="default" w:ascii="Times New Roman" w:hAnsi="Times New Roman" w:eastAsia="仿宋_GB2312" w:cs="Times New Roman"/>
          <w:color w:val="000000" w:themeColor="text1"/>
          <w:sz w:val="32"/>
          <w:szCs w:val="32"/>
          <w14:textFill>
            <w14:solidFill>
              <w14:schemeClr w14:val="tx1"/>
            </w14:solidFill>
          </w14:textFill>
        </w:rPr>
        <w:t>所有工程项目都必须进行</w:t>
      </w:r>
      <w:r>
        <w:rPr>
          <w:rFonts w:hint="eastAsia" w:ascii="Times New Roman" w:hAnsi="Times New Roman" w:cs="Times New Roman"/>
          <w:color w:val="000000" w:themeColor="text1"/>
          <w:sz w:val="32"/>
          <w:szCs w:val="32"/>
          <w:lang w:eastAsia="zh-CN"/>
          <w14:textFill>
            <w14:solidFill>
              <w14:schemeClr w14:val="tx1"/>
            </w14:solidFill>
          </w14:textFill>
        </w:rPr>
        <w:t>绩效管理</w:t>
      </w:r>
      <w:r>
        <w:rPr>
          <w:rFonts w:hint="default" w:ascii="Times New Roman" w:hAnsi="Times New Roman" w:eastAsia="仿宋_GB2312" w:cs="Times New Roman"/>
          <w:color w:val="000000" w:themeColor="text1"/>
          <w:sz w:val="32"/>
          <w:szCs w:val="32"/>
          <w14:textFill>
            <w14:solidFill>
              <w14:schemeClr w14:val="tx1"/>
            </w14:solidFill>
          </w14:textFill>
        </w:rPr>
        <w:t>。按照“谁申请资金、谁编制目标”的原则</w:t>
      </w:r>
      <w:r>
        <w:rPr>
          <w:rFonts w:hint="eastAsia" w:ascii="Times New Roman" w:hAnsi="Times New Roman" w:cs="Times New Roman"/>
          <w:color w:val="000000" w:themeColor="text1"/>
          <w:sz w:val="32"/>
          <w:szCs w:val="32"/>
          <w:lang w:eastAsia="zh-CN"/>
          <w14:textFill>
            <w14:solidFill>
              <w14:schemeClr w14:val="tx1"/>
            </w14:solidFill>
          </w14:textFill>
        </w:rPr>
        <w:t>编制</w:t>
      </w:r>
      <w:r>
        <w:rPr>
          <w:rFonts w:hint="default" w:ascii="Times New Roman" w:hAnsi="Times New Roman" w:eastAsia="仿宋_GB2312" w:cs="Times New Roman"/>
          <w:color w:val="000000" w:themeColor="text1"/>
          <w:sz w:val="32"/>
          <w:szCs w:val="32"/>
          <w14:textFill>
            <w14:solidFill>
              <w14:schemeClr w14:val="tx1"/>
            </w14:solidFill>
          </w14:textFill>
        </w:rPr>
        <w:t>绩效目标，</w:t>
      </w:r>
      <w:r>
        <w:rPr>
          <w:rFonts w:hint="eastAsia" w:ascii="Times New Roman" w:hAnsi="Times New Roman" w:cs="Times New Roman"/>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14:textFill>
            <w14:solidFill>
              <w14:schemeClr w14:val="tx1"/>
            </w14:solidFill>
          </w14:textFill>
        </w:rPr>
        <w:t>单位对绩效目标和指标的真实性、完整性、合规性等实质性内容负责</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财政部门和建设单位依据设定的绩效目标对资金运行</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绩效目标实施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程度</w:t>
      </w:r>
      <w:r>
        <w:rPr>
          <w:rFonts w:hint="default" w:ascii="Times New Roman" w:hAnsi="Times New Roman" w:eastAsia="仿宋_GB2312" w:cs="Times New Roman"/>
          <w:color w:val="000000" w:themeColor="text1"/>
          <w:sz w:val="32"/>
          <w:szCs w:val="32"/>
          <w14:textFill>
            <w14:solidFill>
              <w14:schemeClr w14:val="tx1"/>
            </w14:solidFill>
          </w14:textFill>
        </w:rPr>
        <w:t>等开展</w:t>
      </w:r>
      <w:r>
        <w:rPr>
          <w:rFonts w:hint="eastAsia" w:ascii="Times New Roman" w:hAnsi="Times New Roman" w:eastAsia="仿宋_GB2312" w:cs="Times New Roman"/>
          <w:color w:val="000000" w:themeColor="text1"/>
          <w:sz w:val="32"/>
          <w:szCs w:val="32"/>
          <w14:textFill>
            <w14:solidFill>
              <w14:schemeClr w14:val="tx1"/>
            </w14:solidFill>
          </w14:textFill>
        </w:rPr>
        <w:t>绩效运行跟踪监控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对绩效监控中发现的问题，及时采取相应措施予以解决或纠正，督促整改落实</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建设单位根据</w:t>
      </w:r>
      <w:r>
        <w:rPr>
          <w:rFonts w:hint="eastAsia" w:ascii="Times New Roman" w:hAnsi="Times New Roman" w:cs="Times New Roman"/>
          <w:color w:val="000000" w:themeColor="text1"/>
          <w:sz w:val="32"/>
          <w:szCs w:val="32"/>
          <w:lang w:eastAsia="zh-CN"/>
          <w14:textFill>
            <w14:solidFill>
              <w14:schemeClr w14:val="tx1"/>
            </w14:solidFill>
          </w14:textFill>
        </w:rPr>
        <w:t>工程项的</w:t>
      </w:r>
      <w:r>
        <w:rPr>
          <w:rFonts w:hint="default" w:ascii="Times New Roman" w:hAnsi="Times New Roman" w:eastAsia="仿宋_GB2312" w:cs="Times New Roman"/>
          <w:color w:val="000000" w:themeColor="text1"/>
          <w:sz w:val="32"/>
          <w:szCs w:val="32"/>
          <w14:textFill>
            <w14:solidFill>
              <w14:schemeClr w14:val="tx1"/>
            </w14:solidFill>
          </w14:textFill>
        </w:rPr>
        <w:t>相关性、重要性、可比性、系统性、经济性原则</w:t>
      </w:r>
      <w:r>
        <w:rPr>
          <w:rFonts w:hint="eastAsia" w:ascii="Times New Roman" w:hAnsi="Times New Roman" w:cs="Times New Roman"/>
          <w:color w:val="000000" w:themeColor="text1"/>
          <w:sz w:val="32"/>
          <w:szCs w:val="32"/>
          <w:lang w:eastAsia="zh-CN"/>
          <w14:textFill>
            <w14:solidFill>
              <w14:schemeClr w14:val="tx1"/>
            </w14:solidFill>
          </w14:textFill>
        </w:rPr>
        <w:t>，结合项目支出绩效评价</w:t>
      </w:r>
      <w:r>
        <w:rPr>
          <w:rFonts w:hint="default" w:ascii="Times New Roman" w:hAnsi="Times New Roman" w:cs="Times New Roman"/>
          <w:color w:val="000000" w:themeColor="text1"/>
          <w:sz w:val="32"/>
          <w:szCs w:val="32"/>
          <w:lang w:eastAsia="zh-CN"/>
          <w14:textFill>
            <w14:solidFill>
              <w14:schemeClr w14:val="tx1"/>
            </w14:solidFill>
          </w14:textFill>
        </w:rPr>
        <w:t>的相关要求</w:t>
      </w:r>
      <w:r>
        <w:rPr>
          <w:rFonts w:hint="default" w:ascii="Times New Roman" w:hAnsi="Times New Roman" w:eastAsia="仿宋_GB2312" w:cs="Times New Roman"/>
          <w:color w:val="000000" w:themeColor="text1"/>
          <w:sz w:val="32"/>
          <w:szCs w:val="32"/>
          <w14:textFill>
            <w14:solidFill>
              <w14:schemeClr w14:val="tx1"/>
            </w14:solidFill>
          </w14:textFill>
        </w:rPr>
        <w:t>进行部门自评</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ascii="仿宋_GB2312" w:eastAsia="仿宋_GB2312" w:cs="仿宋_GB2312"/>
          <w:color w:val="000000" w:themeColor="text1"/>
          <w:sz w:val="31"/>
          <w:szCs w:val="31"/>
          <w14:textFill>
            <w14:solidFill>
              <w14:schemeClr w14:val="tx1"/>
            </w14:solidFill>
          </w14:textFill>
        </w:rPr>
        <w:t>财政部门可根据实际选择</w:t>
      </w:r>
      <w:r>
        <w:rPr>
          <w:rFonts w:hint="eastAsia" w:ascii="仿宋_GB2312" w:cs="仿宋_GB2312"/>
          <w:color w:val="000000" w:themeColor="text1"/>
          <w:sz w:val="31"/>
          <w:szCs w:val="31"/>
          <w:lang w:eastAsia="zh-CN"/>
          <w14:textFill>
            <w14:solidFill>
              <w14:schemeClr w14:val="tx1"/>
            </w14:solidFill>
          </w14:textFill>
        </w:rPr>
        <w:t>工程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14:textFill>
            <w14:solidFill>
              <w14:schemeClr w14:val="tx1"/>
            </w14:solidFill>
          </w14:textFill>
        </w:rPr>
        <w:t>，通过委托第三方机构或相关领域专家的形式</w:t>
      </w:r>
      <w:r>
        <w:rPr>
          <w:rFonts w:hint="eastAsia" w:ascii="Times New Roman" w:hAnsi="Times New Roman" w:cs="Times New Roman"/>
          <w:color w:val="000000" w:themeColor="text1"/>
          <w:sz w:val="32"/>
          <w:szCs w:val="32"/>
          <w:lang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14:textFill>
            <w14:solidFill>
              <w14:schemeClr w14:val="tx1"/>
            </w14:solidFill>
          </w14:textFill>
        </w:rPr>
        <w:t>重点绩效评价。</w:t>
      </w:r>
    </w:p>
    <w:p w14:paraId="13954007">
      <w:pPr>
        <w:keepNext w:val="0"/>
        <w:keepLines w:val="0"/>
        <w:pageBreakBefore w:val="0"/>
        <w:widowControl w:val="0"/>
        <w:kinsoku/>
        <w:wordWrap/>
        <w:overflowPunct/>
        <w:topLinePunct w:val="0"/>
        <w:autoSpaceDE/>
        <w:autoSpaceDN/>
        <w:bidi w:val="0"/>
        <w:spacing w:line="560" w:lineRule="exact"/>
        <w:ind w:firstLine="643" w:firstLineChars="200"/>
        <w:rPr>
          <w:color w:val="000000" w:themeColor="text1"/>
          <w:spacing w:val="-2"/>
          <w14:textFill>
            <w14:solidFill>
              <w14:schemeClr w14:val="tx1"/>
            </w14:solidFill>
          </w14:textFill>
        </w:rPr>
      </w:pPr>
      <w:r>
        <w:rPr>
          <w:rFonts w:hint="eastAsia" w:ascii="Times New Roman" w:hAnsi="Times New Roman" w:cs="Times New Roman"/>
          <w:b/>
          <w:bCs/>
          <w:color w:val="000000" w:themeColor="text1"/>
          <w:sz w:val="32"/>
          <w:szCs w:val="32"/>
          <w:lang w:eastAsia="zh-CN"/>
          <w14:textFill>
            <w14:solidFill>
              <w14:schemeClr w14:val="tx1"/>
            </w14:solidFill>
          </w14:textFill>
        </w:rPr>
        <w:t>第三十条</w:t>
      </w:r>
      <w:r>
        <w:rPr>
          <w:rFonts w:hint="eastAsia"/>
          <w:color w:val="FF0000"/>
          <w:spacing w:val="-2"/>
          <w:lang w:val="en-US" w:eastAsia="zh-CN"/>
        </w:rPr>
        <w:t xml:space="preserve"> </w:t>
      </w:r>
      <w:r>
        <w:rPr>
          <w:color w:val="000000" w:themeColor="text1"/>
          <w:spacing w:val="-2"/>
          <w14:textFill>
            <w14:solidFill>
              <w14:schemeClr w14:val="tx1"/>
            </w14:solidFill>
          </w14:textFill>
        </w:rPr>
        <w:t>财政部门要加强对预算评审和项目单位自主实施最高投标限价、结算、决算的财会监督；对未按要求进行预算评审或虚报基础数据、资金需求的部门，采取评价扣分、通报约谈、酌情扣减预算等约束措施；对积极配合开展预算评审、预算申报质量较高的部门，在绩效评价时予以加分奖励、通报表扬等激励措施；对财会监督中发现的问题依法依规严肃查处，相关违法违纪线索及时移交有关部门。</w:t>
      </w:r>
    </w:p>
    <w:p w14:paraId="603057D3">
      <w:pPr>
        <w:keepNext w:val="0"/>
        <w:keepLines w:val="0"/>
        <w:pageBreakBefore w:val="0"/>
        <w:widowControl w:val="0"/>
        <w:kinsoku/>
        <w:wordWrap/>
        <w:overflowPunct/>
        <w:topLinePunct w:val="0"/>
        <w:autoSpaceDE/>
        <w:autoSpaceDN/>
        <w:bidi w:val="0"/>
        <w:spacing w:line="560" w:lineRule="exact"/>
        <w:ind w:firstLine="635"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b/>
          <w:bCs/>
          <w:color w:val="000000" w:themeColor="text1"/>
          <w:spacing w:val="-2"/>
          <w:lang w:eastAsia="zh-CN"/>
          <w14:textFill>
            <w14:solidFill>
              <w14:schemeClr w14:val="tx1"/>
            </w14:solidFill>
          </w14:textFill>
        </w:rPr>
        <w:t>第三十一条　</w:t>
      </w:r>
      <w:r>
        <w:rPr>
          <w:rFonts w:hint="eastAsia" w:ascii="仿宋_GB2312" w:hAnsi="仿宋_GB2312" w:eastAsia="仿宋_GB2312" w:cs="仿宋_GB2312"/>
          <w:color w:val="000000" w:themeColor="text1"/>
          <w:sz w:val="32"/>
          <w:szCs w:val="32"/>
          <w14:textFill>
            <w14:solidFill>
              <w14:schemeClr w14:val="tx1"/>
            </w14:solidFill>
          </w14:textFill>
        </w:rPr>
        <w:t>项目建设、中介服务、代建、项目法人招标等必须签订合同。合同签订后，施工、监理单位依照合同约定向建设单位提供履约保函。工程未签订施工合同、未获得施工许可</w:t>
      </w:r>
      <w:r>
        <w:rPr>
          <w:rFonts w:hint="eastAsia" w:ascii="仿宋_GB2312" w:hAnsi="仿宋_GB2312" w:eastAsia="仿宋_GB2312" w:cs="仿宋_GB2312"/>
          <w:color w:val="000000" w:themeColor="text1"/>
          <w:sz w:val="32"/>
          <w:szCs w:val="32"/>
          <w:lang w:eastAsia="zh-CN"/>
          <w14:textFill>
            <w14:solidFill>
              <w14:schemeClr w14:val="tx1"/>
            </w14:solidFill>
          </w14:textFill>
        </w:rPr>
        <w:t>证</w:t>
      </w:r>
      <w:r>
        <w:rPr>
          <w:rFonts w:hint="eastAsia" w:ascii="仿宋_GB2312" w:hAnsi="仿宋_GB2312" w:eastAsia="仿宋_GB2312" w:cs="仿宋_GB2312"/>
          <w:color w:val="000000" w:themeColor="text1"/>
          <w:sz w:val="32"/>
          <w:szCs w:val="32"/>
          <w14:textFill>
            <w14:solidFill>
              <w14:schemeClr w14:val="tx1"/>
            </w14:solidFill>
          </w14:textFill>
        </w:rPr>
        <w:t xml:space="preserve">的不得动工建设。设计、勘察、监理等合同签订时，应将下列条款写入合同的约定中: </w:t>
      </w:r>
    </w:p>
    <w:p w14:paraId="350FF2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 xml:space="preserve">钻探点所在位置的实际地质情况与勘察报告不符的,每一个钻点扣除该项目勘察费的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。因勘察失误引起工程变更造价增加金额在施工合同价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%以上的,不支付勘察费。</w:t>
      </w:r>
    </w:p>
    <w:p w14:paraId="46AE7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xml:space="preserve">因设计失误引起工程变更造价增减金额在施工合同价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 xml:space="preserve">%的,扣除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 xml:space="preserve">%的设计费。因设计失误引起工程变更造价增减金额在施工合同价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%以上的,不支付设计费。</w:t>
      </w:r>
    </w:p>
    <w:p w14:paraId="7D73B6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监理单位弄虚作假、超越权限,导致虚增工程量、多计价款的,不支付监理费,并由行业主管部门给予处罚;给项目业主造成损失的,依法承担经济和法律责任</w:t>
      </w:r>
      <w:r>
        <w:rPr>
          <w:rFonts w:hint="eastAsia" w:ascii="仿宋_GB2312" w:hAnsi="仿宋_GB2312" w:eastAsia="仿宋_GB2312" w:cs="仿宋_GB2312"/>
          <w:color w:val="FF0000"/>
          <w:sz w:val="32"/>
          <w:szCs w:val="32"/>
        </w:rPr>
        <w:t>。</w:t>
      </w:r>
    </w:p>
    <w:p w14:paraId="34664F7D">
      <w:pPr>
        <w:pStyle w:val="12"/>
        <w:rPr>
          <w:rFonts w:hint="default"/>
        </w:rPr>
      </w:pPr>
    </w:p>
    <w:p w14:paraId="3FD9B047">
      <w:pPr>
        <w:keepNext w:val="0"/>
        <w:keepLines w:val="0"/>
        <w:pageBreakBefore w:val="0"/>
        <w:widowControl w:val="0"/>
        <w:kinsoku/>
        <w:wordWrap/>
        <w:overflowPunct/>
        <w:topLinePunct w:val="0"/>
        <w:autoSpaceDE/>
        <w:autoSpaceDN/>
        <w:bidi w:val="0"/>
        <w:spacing w:line="560" w:lineRule="exact"/>
        <w:ind w:left="0" w:leftChars="0" w:firstLine="0" w:firstLineChars="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法律责任</w:t>
      </w:r>
    </w:p>
    <w:p w14:paraId="4D1EA8EE">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第三十</w:t>
      </w:r>
      <w:r>
        <w:rPr>
          <w:rFonts w:hint="eastAsia" w:ascii="Times New Roman" w:hAnsi="Times New Roman" w:cs="Times New Roman"/>
          <w:b/>
          <w:bCs/>
          <w:color w:val="auto"/>
          <w:sz w:val="32"/>
          <w:szCs w:val="32"/>
          <w:lang w:eastAsia="zh-CN"/>
        </w:rPr>
        <w:t>二</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color w:val="auto"/>
          <w:sz w:val="32"/>
          <w:szCs w:val="32"/>
        </w:rPr>
        <w:t xml:space="preserve"> 主管部门、财政</w:t>
      </w:r>
      <w:r>
        <w:rPr>
          <w:rFonts w:hint="eastAsia" w:ascii="Times New Roman" w:hAnsi="Times New Roman" w:cs="Times New Roman"/>
          <w:color w:val="000000" w:themeColor="text1"/>
          <w:sz w:val="32"/>
          <w:szCs w:val="32"/>
          <w:lang w:eastAsia="zh-CN"/>
          <w14:textFill>
            <w14:solidFill>
              <w14:schemeClr w14:val="tx1"/>
            </w14:solidFill>
          </w14:textFill>
        </w:rPr>
        <w:t>和发改</w:t>
      </w:r>
      <w:r>
        <w:rPr>
          <w:rFonts w:hint="default" w:ascii="Times New Roman" w:hAnsi="Times New Roman" w:eastAsia="仿宋_GB2312" w:cs="Times New Roman"/>
          <w:color w:val="000000" w:themeColor="text1"/>
          <w:sz w:val="32"/>
          <w:szCs w:val="32"/>
          <w14:textFill>
            <w14:solidFill>
              <w14:schemeClr w14:val="tx1"/>
            </w14:solidFill>
          </w14:textFill>
        </w:rPr>
        <w:t>部</w:t>
      </w:r>
      <w:r>
        <w:rPr>
          <w:rFonts w:hint="default" w:ascii="Times New Roman" w:hAnsi="Times New Roman" w:eastAsia="仿宋_GB2312" w:cs="Times New Roman"/>
          <w:color w:val="auto"/>
          <w:sz w:val="32"/>
          <w:szCs w:val="32"/>
        </w:rPr>
        <w:t>门应定期、不定期对所有政府投资项目进行抽样监督检查。</w:t>
      </w:r>
    </w:p>
    <w:p w14:paraId="50B8242A">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第三十</w:t>
      </w:r>
      <w:r>
        <w:rPr>
          <w:rFonts w:hint="eastAsia" w:ascii="Times New Roman" w:hAnsi="Times New Roman" w:cs="Times New Roman"/>
          <w:b/>
          <w:bCs/>
          <w:color w:val="auto"/>
          <w:sz w:val="32"/>
          <w:szCs w:val="32"/>
          <w:lang w:eastAsia="zh-CN"/>
        </w:rPr>
        <w:t>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项目建设单位违反本办法，有下列行为之一且情节较重的，由项目行政主管部门责令限期整改；构成违纪的，移交纪检监察机关处理；构成犯罪的，移交司法机关处理：</w:t>
      </w:r>
    </w:p>
    <w:p w14:paraId="3823B83F">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一</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未按本规定履行有关程序擅自开工的；</w:t>
      </w:r>
    </w:p>
    <w:p w14:paraId="66E8DAAE">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二</w:t>
      </w:r>
      <w:r>
        <w:rPr>
          <w:rFonts w:hint="eastAsia"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未经批准擅自提高建设标准，扩大投资规模、调整投资额度的；</w:t>
      </w:r>
    </w:p>
    <w:p w14:paraId="23A5366D">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（三）应组织招</w:t>
      </w:r>
      <w:r>
        <w:rPr>
          <w:rFonts w:hint="eastAsia" w:ascii="Times New Roman" w:hAnsi="Times New Roman" w:cs="Times New Roman"/>
          <w:color w:val="auto"/>
          <w:sz w:val="32"/>
          <w:szCs w:val="32"/>
          <w:lang w:eastAsia="zh-CN"/>
        </w:rPr>
        <w:t>投</w:t>
      </w:r>
      <w:r>
        <w:rPr>
          <w:rFonts w:hint="default" w:ascii="Times New Roman" w:hAnsi="Times New Roman" w:eastAsia="仿宋_GB2312" w:cs="Times New Roman"/>
          <w:color w:val="auto"/>
          <w:sz w:val="32"/>
          <w:szCs w:val="32"/>
        </w:rPr>
        <w:t>标或政府采购而未组织的；</w:t>
      </w:r>
    </w:p>
    <w:p w14:paraId="245D85A2">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（四）招投标或政府采购中出现肢解工程规避招标、假招标、明招暗定、围标串标等违法违规行为的；</w:t>
      </w:r>
    </w:p>
    <w:p w14:paraId="22406F1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（五）转移、侵占、挪用、套取或骗取建设资金的；</w:t>
      </w:r>
    </w:p>
    <w:p w14:paraId="4B94CB0C">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（六）未经竣工验收或者验收不合格即交付使用的；</w:t>
      </w:r>
    </w:p>
    <w:p w14:paraId="47FDDA6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（七）违反本办法和国家其它法律、法规规定的其他行为。</w:t>
      </w:r>
    </w:p>
    <w:p w14:paraId="25C308A1">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第三十</w:t>
      </w:r>
      <w:r>
        <w:rPr>
          <w:rFonts w:hint="eastAsia" w:ascii="Times New Roman" w:hAnsi="Times New Roman" w:cs="Times New Roman"/>
          <w:b/>
          <w:bCs/>
          <w:color w:val="auto"/>
          <w:sz w:val="32"/>
          <w:szCs w:val="32"/>
          <w:lang w:eastAsia="zh-CN"/>
        </w:rPr>
        <w:t>四</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中标施工企业将中标项目转包或者违法分包的，转包、分包无效，并根据有关规定，由相关部门给予处理，构成犯罪的，移交司法机关处理。</w:t>
      </w:r>
    </w:p>
    <w:p w14:paraId="3CAC4485">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第三十</w:t>
      </w:r>
      <w:r>
        <w:rPr>
          <w:rFonts w:hint="eastAsia" w:ascii="Times New Roman" w:hAnsi="Times New Roman" w:cs="Times New Roman"/>
          <w:b/>
          <w:bCs/>
          <w:color w:val="auto"/>
          <w:sz w:val="32"/>
          <w:szCs w:val="32"/>
          <w:lang w:eastAsia="zh-CN"/>
        </w:rPr>
        <w:t>五</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施工单位所报送的工程结算资料，需真实、准确。对签署虚假签证、篡改工程签证资料的，一经查出，按相关法律规定处理。</w:t>
      </w:r>
    </w:p>
    <w:p w14:paraId="15D7108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w:t>
      </w:r>
      <w:r>
        <w:rPr>
          <w:rFonts w:hint="eastAsia" w:ascii="仿宋_GB2312" w:hAnsi="仿宋_GB2312" w:cs="仿宋_GB2312"/>
          <w:b/>
          <w:bCs/>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cs="仿宋_GB2312"/>
          <w:b/>
          <w:bCs/>
          <w:color w:val="000000" w:themeColor="text1"/>
          <w:sz w:val="32"/>
          <w:szCs w:val="32"/>
          <w:lang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参与政府投资项目的中介服务机构（包括但不限于设计、监理、造价咨询、环评、勘察等单位）存在以下行为，造成财政资金损失或项目质量问题的，依法依规追究责任：  </w:t>
      </w:r>
    </w:p>
    <w:p w14:paraId="267A4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（一）未按合同约定履行服务承诺，导致项目延误、投资增加或质量不达标的；  </w:t>
      </w:r>
    </w:p>
    <w:p w14:paraId="0DC652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（二）因工作失误（如设计错误、监理失职、咨询报告失真等）导致项目返工、投资失控或重大损失的；  </w:t>
      </w:r>
    </w:p>
    <w:p w14:paraId="170D8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（三）出具虚假结论、伪造数据或与相关方串通谋取不正当利益的。  </w:t>
      </w:r>
    </w:p>
    <w:p w14:paraId="447A8A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处理措施：  </w:t>
      </w:r>
    </w:p>
    <w:p w14:paraId="4C27A2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经济责任：按合同约定扣减服务费用，赔偿造成的经济损失；</w:t>
      </w:r>
    </w:p>
    <w:p w14:paraId="353D41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信用惩戒：列入通道县中介服务机构不良记录名单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年内禁止参与本县政府投资项目；  </w:t>
      </w:r>
    </w:p>
    <w:p w14:paraId="11969B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法律责任：构成违纪的移交纪检监察机关处理；涉嫌犯罪的移送司法机关。 </w:t>
      </w:r>
    </w:p>
    <w:p w14:paraId="32CED6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w:hAnsi="Nimbus Roman" w:eastAsia="CESI仿宋-GB2312" w:cs="Nimbus Roman"/>
          <w:color w:val="FF0000"/>
          <w:sz w:val="32"/>
          <w:szCs w:val="32"/>
        </w:rPr>
      </w:pPr>
    </w:p>
    <w:p w14:paraId="3F9FE5FA">
      <w:pPr>
        <w:keepNext w:val="0"/>
        <w:keepLines w:val="0"/>
        <w:pageBreakBefore w:val="0"/>
        <w:widowControl w:val="0"/>
        <w:kinsoku/>
        <w:wordWrap/>
        <w:overflowPunct/>
        <w:topLinePunct w:val="0"/>
        <w:autoSpaceDE/>
        <w:autoSpaceDN/>
        <w:bidi w:val="0"/>
        <w:spacing w:line="560" w:lineRule="exact"/>
        <w:ind w:left="0" w:leftChars="0" w:firstLine="0" w:firstLineChars="0"/>
        <w:jc w:val="center"/>
        <w:rPr>
          <w:rFonts w:hint="eastAsia" w:eastAsia="仿宋_GB2312"/>
          <w:color w:val="FF0000"/>
          <w:lang w:eastAsia="zh-CN"/>
        </w:rPr>
      </w:pPr>
      <w:r>
        <w:rPr>
          <w:rFonts w:hint="default" w:ascii="Times New Roman" w:hAnsi="Times New Roman" w:eastAsia="黑体" w:cs="Times New Roman"/>
          <w:color w:val="auto"/>
          <w:sz w:val="32"/>
          <w:szCs w:val="32"/>
        </w:rPr>
        <w:t>第八章  附则</w:t>
      </w:r>
    </w:p>
    <w:p w14:paraId="3224682B">
      <w:pPr>
        <w:keepNext w:val="0"/>
        <w:keepLines w:val="0"/>
        <w:pageBreakBefore w:val="0"/>
        <w:widowControl w:val="0"/>
        <w:kinsoku/>
        <w:wordWrap/>
        <w:overflowPunct/>
        <w:topLinePunct w:val="0"/>
        <w:autoSpaceDE/>
        <w:autoSpaceDN/>
        <w:bidi w:val="0"/>
        <w:spacing w:line="560" w:lineRule="exact"/>
        <w:ind w:firstLine="643" w:firstLineChars="200"/>
        <w:rPr>
          <w:rFonts w:hint="default" w:eastAsia="仿宋_GB2312"/>
          <w:lang w:val="en-US" w:eastAsia="zh-CN"/>
        </w:rPr>
      </w:pPr>
      <w:r>
        <w:rPr>
          <w:rFonts w:hint="default" w:ascii="Times New Roman" w:hAnsi="Times New Roman" w:eastAsia="仿宋_GB2312" w:cs="Times New Roman"/>
          <w:b/>
          <w:bCs/>
          <w:color w:val="auto"/>
          <w:sz w:val="32"/>
          <w:szCs w:val="32"/>
        </w:rPr>
        <w:t>第三十</w:t>
      </w:r>
      <w:r>
        <w:rPr>
          <w:rFonts w:hint="eastAsia" w:ascii="Times New Roman" w:hAnsi="Times New Roman" w:cs="Times New Roman"/>
          <w:b/>
          <w:bCs/>
          <w:color w:val="auto"/>
          <w:sz w:val="32"/>
          <w:szCs w:val="32"/>
          <w:lang w:eastAsia="zh-CN"/>
        </w:rPr>
        <w:t>七</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抢险、救灾等应急工程简化程序，经县政府领导批准后可先实施，直接进行结算。</w:t>
      </w:r>
    </w:p>
    <w:p w14:paraId="4CA5767E">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三</w:t>
      </w:r>
      <w:r>
        <w:rPr>
          <w:rFonts w:hint="default" w:ascii="Times New Roman" w:hAnsi="Times New Roman" w:eastAsia="仿宋_GB2312" w:cs="Times New Roman"/>
          <w:b/>
          <w:bCs/>
          <w:color w:val="auto"/>
          <w:sz w:val="32"/>
          <w:szCs w:val="32"/>
        </w:rPr>
        <w:t>十</w:t>
      </w:r>
      <w:r>
        <w:rPr>
          <w:rFonts w:hint="eastAsia" w:ascii="Times New Roman" w:hAnsi="Times New Roman" w:cs="Times New Roman"/>
          <w:b/>
          <w:bCs/>
          <w:color w:val="auto"/>
          <w:sz w:val="32"/>
          <w:szCs w:val="32"/>
          <w:lang w:eastAsia="zh-CN"/>
        </w:rPr>
        <w:t>八</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对涉及国家安全和秘密的不适应本办法。</w:t>
      </w:r>
    </w:p>
    <w:p w14:paraId="0ACBAF59">
      <w:pPr>
        <w:keepNext w:val="0"/>
        <w:keepLines w:val="0"/>
        <w:pageBreakBefore w:val="0"/>
        <w:widowControl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cs="Times New Roman"/>
          <w:b/>
          <w:bCs/>
          <w:color w:val="auto"/>
          <w:sz w:val="32"/>
          <w:szCs w:val="32"/>
          <w:lang w:eastAsia="zh-CN"/>
        </w:rPr>
        <w:t>三</w:t>
      </w:r>
      <w:r>
        <w:rPr>
          <w:rFonts w:hint="default" w:ascii="Times New Roman" w:hAnsi="Times New Roman" w:eastAsia="仿宋_GB2312" w:cs="Times New Roman"/>
          <w:b/>
          <w:bCs/>
          <w:color w:val="auto"/>
          <w:sz w:val="32"/>
          <w:szCs w:val="32"/>
        </w:rPr>
        <w:t>十</w:t>
      </w:r>
      <w:r>
        <w:rPr>
          <w:rFonts w:hint="eastAsia" w:ascii="Times New Roman" w:hAnsi="Times New Roman" w:cs="Times New Roman"/>
          <w:b/>
          <w:bCs/>
          <w:color w:val="auto"/>
          <w:sz w:val="32"/>
          <w:szCs w:val="32"/>
          <w:lang w:eastAsia="zh-CN"/>
        </w:rPr>
        <w:t>九</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国务院、省、市政府及其有关部门对使用中央、省、市财政性资金的政府投资项目管理另有规定的，从其规定。</w:t>
      </w:r>
    </w:p>
    <w:p w14:paraId="02B18CE3">
      <w:pPr>
        <w:keepNext w:val="0"/>
        <w:keepLines w:val="0"/>
        <w:pageBreakBefore w:val="0"/>
        <w:widowControl w:val="0"/>
        <w:kinsoku/>
        <w:wordWrap/>
        <w:overflowPunct/>
        <w:topLinePunct w:val="0"/>
        <w:autoSpaceDE/>
        <w:autoSpaceDN/>
        <w:bidi w:val="0"/>
        <w:spacing w:line="560" w:lineRule="exact"/>
        <w:ind w:firstLine="643" w:firstLineChars="200"/>
        <w:rPr>
          <w:rFonts w:hint="eastAsia"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auto"/>
          <w:sz w:val="32"/>
          <w:szCs w:val="32"/>
        </w:rPr>
        <w:t>第四十条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本办法自</w:t>
      </w:r>
      <w:r>
        <w:rPr>
          <w:rFonts w:hint="eastAsia" w:ascii="Times New Roman" w:hAnsi="Times New Roman" w:cs="Times New Roman"/>
          <w:color w:val="000000" w:themeColor="text1"/>
          <w:sz w:val="32"/>
          <w:szCs w:val="32"/>
          <w:lang w:val="en-US" w:eastAsia="zh-CN"/>
          <w14:textFill>
            <w14:solidFill>
              <w14:schemeClr w14:val="tx1"/>
            </w14:solidFill>
          </w14:textFill>
        </w:rPr>
        <w:t xml:space="preserve">2026年  月  </w:t>
      </w:r>
      <w:r>
        <w:rPr>
          <w:rFonts w:hint="default" w:ascii="Times New Roman" w:hAnsi="Times New Roman" w:eastAsia="仿宋_GB2312" w:cs="Times New Roman"/>
          <w:color w:val="000000" w:themeColor="text1"/>
          <w:sz w:val="32"/>
          <w:szCs w:val="32"/>
          <w14:textFill>
            <w14:solidFill>
              <w14:schemeClr w14:val="tx1"/>
            </w14:solidFill>
          </w14:textFill>
        </w:rPr>
        <w:t>日起施行，县内有关规定与本办法不一致的，以本办法为准</w:t>
      </w:r>
      <w:r>
        <w:rPr>
          <w:rFonts w:hint="eastAsia" w:ascii="Times New Roman" w:hAnsi="Times New Roman" w:cs="Times New Roman"/>
          <w:color w:val="000000" w:themeColor="text1"/>
          <w:sz w:val="32"/>
          <w:szCs w:val="32"/>
          <w:lang w:eastAsia="zh-CN"/>
          <w14:textFill>
            <w14:solidFill>
              <w14:schemeClr w14:val="tx1"/>
            </w14:solidFill>
          </w14:textFill>
        </w:rPr>
        <w:t>。</w:t>
      </w:r>
    </w:p>
    <w:p w14:paraId="1A9A86E2">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lang w:val="en-US" w:eastAsia="zh-CN"/>
          <w14:textFill>
            <w14:solidFill>
              <w14:schemeClr w14:val="tx1"/>
            </w14:solidFill>
          </w14:textFill>
        </w:rPr>
        <w:t>2024年6月30日以前已完工并验收但未办理结算的工程项目，按照《通道侗族自治县政府投资项目历史遗留问题处置方案》（通政办发〔2025〕12号）文件执行；2024年7月1日至2025年12月31日</w:t>
      </w:r>
      <w:r>
        <w:rPr>
          <w:rFonts w:hint="default" w:ascii="Times New Roman" w:hAnsi="Times New Roman" w:eastAsia="仿宋_GB2312" w:cs="Times New Roman"/>
          <w:color w:val="000000" w:themeColor="text1"/>
          <w:sz w:val="32"/>
          <w:szCs w:val="32"/>
          <w14:textFill>
            <w14:solidFill>
              <w14:schemeClr w14:val="tx1"/>
            </w14:solidFill>
          </w14:textFill>
        </w:rPr>
        <w:t>已完工并验收但未办理结算的工程项目</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eastAsia" w:ascii="Times New Roman" w:hAnsi="Times New Roman" w:cs="Times New Roman"/>
          <w:color w:val="000000" w:themeColor="text1"/>
          <w:sz w:val="32"/>
          <w:szCs w:val="32"/>
          <w:u w:val="none"/>
          <w:lang w:eastAsia="zh-CN"/>
          <w14:textFill>
            <w14:solidFill>
              <w14:schemeClr w14:val="tx1"/>
            </w14:solidFill>
          </w14:textFill>
        </w:rPr>
        <w:t>由业主单位实施</w:t>
      </w:r>
      <w:r>
        <w:rPr>
          <w:rFonts w:hint="default" w:ascii="Times New Roman" w:hAnsi="Times New Roman" w:eastAsia="仿宋_GB2312" w:cs="Times New Roman"/>
          <w:color w:val="000000" w:themeColor="text1"/>
          <w:sz w:val="32"/>
          <w:szCs w:val="32"/>
          <w14:textFill>
            <w14:solidFill>
              <w14:schemeClr w14:val="tx1"/>
            </w14:solidFill>
          </w14:textFill>
        </w:rPr>
        <w:t>；已开工未完工的工程项目后续管理按照此文件执行。</w:t>
      </w:r>
    </w:p>
    <w:p w14:paraId="49E90934">
      <w:pPr>
        <w:pStyle w:val="12"/>
        <w:rPr>
          <w:rFonts w:hint="default"/>
        </w:rPr>
      </w:pPr>
    </w:p>
    <w:p w14:paraId="301A7342">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p>
    <w:p w14:paraId="2A274480">
      <w:pPr>
        <w:pStyle w:val="8"/>
        <w:rPr>
          <w:rFonts w:hint="default" w:ascii="Times New Roman" w:hAnsi="Times New Roman" w:eastAsia="仿宋_GB2312" w:cs="Times New Roman"/>
          <w:color w:val="auto"/>
          <w:sz w:val="32"/>
          <w:szCs w:val="32"/>
        </w:rPr>
      </w:pPr>
    </w:p>
    <w:p w14:paraId="46913880">
      <w:pPr>
        <w:ind w:left="0" w:leftChars="0" w:firstLine="0" w:firstLineChars="0"/>
        <w:rPr>
          <w:rFonts w:hint="default" w:ascii="Times New Roman" w:hAnsi="Times New Roman" w:eastAsia="仿宋_GB2312" w:cs="Times New Roman"/>
          <w:color w:val="auto"/>
          <w:sz w:val="32"/>
          <w:szCs w:val="32"/>
        </w:rPr>
      </w:pPr>
    </w:p>
    <w:p w14:paraId="23D51FDE">
      <w:pPr>
        <w:spacing w:line="360" w:lineRule="exact"/>
        <w:ind w:left="0" w:leftChars="0" w:firstLine="0" w:firstLineChars="0"/>
        <w:rPr>
          <w:rFonts w:hint="default" w:ascii="Times New Roman" w:hAnsi="Times New Roman" w:cs="Times New Roman"/>
          <w:color w:val="auto"/>
        </w:rPr>
      </w:pPr>
    </w:p>
    <w:sectPr>
      <w:headerReference r:id="rId5" w:type="default"/>
      <w:footerReference r:id="rId6" w:type="default"/>
      <w:pgSz w:w="11906" w:h="16838"/>
      <w:pgMar w:top="1417" w:right="1588" w:bottom="1417" w:left="1588"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00BE">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5C485C">
                          <w:pPr>
                            <w:pStyle w:val="5"/>
                            <w:ind w:firstLine="48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4</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Jyc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X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92icnNwIAAG8EAAAOAAAAAAAAAAEAIAAAAB8BAABkcnMvZTJvRG9jLnht&#10;bFBLBQYAAAAABgAGAFkBAADIBQAAAAA=&#10;">
              <v:fill on="f" focussize="0,0"/>
              <v:stroke on="f" weight="0.5pt"/>
              <v:imagedata o:title=""/>
              <o:lock v:ext="edit" aspectratio="f"/>
              <v:textbox inset="0mm,0mm,0mm,0mm" style="mso-fit-shape-to-text:t;">
                <w:txbxContent>
                  <w:p w14:paraId="005C485C">
                    <w:pPr>
                      <w:pStyle w:val="5"/>
                      <w:ind w:firstLine="48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4</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2F2F">
    <w:pPr>
      <w:pStyle w:val="6"/>
      <w:pBdr>
        <w:top w:val="none" w:color="auto" w:sz="0" w:space="0"/>
        <w:left w:val="none" w:color="auto" w:sz="0" w:space="0"/>
        <w:bottom w:val="none" w:color="auto" w:sz="0" w:space="0"/>
        <w:right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A3D2F"/>
    <w:multiLevelType w:val="singleLevel"/>
    <w:tmpl w:val="E78A3D2F"/>
    <w:lvl w:ilvl="0" w:tentative="0">
      <w:start w:val="2"/>
      <w:numFmt w:val="chineseCounting"/>
      <w:suff w:val="nothing"/>
      <w:lvlText w:val="（%1）"/>
      <w:lvlJc w:val="left"/>
      <w:pPr>
        <w:ind w:left="-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A4C4E"/>
    <w:rsid w:val="002059C7"/>
    <w:rsid w:val="00326906"/>
    <w:rsid w:val="007E02F7"/>
    <w:rsid w:val="008539F0"/>
    <w:rsid w:val="0091575B"/>
    <w:rsid w:val="009B2366"/>
    <w:rsid w:val="009D6B09"/>
    <w:rsid w:val="00A77A1B"/>
    <w:rsid w:val="00DA6E45"/>
    <w:rsid w:val="02DF428A"/>
    <w:rsid w:val="03B42306"/>
    <w:rsid w:val="03B67E12"/>
    <w:rsid w:val="04F81DD7"/>
    <w:rsid w:val="05144D9D"/>
    <w:rsid w:val="063539E9"/>
    <w:rsid w:val="06546959"/>
    <w:rsid w:val="078770CB"/>
    <w:rsid w:val="078F2BFF"/>
    <w:rsid w:val="09DD0F10"/>
    <w:rsid w:val="0A0D7440"/>
    <w:rsid w:val="0A6E6BB8"/>
    <w:rsid w:val="0A85462E"/>
    <w:rsid w:val="0B6A2ADE"/>
    <w:rsid w:val="0D9D564B"/>
    <w:rsid w:val="108459C8"/>
    <w:rsid w:val="11414B06"/>
    <w:rsid w:val="11430EC2"/>
    <w:rsid w:val="1171106E"/>
    <w:rsid w:val="11D84431"/>
    <w:rsid w:val="12004C07"/>
    <w:rsid w:val="12D96480"/>
    <w:rsid w:val="146B6E96"/>
    <w:rsid w:val="149C1746"/>
    <w:rsid w:val="14B93748"/>
    <w:rsid w:val="14DF3372"/>
    <w:rsid w:val="153E5D00"/>
    <w:rsid w:val="156B1DF9"/>
    <w:rsid w:val="16534075"/>
    <w:rsid w:val="167A5106"/>
    <w:rsid w:val="16850783"/>
    <w:rsid w:val="168754E0"/>
    <w:rsid w:val="16A10425"/>
    <w:rsid w:val="1759455C"/>
    <w:rsid w:val="17766986"/>
    <w:rsid w:val="183157A0"/>
    <w:rsid w:val="184079F3"/>
    <w:rsid w:val="185A5BA0"/>
    <w:rsid w:val="19686D97"/>
    <w:rsid w:val="1B7134C6"/>
    <w:rsid w:val="1B8B42C2"/>
    <w:rsid w:val="1C365805"/>
    <w:rsid w:val="1C442B66"/>
    <w:rsid w:val="1D3A6984"/>
    <w:rsid w:val="1D417C69"/>
    <w:rsid w:val="1FCA4C4E"/>
    <w:rsid w:val="25BE4D69"/>
    <w:rsid w:val="25DE30F6"/>
    <w:rsid w:val="264A7253"/>
    <w:rsid w:val="275E288B"/>
    <w:rsid w:val="27D759D6"/>
    <w:rsid w:val="27DC2979"/>
    <w:rsid w:val="280B3CC2"/>
    <w:rsid w:val="2877003E"/>
    <w:rsid w:val="295A1058"/>
    <w:rsid w:val="2A224043"/>
    <w:rsid w:val="2C792E3F"/>
    <w:rsid w:val="2CEF51E4"/>
    <w:rsid w:val="2CF11A47"/>
    <w:rsid w:val="2D6F2EAE"/>
    <w:rsid w:val="2DBC4E87"/>
    <w:rsid w:val="2E66136F"/>
    <w:rsid w:val="2FE37DD1"/>
    <w:rsid w:val="308823A9"/>
    <w:rsid w:val="32BA306B"/>
    <w:rsid w:val="33332E1D"/>
    <w:rsid w:val="33405ECA"/>
    <w:rsid w:val="342169AE"/>
    <w:rsid w:val="35D019B1"/>
    <w:rsid w:val="36221325"/>
    <w:rsid w:val="36C01038"/>
    <w:rsid w:val="36F41D62"/>
    <w:rsid w:val="37D81214"/>
    <w:rsid w:val="39CA66A6"/>
    <w:rsid w:val="3A157E4B"/>
    <w:rsid w:val="3A396C89"/>
    <w:rsid w:val="3B8C225A"/>
    <w:rsid w:val="3C1202E3"/>
    <w:rsid w:val="3D610F2C"/>
    <w:rsid w:val="3DBF6667"/>
    <w:rsid w:val="3F39370B"/>
    <w:rsid w:val="3FBF3316"/>
    <w:rsid w:val="405F5E5A"/>
    <w:rsid w:val="41230975"/>
    <w:rsid w:val="41CF23CD"/>
    <w:rsid w:val="42E2686C"/>
    <w:rsid w:val="43E27BB0"/>
    <w:rsid w:val="43FF4A09"/>
    <w:rsid w:val="4585379D"/>
    <w:rsid w:val="47A73CBB"/>
    <w:rsid w:val="47DA4660"/>
    <w:rsid w:val="47F951CA"/>
    <w:rsid w:val="482C6361"/>
    <w:rsid w:val="48934967"/>
    <w:rsid w:val="48AB7907"/>
    <w:rsid w:val="4B7D3F6F"/>
    <w:rsid w:val="4BA1743F"/>
    <w:rsid w:val="4E130CE9"/>
    <w:rsid w:val="4E6616B4"/>
    <w:rsid w:val="4E740A3B"/>
    <w:rsid w:val="4F2110F2"/>
    <w:rsid w:val="51886E33"/>
    <w:rsid w:val="51BA5CE9"/>
    <w:rsid w:val="52A421FA"/>
    <w:rsid w:val="52B4142D"/>
    <w:rsid w:val="52C06024"/>
    <w:rsid w:val="52C64902"/>
    <w:rsid w:val="53C65E0D"/>
    <w:rsid w:val="53F16734"/>
    <w:rsid w:val="547D5CF8"/>
    <w:rsid w:val="552150F3"/>
    <w:rsid w:val="55CA619E"/>
    <w:rsid w:val="56890B6B"/>
    <w:rsid w:val="56A45D06"/>
    <w:rsid w:val="57A70B8C"/>
    <w:rsid w:val="58ED47F9"/>
    <w:rsid w:val="5A161E04"/>
    <w:rsid w:val="5AC00AB3"/>
    <w:rsid w:val="5D222B4B"/>
    <w:rsid w:val="5E1D3FC4"/>
    <w:rsid w:val="5E2A3581"/>
    <w:rsid w:val="5E7D4589"/>
    <w:rsid w:val="5EC62C14"/>
    <w:rsid w:val="5EFF39EF"/>
    <w:rsid w:val="5FDB59F9"/>
    <w:rsid w:val="6249574B"/>
    <w:rsid w:val="644B5E02"/>
    <w:rsid w:val="64C60F17"/>
    <w:rsid w:val="650C360A"/>
    <w:rsid w:val="65506D17"/>
    <w:rsid w:val="65BA389D"/>
    <w:rsid w:val="664A035D"/>
    <w:rsid w:val="66842665"/>
    <w:rsid w:val="66C355B8"/>
    <w:rsid w:val="681D3F14"/>
    <w:rsid w:val="695C3407"/>
    <w:rsid w:val="69983D07"/>
    <w:rsid w:val="6A1364D0"/>
    <w:rsid w:val="6A5D6ABC"/>
    <w:rsid w:val="6AFF047C"/>
    <w:rsid w:val="6B272C95"/>
    <w:rsid w:val="6B504038"/>
    <w:rsid w:val="6B644BD6"/>
    <w:rsid w:val="6BA87B8F"/>
    <w:rsid w:val="6BAD68E6"/>
    <w:rsid w:val="6C5A3970"/>
    <w:rsid w:val="6DE83CF6"/>
    <w:rsid w:val="6EF13DC2"/>
    <w:rsid w:val="6F3D7953"/>
    <w:rsid w:val="6F423D82"/>
    <w:rsid w:val="6FE80510"/>
    <w:rsid w:val="6FFF1D57"/>
    <w:rsid w:val="70615F2C"/>
    <w:rsid w:val="712B2DAA"/>
    <w:rsid w:val="7161162D"/>
    <w:rsid w:val="71A83AB7"/>
    <w:rsid w:val="720B5A0B"/>
    <w:rsid w:val="723316A1"/>
    <w:rsid w:val="728B608B"/>
    <w:rsid w:val="72CC0706"/>
    <w:rsid w:val="73201E41"/>
    <w:rsid w:val="752E6832"/>
    <w:rsid w:val="75402B10"/>
    <w:rsid w:val="75AA17A1"/>
    <w:rsid w:val="770B7DF5"/>
    <w:rsid w:val="772A3EB9"/>
    <w:rsid w:val="79056158"/>
    <w:rsid w:val="794D2552"/>
    <w:rsid w:val="79FB1AE1"/>
    <w:rsid w:val="7B14665D"/>
    <w:rsid w:val="7B205CD8"/>
    <w:rsid w:val="7E68095B"/>
    <w:rsid w:val="7EC87E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b/>
      <w:kern w:val="44"/>
      <w:sz w:val="24"/>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99"/>
    <w:pPr>
      <w:autoSpaceDE w:val="0"/>
      <w:autoSpaceDN w:val="0"/>
      <w:ind w:left="108"/>
      <w:jc w:val="left"/>
    </w:pPr>
    <w:rPr>
      <w:rFonts w:ascii="仿宋_GB2312" w:hAnsi="仿宋_GB2312" w:cs="仿宋_GB2312"/>
      <w:kern w:val="0"/>
      <w:szCs w:val="32"/>
      <w:lang w:val="zh-CN"/>
    </w:rPr>
  </w:style>
  <w:style w:type="paragraph" w:styleId="4">
    <w:name w:val="Body Text Indent"/>
    <w:basedOn w:val="1"/>
    <w:next w:val="1"/>
    <w:qFormat/>
    <w:uiPriority w:val="0"/>
    <w:pPr>
      <w:spacing w:after="120"/>
      <w:ind w:left="200" w:leftChars="200"/>
    </w:p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Body Text First Indent 2"/>
    <w:basedOn w:val="4"/>
    <w:next w:val="1"/>
    <w:qFormat/>
    <w:uiPriority w:val="0"/>
    <w:pPr>
      <w:ind w:firstLine="200" w:firstLineChars="200"/>
    </w:pPr>
  </w:style>
  <w:style w:type="character" w:styleId="11">
    <w:name w:val="Strong"/>
    <w:basedOn w:val="10"/>
    <w:qFormat/>
    <w:uiPriority w:val="99"/>
    <w:rPr>
      <w:rFonts w:cs="Times New Roman"/>
      <w:b/>
    </w:rPr>
  </w:style>
  <w:style w:type="paragraph" w:customStyle="1" w:styleId="12">
    <w:name w:val="_Style 1"/>
    <w:basedOn w:val="1"/>
    <w:qFormat/>
    <w:uiPriority w:val="99"/>
    <w:pPr>
      <w:adjustRightInd w:val="0"/>
      <w:snapToGrid w:val="0"/>
      <w:spacing w:line="481" w:lineRule="atLeast"/>
      <w:ind w:firstLine="623"/>
      <w:textAlignment w:val="baseline"/>
    </w:pPr>
    <w:rPr>
      <w:color w:val="000000"/>
      <w:sz w:val="31"/>
      <w:szCs w:val="31"/>
    </w:rPr>
  </w:style>
  <w:style w:type="character" w:customStyle="1" w:styleId="13">
    <w:name w:val="Body Text Char"/>
    <w:basedOn w:val="10"/>
    <w:link w:val="3"/>
    <w:semiHidden/>
    <w:qFormat/>
    <w:uiPriority w:val="99"/>
    <w:rPr>
      <w:rFonts w:ascii="Calibri" w:hAnsi="Calibri" w:eastAsia="仿宋_GB2312"/>
      <w:sz w:val="32"/>
      <w:szCs w:val="24"/>
    </w:rPr>
  </w:style>
  <w:style w:type="character" w:customStyle="1" w:styleId="14">
    <w:name w:val="Footer Char"/>
    <w:basedOn w:val="10"/>
    <w:link w:val="5"/>
    <w:semiHidden/>
    <w:qFormat/>
    <w:uiPriority w:val="99"/>
    <w:rPr>
      <w:rFonts w:ascii="Calibri" w:hAnsi="Calibri" w:eastAsia="仿宋_GB2312"/>
      <w:sz w:val="18"/>
      <w:szCs w:val="18"/>
    </w:rPr>
  </w:style>
  <w:style w:type="character" w:customStyle="1" w:styleId="15">
    <w:name w:val="Header Char"/>
    <w:basedOn w:val="10"/>
    <w:link w:val="6"/>
    <w:semiHidden/>
    <w:qFormat/>
    <w:uiPriority w:val="99"/>
    <w:rPr>
      <w:rFonts w:ascii="Calibri" w:hAnsi="Calibri"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7331</Words>
  <Characters>7457</Characters>
  <Lines>0</Lines>
  <Paragraphs>0</Paragraphs>
  <TotalTime>122</TotalTime>
  <ScaleCrop>false</ScaleCrop>
  <LinksUpToDate>false</LinksUpToDate>
  <CharactersWithSpaces>7594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2022-02-22T14:13:00Z</dcterms:created>
  <dc:creator>秦天臻</dc:creator>
  <cp:lastModifiedBy>可口可乐</cp:lastModifiedBy>
  <cp:lastPrinted>2025-11-28T00:43:00Z</cp:lastPrinted>
  <dcterms:modified xsi:type="dcterms:W3CDTF">2026-04-24T03:40:44Z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5B0DC1BE60AA4BC797041B422D458F13_13</vt:lpwstr>
  </property>
  <property fmtid="{D5CDD505-2E9C-101B-9397-08002B2CF9AE}" pid="4" name="KSOTemplateDocerSaveRecord">
    <vt:lpwstr>eyJoZGlkIjoiMWJiYzkzOTQ5ZTE2MjAzOGZjNzI3NjFiOTVhZDhlYTIiLCJ1c2VySWQiOiI3MzU3MjQyNjUifQ==</vt:lpwstr>
  </property>
</Properties>
</file>