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 xml:space="preserve">                               </w:t>
      </w:r>
    </w:p>
    <w:p>
      <w:pPr>
        <w:spacing w:line="560" w:lineRule="exact"/>
        <w:ind w:firstLine="2240" w:firstLineChars="7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怀</w:t>
      </w:r>
      <w:r>
        <w:rPr>
          <w:rFonts w:hint="eastAsia" w:ascii="仿宋_GB2312" w:eastAsia="仿宋_GB2312"/>
          <w:sz w:val="32"/>
          <w:szCs w:val="32"/>
        </w:rPr>
        <w:t>通环评〔20</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号</w:t>
      </w:r>
    </w:p>
    <w:p>
      <w:pPr>
        <w:spacing w:line="560" w:lineRule="exact"/>
        <w:ind w:firstLine="1470" w:firstLineChars="700"/>
        <w:rPr>
          <w:rFonts w:ascii="仿宋_GB2312" w:eastAsia="仿宋_GB2312"/>
          <w:szCs w:val="21"/>
        </w:rPr>
      </w:pPr>
    </w:p>
    <w:p>
      <w:pPr>
        <w:jc w:val="center"/>
        <w:rPr>
          <w:rFonts w:hint="eastAsia" w:ascii="黑体" w:eastAsia="黑体"/>
          <w:sz w:val="44"/>
          <w:szCs w:val="44"/>
        </w:rPr>
      </w:pPr>
      <w:r>
        <w:rPr>
          <w:rFonts w:hint="eastAsia" w:ascii="黑体" w:eastAsia="黑体"/>
          <w:sz w:val="44"/>
          <w:szCs w:val="44"/>
        </w:rPr>
        <w:t>怀化市生态环境局</w:t>
      </w:r>
    </w:p>
    <w:p>
      <w:pPr>
        <w:jc w:val="center"/>
        <w:rPr>
          <w:rFonts w:hint="eastAsia" w:ascii="黑体" w:eastAsia="黑体"/>
          <w:sz w:val="44"/>
          <w:szCs w:val="44"/>
        </w:rPr>
      </w:pPr>
      <w:r>
        <w:rPr>
          <w:rFonts w:hint="eastAsia" w:ascii="黑体" w:eastAsia="黑体"/>
          <w:sz w:val="44"/>
          <w:szCs w:val="44"/>
        </w:rPr>
        <w:t>关于</w:t>
      </w:r>
      <w:r>
        <w:rPr>
          <w:rFonts w:hint="eastAsia" w:ascii="黑体" w:eastAsia="黑体"/>
          <w:sz w:val="44"/>
          <w:szCs w:val="44"/>
          <w:lang w:val="en-US" w:eastAsia="zh-CN"/>
        </w:rPr>
        <w:t>通道县杉木桥风电场项目</w:t>
      </w:r>
      <w:r>
        <w:rPr>
          <w:rFonts w:hint="eastAsia" w:ascii="黑体" w:eastAsia="黑体"/>
          <w:sz w:val="44"/>
          <w:szCs w:val="44"/>
        </w:rPr>
        <w:t>环境影响</w:t>
      </w:r>
    </w:p>
    <w:p>
      <w:pPr>
        <w:jc w:val="center"/>
        <w:rPr>
          <w:rFonts w:ascii="黑体" w:eastAsia="黑体"/>
          <w:sz w:val="44"/>
          <w:szCs w:val="44"/>
        </w:rPr>
      </w:pPr>
      <w:r>
        <w:rPr>
          <w:rFonts w:hint="eastAsia" w:ascii="黑体" w:eastAsia="黑体"/>
          <w:sz w:val="44"/>
          <w:szCs w:val="44"/>
        </w:rPr>
        <w:t>报告表的批复</w:t>
      </w:r>
    </w:p>
    <w:p>
      <w:pPr>
        <w:rPr>
          <w:rFonts w:hint="eastAsia" w:ascii="仿宋_GB2312" w:eastAsia="仿宋_GB2312"/>
          <w:sz w:val="32"/>
          <w:szCs w:val="32"/>
        </w:rPr>
      </w:pPr>
    </w:p>
    <w:p>
      <w:pPr>
        <w:rPr>
          <w:rFonts w:ascii="仿宋_GB2312" w:hAnsi="宋体" w:eastAsia="仿宋_GB2312"/>
          <w:sz w:val="32"/>
          <w:szCs w:val="32"/>
        </w:rPr>
      </w:pPr>
      <w:r>
        <w:rPr>
          <w:rFonts w:hint="eastAsia" w:ascii="仿宋_GB2312" w:hAnsi="宋体" w:eastAsia="仿宋_GB2312"/>
          <w:sz w:val="32"/>
          <w:szCs w:val="32"/>
          <w:lang w:eastAsia="zh-CN"/>
        </w:rPr>
        <w:t>通道磨冲界新能源开发有限公司</w:t>
      </w:r>
      <w:r>
        <w:rPr>
          <w:rFonts w:hint="eastAsia" w:ascii="仿宋_GB2312" w:hAnsi="宋体" w:eastAsia="仿宋_GB2312"/>
          <w:sz w:val="32"/>
          <w:szCs w:val="32"/>
        </w:rPr>
        <w:t>：</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你公司报送的《</w:t>
      </w:r>
      <w:r>
        <w:rPr>
          <w:rFonts w:hint="eastAsia" w:ascii="仿宋_GB2312" w:hAnsi="宋体" w:eastAsia="仿宋_GB2312"/>
          <w:sz w:val="32"/>
          <w:szCs w:val="32"/>
          <w:lang w:eastAsia="zh-CN"/>
        </w:rPr>
        <w:t>通道县杉木桥风电场</w:t>
      </w:r>
      <w:r>
        <w:rPr>
          <w:rFonts w:hint="eastAsia" w:ascii="仿宋_GB2312" w:hAnsi="宋体" w:eastAsia="仿宋_GB2312"/>
          <w:sz w:val="32"/>
          <w:szCs w:val="32"/>
        </w:rPr>
        <w:t>环境影响报告表》</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以下简称《报告表》</w:t>
      </w:r>
      <w:r>
        <w:rPr>
          <w:rFonts w:hint="eastAsia" w:ascii="仿宋_GB2312" w:hAnsi="宋体" w:eastAsia="仿宋_GB2312"/>
          <w:sz w:val="32"/>
          <w:szCs w:val="32"/>
          <w:lang w:eastAsia="zh-CN"/>
        </w:rPr>
        <w:t>）</w:t>
      </w:r>
      <w:r>
        <w:rPr>
          <w:rFonts w:hint="eastAsia" w:ascii="仿宋_GB2312" w:hAnsi="宋体" w:eastAsia="仿宋_GB2312"/>
          <w:sz w:val="32"/>
          <w:szCs w:val="32"/>
        </w:rPr>
        <w:t>及</w:t>
      </w:r>
      <w:r>
        <w:rPr>
          <w:rFonts w:hint="eastAsia" w:ascii="仿宋_GB2312" w:hAnsi="宋体" w:eastAsia="仿宋_GB2312"/>
          <w:sz w:val="32"/>
          <w:szCs w:val="32"/>
          <w:lang w:val="en-US" w:eastAsia="zh-CN"/>
        </w:rPr>
        <w:t>0</w:t>
      </w:r>
      <w:r>
        <w:rPr>
          <w:rFonts w:hint="eastAsia" w:ascii="仿宋_GB2312" w:hAnsi="宋体" w:eastAsia="仿宋_GB2312"/>
          <w:sz w:val="32"/>
          <w:szCs w:val="32"/>
        </w:rPr>
        <w:t>相关材料收悉。经审查，现批复如下：</w:t>
      </w:r>
    </w:p>
    <w:p>
      <w:pPr>
        <w:ind w:firstLine="640" w:firstLineChars="200"/>
        <w:rPr>
          <w:rFonts w:hint="default" w:ascii="仿宋_GB2312" w:eastAsia="仿宋_GB2312"/>
          <w:sz w:val="32"/>
          <w:szCs w:val="32"/>
          <w:lang w:val="en-US"/>
        </w:rPr>
      </w:pPr>
      <w:r>
        <w:rPr>
          <w:rFonts w:hint="eastAsia" w:ascii="仿宋_GB2312" w:hAnsi="宋体" w:eastAsia="仿宋_GB2312"/>
          <w:sz w:val="32"/>
          <w:szCs w:val="32"/>
        </w:rPr>
        <w:t>一、</w:t>
      </w:r>
      <w:r>
        <w:rPr>
          <w:rFonts w:hint="eastAsia" w:ascii="仿宋_GB2312" w:hAnsi="宋体" w:eastAsia="仿宋_GB2312"/>
          <w:sz w:val="32"/>
          <w:szCs w:val="32"/>
          <w:lang w:eastAsia="zh-CN"/>
        </w:rPr>
        <w:t>通道县杉木桥风电场</w:t>
      </w:r>
      <w:r>
        <w:rPr>
          <w:rFonts w:hint="eastAsia" w:ascii="仿宋_GB2312" w:hAnsi="宋体" w:eastAsia="仿宋_GB2312"/>
          <w:sz w:val="32"/>
          <w:szCs w:val="32"/>
          <w:lang w:val="en-US" w:eastAsia="zh-CN"/>
        </w:rPr>
        <w:t>项目拟建</w:t>
      </w:r>
      <w:r>
        <w:rPr>
          <w:rFonts w:hint="eastAsia" w:ascii="仿宋_GB2312" w:hAnsi="宋体" w:eastAsia="仿宋_GB2312"/>
          <w:sz w:val="32"/>
          <w:szCs w:val="32"/>
        </w:rPr>
        <w:t>于湖南省怀化市</w:t>
      </w:r>
      <w:r>
        <w:rPr>
          <w:rFonts w:hint="eastAsia" w:ascii="仿宋_GB2312" w:hAnsi="宋体" w:eastAsia="仿宋_GB2312"/>
          <w:sz w:val="32"/>
          <w:szCs w:val="32"/>
          <w:lang w:val="en-US" w:eastAsia="zh-CN"/>
        </w:rPr>
        <w:t>通道县</w:t>
      </w:r>
      <w:r>
        <w:rPr>
          <w:rFonts w:hint="eastAsia" w:ascii="仿宋" w:hAnsi="仿宋" w:eastAsia="仿宋" w:cs="仿宋"/>
          <w:b w:val="0"/>
          <w:bCs w:val="0"/>
          <w:sz w:val="32"/>
          <w:szCs w:val="32"/>
          <w:u w:val="none"/>
          <w:lang w:eastAsia="zh-CN"/>
        </w:rPr>
        <w:t>溪</w:t>
      </w:r>
      <w:r>
        <w:rPr>
          <w:rFonts w:hint="eastAsia" w:ascii="仿宋" w:hAnsi="仿宋" w:eastAsia="仿宋" w:cs="仿宋"/>
          <w:b w:val="0"/>
          <w:bCs w:val="0"/>
          <w:sz w:val="32"/>
          <w:szCs w:val="32"/>
          <w:u w:val="none"/>
          <w:lang w:val="en-US" w:eastAsia="zh-CN"/>
        </w:rPr>
        <w:t>口</w:t>
      </w:r>
      <w:r>
        <w:rPr>
          <w:rFonts w:hint="eastAsia" w:ascii="仿宋" w:hAnsi="仿宋" w:eastAsia="仿宋" w:cs="仿宋"/>
          <w:b w:val="0"/>
          <w:bCs w:val="0"/>
          <w:sz w:val="32"/>
          <w:szCs w:val="32"/>
          <w:u w:val="none"/>
          <w:lang w:eastAsia="zh-CN"/>
        </w:rPr>
        <w:t>镇、菁芜洲镇</w:t>
      </w:r>
      <w:r>
        <w:rPr>
          <w:rFonts w:hint="eastAsia" w:ascii="仿宋_GB2312" w:hAnsi="宋体" w:eastAsia="仿宋_GB2312"/>
          <w:sz w:val="32"/>
          <w:szCs w:val="32"/>
        </w:rPr>
        <w:t>境内，地理坐标介于</w:t>
      </w:r>
      <w:r>
        <w:rPr>
          <w:rFonts w:hint="default" w:ascii="仿宋" w:hAnsi="仿宋" w:eastAsia="仿宋" w:cs="仿宋"/>
          <w:b w:val="0"/>
          <w:bCs w:val="0"/>
          <w:sz w:val="32"/>
          <w:szCs w:val="32"/>
          <w:u w:val="none"/>
          <w:lang w:val="en-US" w:eastAsia="zh-CN"/>
        </w:rPr>
        <w:t>东经109°40′～109°43′，北纬26°17′～26°20′</w:t>
      </w:r>
      <w:r>
        <w:rPr>
          <w:rFonts w:hint="eastAsia" w:ascii="仿宋" w:hAnsi="仿宋" w:eastAsia="仿宋" w:cs="仿宋"/>
          <w:b w:val="0"/>
          <w:bCs w:val="0"/>
          <w:sz w:val="32"/>
          <w:szCs w:val="32"/>
          <w:u w:val="none"/>
          <w:lang w:val="en-US" w:eastAsia="zh-CN"/>
        </w:rPr>
        <w:t>之间</w:t>
      </w:r>
      <w:r>
        <w:rPr>
          <w:rFonts w:hint="eastAsia" w:ascii="仿宋" w:hAnsi="仿宋" w:eastAsia="仿宋" w:cs="仿宋"/>
          <w:b w:val="0"/>
          <w:bCs w:val="0"/>
          <w:sz w:val="32"/>
          <w:szCs w:val="32"/>
          <w:u w:val="none"/>
          <w:lang w:eastAsia="zh-CN"/>
        </w:rPr>
        <w:t>，海拔高度在</w:t>
      </w:r>
      <w:r>
        <w:rPr>
          <w:rFonts w:hint="eastAsia" w:ascii="仿宋" w:hAnsi="仿宋" w:eastAsia="仿宋" w:cs="仿宋"/>
          <w:b w:val="0"/>
          <w:bCs w:val="0"/>
          <w:sz w:val="32"/>
          <w:szCs w:val="32"/>
          <w:u w:val="none"/>
          <w:lang w:val="en-US" w:eastAsia="zh-CN"/>
        </w:rPr>
        <w:t>440m</w:t>
      </w:r>
      <w:r>
        <w:rPr>
          <w:rFonts w:hint="default" w:ascii="仿宋" w:hAnsi="仿宋" w:eastAsia="仿宋" w:cs="仿宋"/>
          <w:b w:val="0"/>
          <w:bCs w:val="0"/>
          <w:sz w:val="32"/>
          <w:szCs w:val="32"/>
          <w:u w:val="none"/>
          <w:lang w:val="en-US" w:eastAsia="zh-CN"/>
        </w:rPr>
        <w:t>～</w:t>
      </w:r>
      <w:r>
        <w:rPr>
          <w:rFonts w:hint="eastAsia" w:ascii="仿宋" w:hAnsi="仿宋" w:eastAsia="仿宋" w:cs="仿宋"/>
          <w:b w:val="0"/>
          <w:bCs w:val="0"/>
          <w:sz w:val="32"/>
          <w:szCs w:val="32"/>
          <w:u w:val="none"/>
          <w:lang w:val="en-US" w:eastAsia="zh-CN"/>
        </w:rPr>
        <w:t>720m</w:t>
      </w:r>
      <w:r>
        <w:rPr>
          <w:rFonts w:hint="eastAsia" w:ascii="仿宋" w:hAnsi="仿宋" w:eastAsia="仿宋" w:cs="仿宋"/>
          <w:b w:val="0"/>
          <w:bCs w:val="0"/>
          <w:sz w:val="32"/>
          <w:szCs w:val="32"/>
          <w:u w:val="none"/>
          <w:lang w:eastAsia="zh-CN"/>
        </w:rPr>
        <w:t>之间</w:t>
      </w:r>
      <w:r>
        <w:rPr>
          <w:rFonts w:hint="eastAsia" w:ascii="仿宋_GB2312" w:hAnsi="宋体" w:eastAsia="仿宋_GB2312"/>
          <w:sz w:val="32"/>
          <w:szCs w:val="32"/>
          <w:lang w:eastAsia="zh-CN"/>
        </w:rPr>
        <w:t>。风电场设计</w:t>
      </w:r>
      <w:r>
        <w:rPr>
          <w:rFonts w:hint="eastAsia" w:ascii="仿宋" w:hAnsi="仿宋" w:eastAsia="仿宋" w:cs="仿宋"/>
          <w:b w:val="0"/>
          <w:bCs w:val="0"/>
          <w:sz w:val="32"/>
          <w:szCs w:val="32"/>
          <w:u w:val="none"/>
          <w:lang w:eastAsia="zh-CN"/>
        </w:rPr>
        <w:t>安装</w:t>
      </w:r>
      <w:r>
        <w:rPr>
          <w:rFonts w:hint="eastAsia" w:ascii="仿宋" w:hAnsi="仿宋" w:eastAsia="仿宋" w:cs="仿宋"/>
          <w:b w:val="0"/>
          <w:bCs w:val="0"/>
          <w:sz w:val="32"/>
          <w:szCs w:val="32"/>
          <w:u w:val="none"/>
          <w:lang w:val="en-US" w:eastAsia="zh-CN"/>
        </w:rPr>
        <w:t>11</w:t>
      </w:r>
      <w:r>
        <w:rPr>
          <w:rFonts w:hint="eastAsia" w:ascii="仿宋" w:hAnsi="仿宋" w:eastAsia="仿宋" w:cs="仿宋"/>
          <w:b w:val="0"/>
          <w:bCs w:val="0"/>
          <w:sz w:val="32"/>
          <w:szCs w:val="32"/>
          <w:u w:val="none"/>
          <w:lang w:eastAsia="zh-CN"/>
        </w:rPr>
        <w:t>台</w:t>
      </w:r>
      <w:r>
        <w:rPr>
          <w:rFonts w:hint="eastAsia" w:ascii="仿宋" w:hAnsi="仿宋" w:eastAsia="仿宋" w:cs="仿宋"/>
          <w:b w:val="0"/>
          <w:bCs w:val="0"/>
          <w:sz w:val="32"/>
          <w:szCs w:val="32"/>
          <w:u w:val="none"/>
          <w:lang w:val="en-US" w:eastAsia="zh-CN"/>
        </w:rPr>
        <w:t>单机容量4.55MW的SI-200455-HH115机型风力发电组，</w:t>
      </w:r>
      <w:r>
        <w:rPr>
          <w:rFonts w:hint="eastAsia" w:ascii="仿宋" w:hAnsi="仿宋" w:eastAsia="仿宋" w:cs="仿宋"/>
          <w:b w:val="0"/>
          <w:bCs w:val="0"/>
          <w:sz w:val="32"/>
          <w:szCs w:val="32"/>
          <w:u w:val="none"/>
          <w:lang w:eastAsia="zh-CN"/>
        </w:rPr>
        <w:t>总装机规模为</w:t>
      </w:r>
      <w:r>
        <w:rPr>
          <w:rFonts w:hint="eastAsia" w:ascii="仿宋" w:hAnsi="仿宋" w:eastAsia="仿宋" w:cs="仿宋"/>
          <w:b w:val="0"/>
          <w:bCs w:val="0"/>
          <w:sz w:val="32"/>
          <w:szCs w:val="32"/>
          <w:u w:val="none"/>
          <w:lang w:val="en-US" w:eastAsia="zh-CN"/>
        </w:rPr>
        <w:t>50</w:t>
      </w:r>
      <w:r>
        <w:rPr>
          <w:rFonts w:hint="eastAsia" w:ascii="仿宋" w:hAnsi="仿宋" w:eastAsia="仿宋" w:cs="仿宋"/>
          <w:b w:val="0"/>
          <w:bCs w:val="0"/>
          <w:sz w:val="32"/>
          <w:szCs w:val="32"/>
          <w:u w:val="none"/>
          <w:lang w:eastAsia="zh-CN"/>
        </w:rPr>
        <w:t>MW，划弃渣场</w:t>
      </w:r>
      <w:r>
        <w:rPr>
          <w:rFonts w:hint="eastAsia" w:ascii="仿宋" w:hAnsi="仿宋" w:eastAsia="仿宋" w:cs="仿宋"/>
          <w:b w:val="0"/>
          <w:bCs w:val="0"/>
          <w:sz w:val="32"/>
          <w:szCs w:val="32"/>
          <w:u w:val="none"/>
          <w:lang w:val="en-US" w:eastAsia="zh-CN"/>
        </w:rPr>
        <w:t>11</w:t>
      </w:r>
      <w:r>
        <w:rPr>
          <w:rFonts w:hint="eastAsia" w:ascii="仿宋" w:hAnsi="仿宋" w:eastAsia="仿宋" w:cs="仿宋"/>
          <w:b w:val="0"/>
          <w:bCs w:val="0"/>
          <w:sz w:val="32"/>
          <w:szCs w:val="32"/>
          <w:u w:val="none"/>
          <w:lang w:eastAsia="zh-CN"/>
        </w:rPr>
        <w:t>处。预计年上网发电量为</w:t>
      </w:r>
      <w:r>
        <w:rPr>
          <w:rFonts w:hint="eastAsia" w:ascii="仿宋" w:hAnsi="仿宋" w:eastAsia="仿宋" w:cs="仿宋"/>
          <w:b w:val="0"/>
          <w:bCs w:val="0"/>
          <w:sz w:val="32"/>
          <w:szCs w:val="32"/>
          <w:u w:val="none"/>
          <w:lang w:val="en-US" w:eastAsia="zh-CN"/>
        </w:rPr>
        <w:t>9512.1</w:t>
      </w:r>
      <w:r>
        <w:rPr>
          <w:rFonts w:hint="eastAsia" w:ascii="仿宋" w:hAnsi="仿宋" w:eastAsia="仿宋" w:cs="仿宋"/>
          <w:b w:val="0"/>
          <w:bCs w:val="0"/>
          <w:sz w:val="32"/>
          <w:szCs w:val="32"/>
          <w:u w:val="none"/>
          <w:lang w:eastAsia="zh-CN"/>
        </w:rPr>
        <w:t>万 kW•h，年等效满负荷小时数</w:t>
      </w:r>
      <w:r>
        <w:rPr>
          <w:rFonts w:hint="eastAsia" w:ascii="仿宋" w:hAnsi="仿宋" w:eastAsia="仿宋" w:cs="仿宋"/>
          <w:b w:val="0"/>
          <w:bCs w:val="0"/>
          <w:sz w:val="32"/>
          <w:szCs w:val="32"/>
          <w:u w:val="none"/>
          <w:lang w:val="en-US" w:eastAsia="zh-CN"/>
        </w:rPr>
        <w:t>1902</w:t>
      </w:r>
      <w:r>
        <w:rPr>
          <w:rFonts w:hint="eastAsia" w:ascii="仿宋" w:hAnsi="仿宋" w:eastAsia="仿宋" w:cs="仿宋"/>
          <w:b w:val="0"/>
          <w:bCs w:val="0"/>
          <w:sz w:val="32"/>
          <w:szCs w:val="32"/>
          <w:u w:val="none"/>
          <w:lang w:eastAsia="zh-CN"/>
        </w:rPr>
        <w:t>h，</w:t>
      </w:r>
      <w:r>
        <w:rPr>
          <w:rFonts w:hint="eastAsia" w:ascii="仿宋" w:hAnsi="仿宋" w:eastAsia="仿宋" w:cs="仿宋"/>
          <w:b w:val="0"/>
          <w:bCs w:val="0"/>
          <w:sz w:val="32"/>
          <w:szCs w:val="32"/>
          <w:u w:val="none"/>
          <w:lang w:val="en-US" w:eastAsia="zh-CN"/>
        </w:rPr>
        <w:t>容量系数为0.217</w:t>
      </w:r>
      <w:r>
        <w:rPr>
          <w:rFonts w:hint="eastAsia" w:ascii="仿宋_GB2312" w:hAnsi="宋体" w:eastAsia="仿宋_GB2312"/>
          <w:sz w:val="32"/>
          <w:szCs w:val="32"/>
          <w:lang w:eastAsia="zh-CN"/>
        </w:rPr>
        <w:t>。</w:t>
      </w:r>
      <w:r>
        <w:rPr>
          <w:rFonts w:hint="eastAsia" w:ascii="仿宋_GB2312" w:eastAsia="仿宋_GB2312"/>
          <w:sz w:val="32"/>
          <w:szCs w:val="32"/>
        </w:rPr>
        <w:t>项目</w:t>
      </w:r>
      <w:r>
        <w:rPr>
          <w:rFonts w:hint="eastAsia" w:ascii="仿宋_GB2312" w:eastAsia="仿宋_GB2312"/>
          <w:sz w:val="32"/>
          <w:szCs w:val="32"/>
          <w:lang w:val="en-US" w:eastAsia="zh-CN"/>
        </w:rPr>
        <w:t>拟</w:t>
      </w:r>
      <w:r>
        <w:rPr>
          <w:rFonts w:hint="eastAsia" w:ascii="仿宋_GB2312" w:eastAsia="仿宋_GB2312"/>
          <w:sz w:val="32"/>
          <w:szCs w:val="32"/>
        </w:rPr>
        <w:t>总投资</w:t>
      </w:r>
      <w:r>
        <w:rPr>
          <w:rFonts w:hint="eastAsia" w:ascii="仿宋" w:hAnsi="仿宋" w:eastAsia="仿宋" w:cs="仿宋"/>
          <w:b w:val="0"/>
          <w:bCs w:val="0"/>
          <w:sz w:val="32"/>
          <w:szCs w:val="32"/>
          <w:u w:val="none"/>
          <w:lang w:eastAsia="zh-CN"/>
        </w:rPr>
        <w:t>3</w:t>
      </w:r>
      <w:r>
        <w:rPr>
          <w:rFonts w:hint="eastAsia" w:ascii="仿宋" w:hAnsi="仿宋" w:eastAsia="仿宋" w:cs="仿宋"/>
          <w:b w:val="0"/>
          <w:bCs w:val="0"/>
          <w:sz w:val="32"/>
          <w:szCs w:val="32"/>
          <w:u w:val="none"/>
          <w:lang w:val="en-US" w:eastAsia="zh-CN"/>
        </w:rPr>
        <w:t>0495.7</w:t>
      </w:r>
      <w:r>
        <w:rPr>
          <w:rFonts w:hint="eastAsia" w:ascii="仿宋_GB2312" w:eastAsia="仿宋_GB2312"/>
          <w:sz w:val="32"/>
          <w:szCs w:val="32"/>
        </w:rPr>
        <w:t>万元，其中环保投资6</w:t>
      </w:r>
      <w:r>
        <w:rPr>
          <w:rFonts w:hint="eastAsia" w:ascii="仿宋_GB2312" w:eastAsia="仿宋_GB2312"/>
          <w:sz w:val="32"/>
          <w:szCs w:val="32"/>
          <w:lang w:val="en-US" w:eastAsia="zh-CN"/>
        </w:rPr>
        <w:t>09</w:t>
      </w:r>
      <w:r>
        <w:rPr>
          <w:rFonts w:hint="eastAsia" w:ascii="仿宋_GB2312" w:eastAsia="仿宋_GB2312"/>
          <w:sz w:val="32"/>
          <w:szCs w:val="32"/>
        </w:rPr>
        <w:t>万元，占比</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建设内容包括：</w:t>
      </w:r>
      <w:r>
        <w:rPr>
          <w:rFonts w:hint="eastAsia" w:ascii="仿宋" w:hAnsi="仿宋" w:eastAsia="仿宋" w:cs="仿宋"/>
          <w:b w:val="0"/>
          <w:bCs w:val="0"/>
          <w:sz w:val="32"/>
          <w:szCs w:val="32"/>
          <w:u w:val="none"/>
          <w:lang w:eastAsia="zh-CN"/>
        </w:rPr>
        <w:t>道路工程总长15.80km，改建道路3km；集电线路总长</w:t>
      </w:r>
      <w:r>
        <w:rPr>
          <w:rFonts w:hint="eastAsia" w:ascii="仿宋" w:hAnsi="仿宋" w:eastAsia="仿宋" w:cs="仿宋"/>
          <w:b w:val="0"/>
          <w:bCs w:val="0"/>
          <w:sz w:val="32"/>
          <w:szCs w:val="32"/>
          <w:u w:val="none"/>
          <w:lang w:val="en-US" w:eastAsia="zh-CN"/>
        </w:rPr>
        <w:t>15.6</w:t>
      </w:r>
      <w:r>
        <w:rPr>
          <w:rFonts w:hint="eastAsia" w:ascii="仿宋" w:hAnsi="仿宋" w:eastAsia="仿宋" w:cs="仿宋"/>
          <w:b w:val="0"/>
          <w:bCs w:val="0"/>
          <w:sz w:val="32"/>
          <w:szCs w:val="32"/>
          <w:u w:val="none"/>
          <w:lang w:eastAsia="zh-CN"/>
        </w:rPr>
        <w:t>km，全部为直埋电缆；新建1座110kV 升压站</w:t>
      </w:r>
      <w:r>
        <w:rPr>
          <w:rFonts w:hint="eastAsia" w:ascii="仿宋" w:hAnsi="仿宋" w:eastAsia="仿宋" w:cs="仿宋"/>
          <w:b w:val="0"/>
          <w:bCs w:val="0"/>
          <w:sz w:val="32"/>
          <w:szCs w:val="32"/>
          <w:u w:val="none"/>
          <w:lang w:val="en-US" w:eastAsia="zh-CN"/>
        </w:rPr>
        <w:t>及其他配套环保工程</w:t>
      </w:r>
      <w:r>
        <w:rPr>
          <w:rFonts w:hint="eastAsia" w:ascii="仿宋_GB2312" w:eastAsia="仿宋_GB2312"/>
          <w:sz w:val="32"/>
          <w:szCs w:val="32"/>
        </w:rPr>
        <w:t>等</w:t>
      </w:r>
      <w:r>
        <w:rPr>
          <w:rFonts w:hint="eastAsia" w:ascii="仿宋_GB2312" w:eastAsia="仿宋_GB2312"/>
          <w:sz w:val="32"/>
          <w:szCs w:val="32"/>
          <w:lang w:eastAsia="zh-CN"/>
        </w:rPr>
        <w:t>。</w:t>
      </w:r>
      <w:r>
        <w:rPr>
          <w:rFonts w:hint="eastAsia" w:ascii="仿宋_GB2312" w:eastAsia="仿宋_GB2312"/>
          <w:sz w:val="32"/>
          <w:szCs w:val="32"/>
          <w:lang w:val="en-US" w:eastAsia="zh-CN"/>
        </w:rPr>
        <w:t>具体内容见</w:t>
      </w:r>
      <w:r>
        <w:rPr>
          <w:rFonts w:hint="eastAsia" w:ascii="仿宋_GB2312" w:hAnsi="宋体" w:eastAsia="仿宋_GB2312"/>
          <w:sz w:val="32"/>
          <w:szCs w:val="32"/>
          <w:lang w:val="en-US" w:eastAsia="zh-CN"/>
        </w:rPr>
        <w:t>《报告表》</w:t>
      </w:r>
      <w:r>
        <w:rPr>
          <w:rFonts w:hint="eastAsia" w:ascii="仿宋_GB2312" w:eastAsia="仿宋_GB2312"/>
          <w:sz w:val="32"/>
          <w:szCs w:val="32"/>
          <w:lang w:val="en-US" w:eastAsia="zh-CN"/>
        </w:rPr>
        <w:t>表2.2-1 风电场项目组成一览表。</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该项目符合国家产业政策，符合《“十四五”可再生能源发展规划》、《湖南省风电场项目建设管理办法》、《关于进一步规范风电发展的通知》（湘发改能源〔2016〕822号）、《关于规范风电场项目建设使用林地的通知》（林资发[2019]17号）、《关于进一步加强风电建设项目使用林地管理的通知》（湘林政〔2018〕5号）、《湖南省主体功能区规划》、《湖南省“十四五”生态环境保护规划》、《湖南省长江经济带发展负面清单实施细则（试行，2022年版）》的通知》等有关要求。该项目已列入湖南省发展和改革委员会《关于同意全省“十四五”第一批风电、集中式光伏发电项目开发建设的复函》项目名单。根据</w:t>
      </w:r>
      <w:r>
        <w:rPr>
          <w:rFonts w:hint="eastAsia" w:ascii="仿宋_GB2312" w:hAnsi="宋体" w:eastAsia="仿宋_GB2312"/>
          <w:sz w:val="32"/>
          <w:szCs w:val="32"/>
          <w:lang w:val="en-US" w:eastAsia="zh-CN"/>
        </w:rPr>
        <w:t>核工业二三0研究所</w:t>
      </w:r>
      <w:r>
        <w:rPr>
          <w:rFonts w:hint="eastAsia" w:ascii="仿宋_GB2312" w:hAnsi="宋体" w:eastAsia="仿宋_GB2312"/>
          <w:sz w:val="32"/>
          <w:szCs w:val="32"/>
        </w:rPr>
        <w:t>编制的环境影响报告表分析结论、各相关部门意见以及专家评审意见，在建设单位认真落实报告表和本批复提出的各项生态环境保护措施后，工程建设对环境的不利影响能够得到缓解和控制，从生态环境保护的角度，项目是可行的。我局原则同意该项目按报告表中确定的地点、规模和内容建设。</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二、工程设计、建设、运营期间，必须严格落实环境影响报告表中提出的污染防治和生态保护措施，并着重做好以下工作：</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1、优化项目设计。在主体工程和配套设施的设计上要充分考虑与当地景观的协调性，保护周围的植被、水体、地貌、景观。细化本项目环境保护实施计划，制定环境风险应急预案，本项目环保投资必须纳入工程投资概算。</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2、加强施工期生态环境保护。</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施工方案应绕避植被茂密地区，对道路区、施工区可移栽的树木尽量移栽，发现保护植物必须采取绕避、移植等保护措施。严格控制道路路基和路面宽度，降低道路开挖裁切面积，最大限度减少对地表的扰动，最大程度降低道路施工对生态环境的破坏，施工道路两侧要科学设置排水沟。进一步优化弃渣场设置方案，做好施工表土剥离与保存，设置临时表土堆放处，表土用于恢复植被复土。工程弃渣应堆放在规划的弃渣场，渣土回用时应先划线砌护坡或挡墙，禁止渣土无序就地向周边倾倒。弃渣场在渣土堆置结束后，应采取排水、稳固、恢复植被等措施。按水行政主管部门批复的水土保持方案，采取有效措施防止水土流失。加强施工管理，严格控制施工场界，不得越界施工破坏周边生态环境，严禁捕杀野生动物。施工配套建设污水处理系统，施工废水及生活污水处理达标后回用，不得外排；施工区域、进场道路、弃渣场应及时洒水降尘，减少扬尘的产生；合理安排施工时间，防止噪声扰民；开展施工期生态环境监测和环境监理。</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3、落实运营期环保措施。</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生活污水经</w:t>
      </w:r>
      <w:r>
        <w:rPr>
          <w:rFonts w:hint="eastAsia" w:ascii="仿宋_GB2312" w:hAnsi="宋体" w:eastAsia="仿宋_GB2312"/>
          <w:sz w:val="32"/>
          <w:szCs w:val="32"/>
          <w:lang w:eastAsia="zh-CN"/>
        </w:rPr>
        <w:t>通道县杉木桥风电场</w:t>
      </w:r>
      <w:r>
        <w:rPr>
          <w:rFonts w:hint="eastAsia" w:ascii="仿宋_GB2312" w:hAnsi="宋体" w:eastAsia="仿宋_GB2312"/>
          <w:sz w:val="32"/>
          <w:szCs w:val="32"/>
        </w:rPr>
        <w:t>新建110kV升压变电站内污水处理系统处理达标后施肥于站区植被，不得外排；生活垃圾及时清运并妥善处置；做好风电机组的检查维护，设置事故油池预防漏油风险，产生的废机油、废变压器油、废含油手套和抹布等危险废物暂存</w:t>
      </w:r>
      <w:r>
        <w:rPr>
          <w:rFonts w:hint="eastAsia" w:ascii="仿宋_GB2312" w:hAnsi="宋体" w:eastAsia="仿宋_GB2312"/>
          <w:sz w:val="32"/>
          <w:szCs w:val="32"/>
          <w:lang w:eastAsia="zh-CN"/>
        </w:rPr>
        <w:t>通道县杉木桥风电场</w:t>
      </w:r>
      <w:r>
        <w:rPr>
          <w:rFonts w:hint="eastAsia" w:ascii="仿宋_GB2312" w:hAnsi="宋体" w:eastAsia="仿宋_GB2312"/>
          <w:sz w:val="32"/>
          <w:szCs w:val="32"/>
        </w:rPr>
        <w:t>新建110kV升压变电站内危废暂存间，定期交由具有处理资质的单位安全处置；减少风电场运行的噪声影响，做到噪声不扰民。升压站厂界噪声执行《工业企业厂界环境噪声排放标准》( GB12348-2008)中2类标准。站界工频电场强度、工频磁感应强度执行《电磁环境控制限值》(GB8702-2014)中相应限值。</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配合做好周边控规工作。你公司应配合当地政府及有关主管部门做好相关规划用地，</w:t>
      </w:r>
      <w:r>
        <w:rPr>
          <w:rFonts w:hint="eastAsia" w:ascii="仿宋_GB2312" w:hAnsi="宋体" w:eastAsia="仿宋_GB2312"/>
          <w:sz w:val="32"/>
          <w:szCs w:val="32"/>
          <w:lang w:val="en-US" w:eastAsia="zh-CN"/>
        </w:rPr>
        <w:t>对于本项目风电机组中心点为起点</w:t>
      </w:r>
      <w:r>
        <w:rPr>
          <w:rFonts w:hint="eastAsia" w:ascii="仿宋_GB2312" w:hAnsi="宋体" w:eastAsia="仿宋_GB2312"/>
          <w:sz w:val="32"/>
          <w:szCs w:val="32"/>
        </w:rPr>
        <w:t>3</w:t>
      </w:r>
      <w:r>
        <w:rPr>
          <w:rFonts w:hint="eastAsia" w:ascii="仿宋_GB2312" w:hAnsi="宋体" w:eastAsia="仿宋_GB2312"/>
          <w:sz w:val="32"/>
          <w:szCs w:val="32"/>
          <w:lang w:val="en-US" w:eastAsia="zh-CN"/>
        </w:rPr>
        <w:t>50</w:t>
      </w:r>
      <w:r>
        <w:rPr>
          <w:rFonts w:hint="eastAsia" w:ascii="仿宋_GB2312" w:hAnsi="宋体" w:eastAsia="仿宋_GB2312"/>
          <w:sz w:val="32"/>
          <w:szCs w:val="32"/>
        </w:rPr>
        <w:t>米范围内禁止新建居民点、幼儿园、学校、医院等噪声敏感建筑物。</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5、加强环境管理。项目施工、运营过程中，若对周边环境保护目标的环境影响超出报告表预测结果，应及时采取停止施工、停止运行相应风机等措施。</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6、严格落实报告表中提出的相关鸟类保护措施。加强鸟类保护宣传，切实履行保护职责，加强鸟类保护，不得捕杀。</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 xml:space="preserve">三、兑现施工期环境监理计划，做好施工期环境监理工作。项目建设必须严格执行环境保护“三同时”制度。项目建成后，应依法开展项目竣工环境保护验收。 </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四、项目环境保护执行情况监管和日常环境管理工作由</w:t>
      </w:r>
      <w:r>
        <w:rPr>
          <w:rFonts w:hint="eastAsia" w:ascii="仿宋_GB2312" w:hAnsi="宋体" w:eastAsia="仿宋_GB2312"/>
          <w:sz w:val="32"/>
          <w:szCs w:val="32"/>
          <w:lang w:val="en-US" w:eastAsia="zh-CN"/>
        </w:rPr>
        <w:t>怀化</w:t>
      </w:r>
      <w:r>
        <w:rPr>
          <w:rFonts w:hint="eastAsia" w:ascii="仿宋_GB2312" w:hAnsi="宋体" w:eastAsia="仿宋_GB2312"/>
          <w:sz w:val="32"/>
          <w:szCs w:val="32"/>
        </w:rPr>
        <w:t>市生态环境局</w:t>
      </w:r>
      <w:r>
        <w:rPr>
          <w:rFonts w:hint="eastAsia" w:ascii="仿宋_GB2312" w:hAnsi="宋体" w:eastAsia="仿宋_GB2312"/>
          <w:sz w:val="32"/>
          <w:szCs w:val="32"/>
          <w:lang w:val="en-US" w:eastAsia="zh-CN"/>
        </w:rPr>
        <w:t>通道</w:t>
      </w:r>
      <w:r>
        <w:rPr>
          <w:rFonts w:hint="eastAsia" w:ascii="仿宋_GB2312" w:hAnsi="宋体" w:eastAsia="仿宋_GB2312"/>
          <w:sz w:val="32"/>
          <w:szCs w:val="32"/>
        </w:rPr>
        <w:t>分局负责，并按规定接受各级生态环境行政主管部门的监督检查。</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五、环境影响报告表经批准后，若项目的性质、规模、地点或者防治污染、防止生态破坏的措施等发生重大变动的，须重新报批该环境影响报告表。自环境影响报告表批复文件批准之日起，超过5年方开工建设的，环境影响报告表应当重新审核。</w:t>
      </w:r>
    </w:p>
    <w:p>
      <w:pPr>
        <w:ind w:firstLine="3360" w:firstLineChars="1050"/>
        <w:jc w:val="right"/>
        <w:rPr>
          <w:rFonts w:ascii="仿宋_GB2312" w:hAnsi="宋体" w:eastAsia="仿宋_GB2312"/>
          <w:sz w:val="32"/>
          <w:szCs w:val="32"/>
        </w:rPr>
      </w:pPr>
    </w:p>
    <w:p>
      <w:pPr>
        <w:ind w:firstLine="3360" w:firstLineChars="1050"/>
        <w:jc w:val="right"/>
        <w:rPr>
          <w:rFonts w:ascii="仿宋_GB2312" w:hAnsi="宋体" w:eastAsia="仿宋_GB2312"/>
          <w:sz w:val="32"/>
          <w:szCs w:val="32"/>
        </w:rPr>
      </w:pPr>
    </w:p>
    <w:p>
      <w:pPr>
        <w:ind w:firstLine="4000" w:firstLineChars="1250"/>
        <w:jc w:val="both"/>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怀化市生态环境局</w:t>
      </w:r>
    </w:p>
    <w:p>
      <w:pPr>
        <w:ind w:right="420" w:firstLine="4160" w:firstLineChars="1300"/>
        <w:jc w:val="both"/>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3</w:t>
      </w:r>
      <w:r>
        <w:rPr>
          <w:rFonts w:hint="eastAsia" w:ascii="仿宋_GB2312" w:hAnsi="宋体" w:eastAsia="仿宋_GB2312"/>
          <w:sz w:val="32"/>
          <w:szCs w:val="32"/>
        </w:rPr>
        <w:t>月</w:t>
      </w:r>
      <w:r>
        <w:rPr>
          <w:rFonts w:hint="eastAsia" w:ascii="仿宋_GB2312" w:hAnsi="宋体" w:eastAsia="仿宋_GB2312"/>
          <w:sz w:val="32"/>
          <w:szCs w:val="32"/>
          <w:lang w:val="en-US" w:eastAsia="zh-CN"/>
        </w:rPr>
        <w:t>17</w:t>
      </w:r>
      <w:bookmarkStart w:id="0" w:name="_GoBack"/>
      <w:bookmarkEnd w:id="0"/>
      <w:r>
        <w:rPr>
          <w:rFonts w:hint="eastAsia" w:ascii="仿宋_GB2312" w:hAnsi="宋体" w:eastAsia="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18030">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10AF2"/>
    <w:rsid w:val="0000636E"/>
    <w:rsid w:val="000173A6"/>
    <w:rsid w:val="0004007E"/>
    <w:rsid w:val="00040DD6"/>
    <w:rsid w:val="00057AFF"/>
    <w:rsid w:val="00063BB8"/>
    <w:rsid w:val="0008013D"/>
    <w:rsid w:val="000B37CA"/>
    <w:rsid w:val="000D43C4"/>
    <w:rsid w:val="001176E9"/>
    <w:rsid w:val="00117DFB"/>
    <w:rsid w:val="00154612"/>
    <w:rsid w:val="00195A6F"/>
    <w:rsid w:val="00196419"/>
    <w:rsid w:val="001B1052"/>
    <w:rsid w:val="001C6CCE"/>
    <w:rsid w:val="001D7205"/>
    <w:rsid w:val="001F244C"/>
    <w:rsid w:val="00200678"/>
    <w:rsid w:val="00265B6F"/>
    <w:rsid w:val="00273218"/>
    <w:rsid w:val="00274A17"/>
    <w:rsid w:val="00283BB9"/>
    <w:rsid w:val="002970AB"/>
    <w:rsid w:val="002A2D9E"/>
    <w:rsid w:val="002C6B41"/>
    <w:rsid w:val="00302252"/>
    <w:rsid w:val="00313D6D"/>
    <w:rsid w:val="00332AC0"/>
    <w:rsid w:val="003370A3"/>
    <w:rsid w:val="0034480B"/>
    <w:rsid w:val="00386F1F"/>
    <w:rsid w:val="00392B5A"/>
    <w:rsid w:val="00410E6C"/>
    <w:rsid w:val="00413B3E"/>
    <w:rsid w:val="00417DCC"/>
    <w:rsid w:val="00450562"/>
    <w:rsid w:val="004714AC"/>
    <w:rsid w:val="004B5C0B"/>
    <w:rsid w:val="004E7F57"/>
    <w:rsid w:val="004F4F7E"/>
    <w:rsid w:val="00513B8C"/>
    <w:rsid w:val="00523EAC"/>
    <w:rsid w:val="005506C7"/>
    <w:rsid w:val="0055771C"/>
    <w:rsid w:val="00577602"/>
    <w:rsid w:val="00584F7F"/>
    <w:rsid w:val="00587B49"/>
    <w:rsid w:val="0059022F"/>
    <w:rsid w:val="0059277A"/>
    <w:rsid w:val="005D21DE"/>
    <w:rsid w:val="005D734B"/>
    <w:rsid w:val="005F2088"/>
    <w:rsid w:val="0060183E"/>
    <w:rsid w:val="0060449C"/>
    <w:rsid w:val="00627945"/>
    <w:rsid w:val="00677C69"/>
    <w:rsid w:val="006C5F04"/>
    <w:rsid w:val="006E243E"/>
    <w:rsid w:val="006F180F"/>
    <w:rsid w:val="00700A15"/>
    <w:rsid w:val="0070178A"/>
    <w:rsid w:val="00706369"/>
    <w:rsid w:val="0071341B"/>
    <w:rsid w:val="007139B8"/>
    <w:rsid w:val="00777761"/>
    <w:rsid w:val="007B2B77"/>
    <w:rsid w:val="007D2E1D"/>
    <w:rsid w:val="00801989"/>
    <w:rsid w:val="00814D50"/>
    <w:rsid w:val="008156E4"/>
    <w:rsid w:val="00827882"/>
    <w:rsid w:val="00881578"/>
    <w:rsid w:val="008941A1"/>
    <w:rsid w:val="008B7EF2"/>
    <w:rsid w:val="008C1E63"/>
    <w:rsid w:val="008C4EE0"/>
    <w:rsid w:val="008C618E"/>
    <w:rsid w:val="008C6606"/>
    <w:rsid w:val="00904E8B"/>
    <w:rsid w:val="0096097E"/>
    <w:rsid w:val="0097553A"/>
    <w:rsid w:val="00990EBC"/>
    <w:rsid w:val="009D5CF4"/>
    <w:rsid w:val="00A547AB"/>
    <w:rsid w:val="00A6353F"/>
    <w:rsid w:val="00A7522F"/>
    <w:rsid w:val="00A903C0"/>
    <w:rsid w:val="00A91E83"/>
    <w:rsid w:val="00A93397"/>
    <w:rsid w:val="00AB31CA"/>
    <w:rsid w:val="00AB35F4"/>
    <w:rsid w:val="00AC5CE9"/>
    <w:rsid w:val="00AD662F"/>
    <w:rsid w:val="00B10AF2"/>
    <w:rsid w:val="00B63629"/>
    <w:rsid w:val="00B80C7C"/>
    <w:rsid w:val="00BA2339"/>
    <w:rsid w:val="00BA6A23"/>
    <w:rsid w:val="00BA7FAD"/>
    <w:rsid w:val="00BF1A99"/>
    <w:rsid w:val="00C40EDA"/>
    <w:rsid w:val="00C5747A"/>
    <w:rsid w:val="00C66563"/>
    <w:rsid w:val="00C95594"/>
    <w:rsid w:val="00CD1113"/>
    <w:rsid w:val="00CD2EA0"/>
    <w:rsid w:val="00CF0E2C"/>
    <w:rsid w:val="00CF2873"/>
    <w:rsid w:val="00D35237"/>
    <w:rsid w:val="00D610BA"/>
    <w:rsid w:val="00D72C48"/>
    <w:rsid w:val="00DE3A3C"/>
    <w:rsid w:val="00DE6E53"/>
    <w:rsid w:val="00E43B5E"/>
    <w:rsid w:val="00E85695"/>
    <w:rsid w:val="00EC46EB"/>
    <w:rsid w:val="00F4753F"/>
    <w:rsid w:val="00F762F3"/>
    <w:rsid w:val="00F835E1"/>
    <w:rsid w:val="00F86300"/>
    <w:rsid w:val="00F9152D"/>
    <w:rsid w:val="00FA75F0"/>
    <w:rsid w:val="00FB61B8"/>
    <w:rsid w:val="119F39B0"/>
    <w:rsid w:val="12817514"/>
    <w:rsid w:val="16921615"/>
    <w:rsid w:val="192B2781"/>
    <w:rsid w:val="30D67B72"/>
    <w:rsid w:val="482671CA"/>
    <w:rsid w:val="52AC3498"/>
    <w:rsid w:val="578C5F68"/>
    <w:rsid w:val="5F736963"/>
    <w:rsid w:val="61BB3B49"/>
    <w:rsid w:val="682759C4"/>
    <w:rsid w:val="69B36DDB"/>
    <w:rsid w:val="7E25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7"/>
    <w:qFormat/>
    <w:uiPriority w:val="0"/>
    <w:pPr>
      <w:ind w:firstLine="200" w:firstLineChars="200"/>
    </w:pPr>
    <w:rPr>
      <w:rFonts w:eastAsia="仿宋_GB2312"/>
      <w:sz w:val="28"/>
    </w:rPr>
  </w:style>
  <w:style w:type="paragraph" w:styleId="3">
    <w:name w:val="Body Text Indent"/>
    <w:basedOn w:val="1"/>
    <w:next w:val="4"/>
    <w:semiHidden/>
    <w:qFormat/>
    <w:uiPriority w:val="0"/>
    <w:pPr>
      <w:spacing w:after="120"/>
      <w:ind w:left="420" w:leftChars="200"/>
    </w:pPr>
  </w:style>
  <w:style w:type="paragraph" w:styleId="4">
    <w:name w:val="Body Text"/>
    <w:basedOn w:val="1"/>
    <w:next w:val="5"/>
    <w:qFormat/>
    <w:uiPriority w:val="0"/>
    <w:pPr>
      <w:spacing w:after="120"/>
    </w:pPr>
  </w:style>
  <w:style w:type="paragraph" w:customStyle="1" w:styleId="5">
    <w:name w:val="xl27"/>
    <w:basedOn w:val="1"/>
    <w:next w:val="6"/>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customStyle="1" w:styleId="6">
    <w:name w:val="正本"/>
    <w:basedOn w:val="1"/>
    <w:qFormat/>
    <w:uiPriority w:val="0"/>
    <w:pPr>
      <w:adjustRightInd w:val="0"/>
      <w:snapToGrid w:val="0"/>
      <w:spacing w:line="360" w:lineRule="auto"/>
      <w:ind w:firstLine="200" w:firstLineChars="200"/>
    </w:pPr>
    <w:rPr>
      <w:rFonts w:ascii="宋体" w:eastAsia="宋体"/>
      <w:kern w:val="2"/>
      <w:sz w:val="24"/>
      <w:szCs w:val="24"/>
      <w:lang w:val="en-US" w:eastAsia="zh-CN" w:bidi="ar-SA"/>
    </w:rPr>
  </w:style>
  <w:style w:type="paragraph" w:styleId="7">
    <w:name w:val="Body Text First Indent"/>
    <w:basedOn w:val="4"/>
    <w:next w:val="2"/>
    <w:qFormat/>
    <w:uiPriority w:val="0"/>
    <w:pPr>
      <w:spacing w:after="0" w:line="440" w:lineRule="exact"/>
      <w:ind w:firstLine="560" w:firstLineChars="200"/>
    </w:pPr>
    <w:rPr>
      <w:rFonts w:ascii="Times New Roman"/>
      <w:sz w:val="24"/>
    </w:rPr>
  </w:style>
  <w:style w:type="paragraph" w:styleId="8">
    <w:name w:val="Balloon Text"/>
    <w:basedOn w:val="1"/>
    <w:link w:val="14"/>
    <w:semiHidden/>
    <w:unhideWhenUsed/>
    <w:qFormat/>
    <w:uiPriority w:val="99"/>
    <w:rPr>
      <w:sz w:val="18"/>
      <w:szCs w:val="18"/>
    </w:r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10"/>
    <w:pPr>
      <w:spacing w:before="240" w:after="60"/>
      <w:jc w:val="center"/>
      <w:outlineLvl w:val="0"/>
    </w:pPr>
    <w:rPr>
      <w:b/>
      <w:bCs/>
      <w:sz w:val="21"/>
      <w:szCs w:val="32"/>
    </w:rPr>
  </w:style>
  <w:style w:type="character" w:customStyle="1" w:styleId="14">
    <w:name w:val="批注框文本 Char"/>
    <w:basedOn w:val="13"/>
    <w:link w:val="8"/>
    <w:semiHidden/>
    <w:qFormat/>
    <w:uiPriority w:val="99"/>
    <w:rPr>
      <w:rFonts w:ascii="Times New Roman" w:hAnsi="Times New Roman" w:eastAsia="宋体" w:cs="Times New Roman"/>
      <w:sz w:val="18"/>
      <w:szCs w:val="18"/>
    </w:rPr>
  </w:style>
  <w:style w:type="character" w:customStyle="1" w:styleId="15">
    <w:name w:val="页眉 Char"/>
    <w:basedOn w:val="13"/>
    <w:link w:val="10"/>
    <w:semiHidden/>
    <w:qFormat/>
    <w:uiPriority w:val="99"/>
    <w:rPr>
      <w:rFonts w:ascii="Times New Roman" w:hAnsi="Times New Roman" w:eastAsia="宋体" w:cs="Times New Roman"/>
      <w:sz w:val="18"/>
      <w:szCs w:val="18"/>
    </w:rPr>
  </w:style>
  <w:style w:type="character" w:customStyle="1" w:styleId="16">
    <w:name w:val="页脚 Char"/>
    <w:basedOn w:val="13"/>
    <w:link w:val="9"/>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204</Words>
  <Characters>1165</Characters>
  <Lines>9</Lines>
  <Paragraphs>2</Paragraphs>
  <TotalTime>11</TotalTime>
  <ScaleCrop>false</ScaleCrop>
  <LinksUpToDate>false</LinksUpToDate>
  <CharactersWithSpaces>1367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2015-02-02T01:26:00Z</dcterms:created>
  <dc:creator>lenovo</dc:creator>
  <cp:lastModifiedBy>lenovo</cp:lastModifiedBy>
  <cp:lastPrinted>2025-03-11T03:12:00Z</cp:lastPrinted>
  <dcterms:modified xsi:type="dcterms:W3CDTF">2025-03-17T00:57:09Z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