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CF8A22">
      <w:pPr>
        <w:ind w:firstLine="4480" w:firstLineChars="1400"/>
        <w:rPr>
          <w:rFonts w:ascii="仿宋_GB2312" w:eastAsia="仿宋_GB2312"/>
          <w:b/>
          <w:sz w:val="44"/>
          <w:szCs w:val="44"/>
        </w:rPr>
      </w:pPr>
      <w:r>
        <w:rPr>
          <w:rFonts w:hint="eastAsia" w:ascii="仿宋_GB2312" w:eastAsia="仿宋_GB2312"/>
          <w:sz w:val="32"/>
          <w:szCs w:val="32"/>
          <w:lang w:val="en-US" w:eastAsia="zh-CN"/>
        </w:rPr>
        <w:t>怀</w:t>
      </w:r>
      <w:r>
        <w:rPr>
          <w:rFonts w:hint="eastAsia" w:ascii="仿宋_GB2312" w:eastAsia="仿宋_GB2312"/>
          <w:sz w:val="32"/>
          <w:szCs w:val="32"/>
        </w:rPr>
        <w:t>通环评</w:t>
      </w:r>
      <w:r>
        <w:rPr>
          <w:rFonts w:hint="eastAsia" w:ascii="仿宋_GB2312" w:eastAsia="仿宋_GB2312"/>
          <w:sz w:val="32"/>
          <w:szCs w:val="32"/>
          <w:lang w:val="en-US" w:eastAsia="zh-CN"/>
        </w:rPr>
        <w:t>〔</w:t>
      </w:r>
      <w:r>
        <w:rPr>
          <w:rFonts w:hint="eastAsia" w:ascii="仿宋_GB2312" w:eastAsia="仿宋_GB2312"/>
          <w:sz w:val="32"/>
          <w:szCs w:val="32"/>
        </w:rPr>
        <w:t>20</w:t>
      </w:r>
      <w:r>
        <w:rPr>
          <w:rFonts w:hint="eastAsia" w:ascii="仿宋_GB2312" w:eastAsia="仿宋_GB2312"/>
          <w:sz w:val="32"/>
          <w:szCs w:val="32"/>
          <w:lang w:val="en-US" w:eastAsia="zh-CN"/>
        </w:rPr>
        <w:t>26〕1</w:t>
      </w:r>
      <w:r>
        <w:rPr>
          <w:rFonts w:hint="eastAsia" w:ascii="仿宋_GB2312" w:eastAsia="仿宋_GB2312"/>
          <w:sz w:val="32"/>
          <w:szCs w:val="32"/>
        </w:rPr>
        <w:t>号</w:t>
      </w:r>
    </w:p>
    <w:p w14:paraId="55EBA2C5">
      <w:pPr>
        <w:jc w:val="center"/>
        <w:rPr>
          <w:rFonts w:ascii="仿宋_GB2312" w:eastAsia="仿宋_GB2312"/>
          <w:b/>
          <w:sz w:val="44"/>
          <w:szCs w:val="44"/>
        </w:rPr>
      </w:pPr>
      <w:r>
        <w:rPr>
          <w:rFonts w:hint="eastAsia" w:ascii="仿宋_GB2312" w:eastAsia="仿宋_GB2312"/>
          <w:b/>
          <w:sz w:val="44"/>
          <w:szCs w:val="44"/>
        </w:rPr>
        <w:t>关于</w:t>
      </w:r>
      <w:r>
        <w:rPr>
          <w:rFonts w:hint="eastAsia" w:ascii="仿宋_GB2312" w:eastAsia="仿宋_GB2312"/>
          <w:b/>
          <w:sz w:val="44"/>
          <w:szCs w:val="44"/>
          <w:lang w:val="en-US" w:eastAsia="zh-CN"/>
        </w:rPr>
        <w:t>湖南聚邦新能源有限公司新能源锂电池</w:t>
      </w:r>
      <w:r>
        <w:rPr>
          <w:rFonts w:hint="eastAsia" w:ascii="仿宋_GB2312" w:eastAsia="仿宋_GB2312"/>
          <w:b/>
          <w:sz w:val="44"/>
          <w:szCs w:val="44"/>
        </w:rPr>
        <w:t>项目环境影响报告表的批复</w:t>
      </w:r>
    </w:p>
    <w:p w14:paraId="27A97C68">
      <w:pPr>
        <w:rPr>
          <w:rFonts w:hint="eastAsia" w:ascii="仿宋_GB2312" w:eastAsia="仿宋_GB2312"/>
          <w:sz w:val="32"/>
          <w:szCs w:val="32"/>
          <w:lang w:val="en-US" w:eastAsia="zh-CN"/>
        </w:rPr>
      </w:pPr>
    </w:p>
    <w:p w14:paraId="7A14830E">
      <w:pPr>
        <w:rPr>
          <w:rFonts w:ascii="仿宋_GB2312" w:eastAsia="仿宋_GB2312"/>
          <w:sz w:val="32"/>
          <w:szCs w:val="32"/>
        </w:rPr>
      </w:pPr>
      <w:r>
        <w:rPr>
          <w:rFonts w:hint="eastAsia" w:ascii="仿宋_GB2312" w:eastAsia="仿宋_GB2312"/>
          <w:sz w:val="32"/>
          <w:szCs w:val="32"/>
          <w:lang w:val="en-US" w:eastAsia="zh-CN"/>
        </w:rPr>
        <w:t>湖南聚邦新能源有限公司</w:t>
      </w:r>
      <w:r>
        <w:rPr>
          <w:rFonts w:hint="eastAsia" w:ascii="仿宋_GB2312" w:eastAsia="仿宋_GB2312"/>
          <w:sz w:val="32"/>
          <w:szCs w:val="32"/>
        </w:rPr>
        <w:t>：</w:t>
      </w:r>
      <w:bookmarkStart w:id="0" w:name="_GoBack"/>
      <w:bookmarkEnd w:id="0"/>
    </w:p>
    <w:p w14:paraId="6B045AAA">
      <w:pPr>
        <w:ind w:firstLine="640" w:firstLineChars="200"/>
        <w:rPr>
          <w:rFonts w:ascii="仿宋_GB2312" w:eastAsia="仿宋_GB2312"/>
          <w:sz w:val="32"/>
          <w:szCs w:val="32"/>
        </w:rPr>
      </w:pPr>
      <w:r>
        <w:rPr>
          <w:rFonts w:hint="eastAsia" w:ascii="仿宋_GB2312" w:eastAsia="仿宋_GB2312"/>
          <w:sz w:val="32"/>
          <w:szCs w:val="32"/>
        </w:rPr>
        <w:t>你单位报批的《</w:t>
      </w:r>
      <w:r>
        <w:rPr>
          <w:rFonts w:hint="eastAsia" w:ascii="仿宋_GB2312" w:eastAsia="仿宋_GB2312"/>
          <w:sz w:val="32"/>
          <w:szCs w:val="32"/>
          <w:lang w:val="en-US" w:eastAsia="zh-CN"/>
        </w:rPr>
        <w:t>湖南聚邦新能源有限公司新能源锂电池项目</w:t>
      </w:r>
      <w:r>
        <w:rPr>
          <w:rFonts w:hint="eastAsia" w:ascii="仿宋_GB2312" w:eastAsia="仿宋_GB2312"/>
          <w:sz w:val="32"/>
          <w:szCs w:val="32"/>
        </w:rPr>
        <w:t>环境影响报告表》（以下简称《报告表》）及相关材料已收悉，经研究，</w:t>
      </w:r>
      <w:r>
        <w:rPr>
          <w:rFonts w:hint="eastAsia" w:ascii="仿宋_GB2312" w:eastAsia="仿宋_GB2312"/>
          <w:sz w:val="32"/>
          <w:szCs w:val="32"/>
          <w:lang w:val="en-US" w:eastAsia="zh-CN"/>
        </w:rPr>
        <w:t>现</w:t>
      </w:r>
      <w:r>
        <w:rPr>
          <w:rFonts w:hint="eastAsia" w:ascii="仿宋_GB2312" w:eastAsia="仿宋_GB2312"/>
          <w:sz w:val="32"/>
          <w:szCs w:val="32"/>
        </w:rPr>
        <w:t>批复如下：</w:t>
      </w:r>
    </w:p>
    <w:p w14:paraId="1F4A7ABD">
      <w:pPr>
        <w:ind w:firstLine="640" w:firstLineChars="200"/>
        <w:rPr>
          <w:rFonts w:hint="eastAsia" w:ascii="仿宋_GB2312" w:eastAsia="仿宋_GB2312"/>
          <w:sz w:val="32"/>
          <w:szCs w:val="32"/>
        </w:rPr>
      </w:pPr>
      <w:r>
        <w:rPr>
          <w:rFonts w:hint="eastAsia" w:ascii="仿宋_GB2312" w:eastAsia="仿宋_GB2312"/>
          <w:sz w:val="32"/>
          <w:szCs w:val="32"/>
        </w:rPr>
        <w:t>一、</w:t>
      </w:r>
      <w:r>
        <w:rPr>
          <w:rFonts w:hint="eastAsia" w:ascii="仿宋_GB2312" w:hAnsi="宋体" w:eastAsia="仿宋_GB2312"/>
          <w:sz w:val="32"/>
          <w:szCs w:val="32"/>
        </w:rPr>
        <w:t>根据《报告表》评价结论，同意你单位在通道侗族自治县双江镇黄柏村工业园经济大楼四楼504-2</w:t>
      </w:r>
      <w:r>
        <w:rPr>
          <w:rFonts w:hint="eastAsia" w:ascii="仿宋_GB2312" w:hAnsi="宋体" w:eastAsia="仿宋_GB2312"/>
          <w:sz w:val="32"/>
          <w:szCs w:val="32"/>
          <w:lang w:val="en-US" w:eastAsia="zh-CN"/>
        </w:rPr>
        <w:t>厂房</w:t>
      </w:r>
      <w:r>
        <w:rPr>
          <w:rFonts w:hint="eastAsia" w:ascii="仿宋_GB2312" w:eastAsia="仿宋_GB2312"/>
          <w:sz w:val="32"/>
          <w:szCs w:val="32"/>
          <w:lang w:val="en-US" w:eastAsia="zh-CN"/>
        </w:rPr>
        <w:t>建设新能源锂电池项目</w:t>
      </w:r>
      <w:r>
        <w:rPr>
          <w:rFonts w:hint="eastAsia" w:ascii="仿宋_GB2312" w:eastAsia="仿宋_GB2312"/>
          <w:sz w:val="32"/>
          <w:szCs w:val="32"/>
        </w:rPr>
        <w:t>，</w:t>
      </w:r>
      <w:r>
        <w:rPr>
          <w:rFonts w:hint="eastAsia" w:ascii="仿宋_GB2312" w:eastAsia="仿宋_GB2312"/>
          <w:sz w:val="32"/>
          <w:szCs w:val="32"/>
          <w:lang w:eastAsia="zh-CN"/>
        </w:rPr>
        <w:t>项目</w:t>
      </w:r>
      <w:r>
        <w:rPr>
          <w:rFonts w:hint="eastAsia" w:ascii="仿宋_GB2312" w:eastAsia="仿宋_GB2312"/>
          <w:sz w:val="32"/>
          <w:szCs w:val="32"/>
          <w:lang w:val="en-US" w:eastAsia="zh-CN"/>
        </w:rPr>
        <w:t>占地</w:t>
      </w:r>
      <w:r>
        <w:rPr>
          <w:rFonts w:hint="eastAsia" w:ascii="仿宋_GB2312" w:eastAsia="仿宋_GB2312"/>
          <w:sz w:val="32"/>
          <w:szCs w:val="32"/>
          <w:lang w:eastAsia="zh-CN"/>
        </w:rPr>
        <w:t>面积</w:t>
      </w:r>
      <w:r>
        <w:rPr>
          <w:rFonts w:hint="eastAsia" w:ascii="仿宋_GB2312" w:eastAsia="仿宋_GB2312"/>
          <w:sz w:val="32"/>
          <w:szCs w:val="32"/>
          <w:lang w:val="en-US" w:eastAsia="zh-CN"/>
        </w:rPr>
        <w:t>6000㎡，总投资10000万元（其中环保投资100万元，占比1%），主要建设建设锂电池无尘车间（正、负极）自动生产线2条，配套建设原材料仓库、成品仓库、办公区、纯水房及相关环保设施，给排水、供电系统依托园区现有</w:t>
      </w:r>
      <w:r>
        <w:rPr>
          <w:rFonts w:hint="eastAsia" w:ascii="仿宋_GB2312" w:eastAsia="仿宋_GB2312"/>
          <w:b w:val="0"/>
          <w:bCs/>
          <w:sz w:val="32"/>
          <w:szCs w:val="32"/>
          <w:lang w:eastAsia="zh-CN"/>
        </w:rPr>
        <w:t>。</w:t>
      </w:r>
      <w:r>
        <w:rPr>
          <w:rFonts w:hint="eastAsia" w:ascii="仿宋_GB2312" w:eastAsia="仿宋_GB2312"/>
          <w:sz w:val="32"/>
          <w:szCs w:val="32"/>
        </w:rPr>
        <w:t>项目</w:t>
      </w:r>
      <w:r>
        <w:rPr>
          <w:rFonts w:hint="eastAsia" w:ascii="仿宋_GB2312" w:eastAsia="仿宋_GB2312"/>
          <w:sz w:val="32"/>
          <w:szCs w:val="32"/>
          <w:lang w:val="en-US" w:eastAsia="zh-CN"/>
        </w:rPr>
        <w:t>工程</w:t>
      </w:r>
      <w:r>
        <w:rPr>
          <w:rFonts w:hint="eastAsia" w:ascii="仿宋_GB2312" w:eastAsia="仿宋_GB2312"/>
          <w:sz w:val="32"/>
          <w:szCs w:val="32"/>
        </w:rPr>
        <w:t>建设内容见</w:t>
      </w:r>
      <w:r>
        <w:rPr>
          <w:rFonts w:hint="eastAsia" w:ascii="仿宋_GB2312" w:eastAsia="仿宋_GB2312"/>
          <w:sz w:val="32"/>
          <w:szCs w:val="32"/>
          <w:lang w:eastAsia="zh-CN"/>
        </w:rPr>
        <w:t>《</w:t>
      </w:r>
      <w:r>
        <w:rPr>
          <w:rFonts w:hint="eastAsia" w:ascii="仿宋_GB2312" w:eastAsia="仿宋_GB2312"/>
          <w:sz w:val="32"/>
          <w:szCs w:val="32"/>
          <w:lang w:val="en-US" w:eastAsia="zh-CN"/>
        </w:rPr>
        <w:t>报告表</w:t>
      </w:r>
      <w:r>
        <w:rPr>
          <w:rFonts w:hint="eastAsia" w:ascii="仿宋_GB2312" w:eastAsia="仿宋_GB2312"/>
          <w:sz w:val="32"/>
          <w:szCs w:val="32"/>
          <w:lang w:eastAsia="zh-CN"/>
        </w:rPr>
        <w:t>》</w:t>
      </w:r>
      <w:r>
        <w:rPr>
          <w:rFonts w:hint="eastAsia" w:ascii="仿宋_GB2312" w:eastAsia="仿宋_GB2312"/>
          <w:sz w:val="32"/>
          <w:szCs w:val="32"/>
        </w:rPr>
        <w:t>表</w:t>
      </w:r>
      <w:r>
        <w:rPr>
          <w:rFonts w:hint="eastAsia" w:ascii="仿宋_GB2312" w:eastAsia="仿宋_GB2312"/>
          <w:sz w:val="32"/>
          <w:szCs w:val="32"/>
          <w:lang w:val="en-US" w:eastAsia="zh-CN"/>
        </w:rPr>
        <w:t>2</w:t>
      </w:r>
      <w:r>
        <w:rPr>
          <w:rFonts w:hint="eastAsia" w:ascii="仿宋_GB2312" w:eastAsia="仿宋_GB2312"/>
          <w:sz w:val="32"/>
          <w:szCs w:val="32"/>
        </w:rPr>
        <w:t>-1。</w:t>
      </w:r>
    </w:p>
    <w:p w14:paraId="7611C661">
      <w:pPr>
        <w:ind w:firstLine="800" w:firstLineChars="250"/>
        <w:rPr>
          <w:rFonts w:ascii="仿宋_GB2312" w:hAnsi="宋体" w:eastAsia="仿宋_GB2312"/>
          <w:sz w:val="32"/>
          <w:szCs w:val="32"/>
        </w:rPr>
      </w:pPr>
      <w:r>
        <w:rPr>
          <w:rFonts w:hint="eastAsia" w:ascii="仿宋_GB2312" w:hAnsi="宋体" w:eastAsia="仿宋_GB2312"/>
          <w:sz w:val="32"/>
          <w:szCs w:val="32"/>
        </w:rPr>
        <w:t>二、该项目在工程设计、建设和环境管理中要认真落实《报告表》提出的各项环保要求，严格执行环保“三同时”制度，确保各类污染物稳定达标排放。</w:t>
      </w:r>
    </w:p>
    <w:p w14:paraId="3EFF0C35">
      <w:pPr>
        <w:ind w:firstLine="656" w:firstLineChars="205"/>
        <w:rPr>
          <w:rFonts w:ascii="仿宋_GB2312" w:hAnsi="宋体" w:eastAsia="仿宋_GB2312"/>
          <w:sz w:val="32"/>
          <w:szCs w:val="32"/>
        </w:rPr>
      </w:pPr>
      <w:r>
        <w:rPr>
          <w:rFonts w:hint="eastAsia" w:ascii="仿宋_GB2312" w:hAnsi="宋体" w:eastAsia="仿宋_GB2312"/>
          <w:sz w:val="32"/>
          <w:szCs w:val="32"/>
        </w:rPr>
        <w:t>三、项目</w:t>
      </w:r>
      <w:r>
        <w:rPr>
          <w:rFonts w:hint="eastAsia" w:ascii="仿宋_GB2312" w:hAnsi="宋体" w:eastAsia="仿宋_GB2312"/>
          <w:sz w:val="32"/>
          <w:szCs w:val="32"/>
          <w:lang w:val="en-US" w:eastAsia="zh-CN"/>
        </w:rPr>
        <w:t>在</w:t>
      </w:r>
      <w:r>
        <w:rPr>
          <w:rFonts w:hint="eastAsia" w:ascii="仿宋_GB2312" w:hAnsi="宋体" w:eastAsia="仿宋_GB2312"/>
          <w:sz w:val="32"/>
          <w:szCs w:val="32"/>
        </w:rPr>
        <w:t>建设</w:t>
      </w:r>
      <w:r>
        <w:rPr>
          <w:rFonts w:hint="eastAsia" w:ascii="仿宋_GB2312" w:hAnsi="宋体" w:eastAsia="仿宋_GB2312"/>
          <w:sz w:val="32"/>
          <w:szCs w:val="32"/>
          <w:lang w:val="en-US" w:eastAsia="zh-CN"/>
        </w:rPr>
        <w:t>和运营管理</w:t>
      </w:r>
      <w:r>
        <w:rPr>
          <w:rFonts w:hint="eastAsia" w:ascii="仿宋_GB2312" w:hAnsi="宋体" w:eastAsia="仿宋_GB2312"/>
          <w:sz w:val="32"/>
          <w:szCs w:val="32"/>
        </w:rPr>
        <w:t>中要重点做好以下几个方面的工作：</w:t>
      </w:r>
    </w:p>
    <w:p w14:paraId="375C2C77">
      <w:pPr>
        <w:ind w:firstLine="656" w:firstLineChars="205"/>
        <w:rPr>
          <w:rFonts w:hint="default" w:ascii="仿宋_GB2312" w:hAnsi="宋体" w:eastAsia="仿宋_GB2312"/>
          <w:sz w:val="32"/>
          <w:szCs w:val="32"/>
          <w:lang w:val="en-US" w:eastAsia="zh-CN"/>
        </w:rPr>
      </w:pPr>
      <w:r>
        <w:rPr>
          <w:rFonts w:hint="eastAsia" w:ascii="仿宋_GB2312" w:hAnsi="宋体" w:eastAsia="仿宋_GB2312"/>
          <w:sz w:val="32"/>
          <w:szCs w:val="32"/>
          <w:lang w:val="en-US" w:eastAsia="zh-CN"/>
        </w:rPr>
        <w:t>（一）严格落实大气污染防治措施。有组织废气HMHC通过NMP回收系统（三级水喷淋）+30m排气筒（DA001）排放，满足《电池工业污染物排放标准》（GB30484-2013）中新建企业大气污染物排放限值要求。无组织废气NMHC、颗粒物通过车间净化系统+除湿系统处理，厂界外无组织废气颗粒物、NMHC执行《电池工业污染物排放标准》（GB30484-2013）新建企业边界大气污染物浓度限值；区内无组织废气NMHC执行湖南省《工业企业挥发性有机物排放标准》（DB43/3550-2026）表2无组织排放监控点浓度限值。</w:t>
      </w:r>
    </w:p>
    <w:p w14:paraId="51E22D54">
      <w:pPr>
        <w:ind w:firstLine="656" w:firstLineChars="205"/>
        <w:rPr>
          <w:rFonts w:hint="default" w:ascii="仿宋_GB2312" w:hAnsi="宋体" w:eastAsia="仿宋_GB2312"/>
          <w:sz w:val="32"/>
          <w:szCs w:val="32"/>
          <w:lang w:val="en-US" w:eastAsia="zh-CN"/>
        </w:rPr>
      </w:pPr>
      <w:r>
        <w:rPr>
          <w:rFonts w:hint="eastAsia" w:ascii="仿宋_GB2312" w:hAnsi="宋体" w:eastAsia="仿宋_GB2312"/>
          <w:sz w:val="32"/>
          <w:szCs w:val="32"/>
          <w:lang w:val="en-US" w:eastAsia="zh-CN"/>
        </w:rPr>
        <w:t>（二）严格落实水污染物防治措施。按“雨污分流、清污分流”原则，规范建设排水管网。生活污水及纯水制备尾水经化粪池预处理后，满足《污水综合排放标准》（GB8978-1996）中三级排放标准及通道县产业开发区污水处理厂接管标准较严值。</w:t>
      </w:r>
    </w:p>
    <w:p w14:paraId="6C84CD2C">
      <w:pPr>
        <w:ind w:firstLine="656" w:firstLineChars="205"/>
        <w:rPr>
          <w:rFonts w:hint="default" w:ascii="仿宋_GB2312" w:hAnsi="宋体" w:eastAsia="仿宋_GB2312"/>
          <w:sz w:val="32"/>
          <w:szCs w:val="32"/>
          <w:lang w:val="en-US" w:eastAsia="zh-CN"/>
        </w:rPr>
      </w:pPr>
      <w:r>
        <w:rPr>
          <w:rFonts w:hint="eastAsia" w:ascii="仿宋_GB2312" w:hAnsi="宋体" w:eastAsia="仿宋_GB2312"/>
          <w:sz w:val="32"/>
          <w:szCs w:val="32"/>
          <w:lang w:val="en-US" w:eastAsia="zh-CN"/>
        </w:rPr>
        <w:t>（三）严格落实固体废物污染防治措施。按照“减量化、资源化、无害化”原则，规范固体废物分类收集、贮存和处置。废油墨空瓶、废抹布、电池清洗废水、废内衬包装袋、废润滑油、废活性炭、负极搅拌设备清洗抹布等危险废物须严格按照《危险废物贮存污染控制标准》（GB18597-2023）和《危险废物收集贮存运输技术规范》（HJ2025-2012）相关标准执行，严格落实转移联单制度，并委托有资质的单位进行安全处置。废隔膜、废边角料、不合格电池、原料空桶、原辅材料废包装袋、NMP喷淋废液、废过滤介质等一般固废分类收集暂存，分类交由回收单位处理，生活垃圾收集后交由环卫部门处理，执行《一般工业固体废物贮存和填埋污染控制标准》（GB18599-2020）。</w:t>
      </w:r>
    </w:p>
    <w:p w14:paraId="1901669E">
      <w:pPr>
        <w:ind w:firstLine="656" w:firstLineChars="205"/>
        <w:rPr>
          <w:rFonts w:hint="default" w:ascii="仿宋_GB2312" w:hAnsi="宋体" w:eastAsia="仿宋_GB2312"/>
          <w:sz w:val="32"/>
          <w:szCs w:val="32"/>
          <w:lang w:val="en-US" w:eastAsia="zh-CN"/>
        </w:rPr>
      </w:pPr>
      <w:r>
        <w:rPr>
          <w:rFonts w:hint="eastAsia" w:ascii="仿宋_GB2312" w:hAnsi="宋体" w:eastAsia="仿宋_GB2312"/>
          <w:sz w:val="32"/>
          <w:szCs w:val="32"/>
          <w:lang w:val="en-US" w:eastAsia="zh-CN"/>
        </w:rPr>
        <w:t>（四）严格落实噪声污染防治措施。选用低噪声设备，采取减振、隔声、消音等措施，确保厂界四周噪声满足《工业企业厂界环境噪声排放标准》（GB12348-2008）中的3类标准。</w:t>
      </w:r>
    </w:p>
    <w:p w14:paraId="5E706955">
      <w:pPr>
        <w:ind w:firstLine="656" w:firstLineChars="205"/>
        <w:rPr>
          <w:rFonts w:hint="default" w:ascii="仿宋_GB2312" w:hAnsi="宋体" w:eastAsia="仿宋_GB2312"/>
          <w:sz w:val="32"/>
          <w:szCs w:val="32"/>
          <w:lang w:val="en-US" w:eastAsia="zh-CN"/>
        </w:rPr>
      </w:pPr>
      <w:r>
        <w:rPr>
          <w:rFonts w:hint="eastAsia" w:ascii="仿宋_GB2312" w:hAnsi="宋体" w:eastAsia="仿宋_GB2312"/>
          <w:sz w:val="32"/>
          <w:szCs w:val="32"/>
          <w:lang w:val="en-US" w:eastAsia="zh-CN"/>
        </w:rPr>
        <w:t>（五）严格落实地下水及土壤污染防治措施。生产车间及其他区域按照一般防渗要求进行地面硬化等措施，危废贮存间进行重点防渗措施，确保不会对土壤及地下水产生影响。</w:t>
      </w:r>
    </w:p>
    <w:p w14:paraId="7B5D368D">
      <w:pPr>
        <w:ind w:firstLine="656" w:firstLineChars="205"/>
        <w:rPr>
          <w:rFonts w:hint="eastAsia" w:ascii="仿宋_GB2312" w:hAnsi="宋体" w:eastAsia="仿宋_GB2312"/>
          <w:sz w:val="32"/>
          <w:szCs w:val="32"/>
          <w:lang w:val="en-US" w:eastAsia="zh-CN"/>
        </w:rPr>
      </w:pPr>
      <w:r>
        <w:rPr>
          <w:rFonts w:hint="eastAsia" w:ascii="仿宋_GB2312" w:hAnsi="宋体" w:eastAsia="仿宋_GB2312"/>
          <w:sz w:val="32"/>
          <w:szCs w:val="32"/>
          <w:lang w:val="en-US" w:eastAsia="zh-CN"/>
        </w:rPr>
        <w:t>（六）严格落实环境风险防范措施。1、分区防渗。危废暂存间重点防渗，按照《危险废物贮存污染控制标准》（GB18597-2023）要求进行地面和裙角防渗，防渗层为至少1m厚黏土层(渗透系数不大于10</w:t>
      </w:r>
      <w:r>
        <w:rPr>
          <w:rFonts w:hint="eastAsia" w:ascii="仿宋_GB2312" w:hAnsi="宋体" w:eastAsia="仿宋_GB2312"/>
          <w:sz w:val="32"/>
          <w:szCs w:val="32"/>
          <w:vertAlign w:val="superscript"/>
          <w:lang w:val="en-US" w:eastAsia="zh-CN"/>
        </w:rPr>
        <w:t>-7</w:t>
      </w:r>
      <w:r>
        <w:rPr>
          <w:rFonts w:hint="eastAsia" w:ascii="仿宋_GB2312" w:hAnsi="宋体" w:eastAsia="仿宋_GB2312"/>
          <w:sz w:val="32"/>
          <w:szCs w:val="32"/>
          <w:lang w:val="en-US" w:eastAsia="zh-CN"/>
        </w:rPr>
        <w:t>cm/s)，或至少2mm厚高密度聚乙烯膜等人工防渗材料(透系数不大于10</w:t>
      </w:r>
      <w:r>
        <w:rPr>
          <w:rFonts w:hint="eastAsia" w:ascii="仿宋_GB2312" w:hAnsi="宋体" w:eastAsia="仿宋_GB2312"/>
          <w:sz w:val="32"/>
          <w:szCs w:val="32"/>
          <w:vertAlign w:val="superscript"/>
          <w:lang w:val="en-US" w:eastAsia="zh-CN"/>
        </w:rPr>
        <w:t>-10</w:t>
      </w:r>
      <w:r>
        <w:rPr>
          <w:rFonts w:hint="eastAsia" w:ascii="仿宋_GB2312" w:hAnsi="宋体" w:eastAsia="仿宋_GB2312"/>
          <w:sz w:val="32"/>
          <w:szCs w:val="32"/>
          <w:lang w:val="en-US" w:eastAsia="zh-CN"/>
        </w:rPr>
        <w:t>cm/s)，或其他防渗性能等效的材料。一般固废暂存区、原料贮存区、生产区按照等效黏土防渗层Mb≥1.5m，K≤1×10</w:t>
      </w:r>
      <w:r>
        <w:rPr>
          <w:rFonts w:hint="eastAsia" w:ascii="仿宋_GB2312" w:hAnsi="宋体" w:eastAsia="仿宋_GB2312"/>
          <w:sz w:val="32"/>
          <w:szCs w:val="32"/>
          <w:vertAlign w:val="superscript"/>
          <w:lang w:val="en-US" w:eastAsia="zh-CN"/>
        </w:rPr>
        <w:t>-7</w:t>
      </w:r>
      <w:r>
        <w:rPr>
          <w:rFonts w:hint="eastAsia" w:ascii="仿宋_GB2312" w:hAnsi="宋体" w:eastAsia="仿宋_GB2312"/>
          <w:sz w:val="32"/>
          <w:szCs w:val="32"/>
          <w:lang w:val="en-US" w:eastAsia="zh-CN"/>
        </w:rPr>
        <w:t>cm/s，在上层铺10~15cm的水泥进行硬化要求进行一般防渗。危废暂存区域设置托盘，加强生产车间管理。2、加强员工培训，各生产环节严格执行生产管理的有关规定，加强设备的检修及保养，提高管理人员素质，并设置机器事故应急措施及管理制度，确保设备长期处于良好状态，使设备达到预期的处理效果。3、严格按照消防安全的相关规定，在厂区相应位置设置灭火器材及封堵应急物质。4、本项目安全环保管理需配备专业管理人员，通过技能培训，承担该项目运行后的环保安全工作。</w:t>
      </w:r>
    </w:p>
    <w:p w14:paraId="08AA2CD0">
      <w:pPr>
        <w:ind w:firstLine="656" w:firstLineChars="205"/>
        <w:rPr>
          <w:rFonts w:hint="eastAsia" w:ascii="仿宋_GB2312" w:hAnsi="宋体" w:eastAsia="仿宋_GB2312"/>
          <w:sz w:val="32"/>
          <w:szCs w:val="32"/>
          <w:lang w:val="en-US" w:eastAsia="zh-CN"/>
        </w:rPr>
      </w:pPr>
      <w:r>
        <w:rPr>
          <w:rFonts w:hint="eastAsia" w:ascii="仿宋_GB2312" w:hAnsi="宋体" w:eastAsia="仿宋_GB2312"/>
          <w:sz w:val="32"/>
          <w:szCs w:val="32"/>
          <w:lang w:val="en-US" w:eastAsia="zh-CN"/>
        </w:rPr>
        <w:t>（七）严格落实污染物排放总量控制制度。本项目无生产废水排放，生活污水及纯水制备尾水经化粪池预处理后通过市政污水管网排至通道县产业开发区污水处理厂。大气污染物总量控制指标为挥发性有机物（1.468t/a），根据当地生态环境行政主管部门要求执行。</w:t>
      </w:r>
    </w:p>
    <w:p w14:paraId="7363CE72">
      <w:pPr>
        <w:ind w:firstLine="656" w:firstLineChars="205"/>
        <w:rPr>
          <w:rFonts w:hint="eastAsia" w:ascii="仿宋_GB2312" w:hAnsi="宋体" w:eastAsia="仿宋_GB2312"/>
          <w:sz w:val="32"/>
          <w:szCs w:val="32"/>
          <w:lang w:val="en-US" w:eastAsia="zh-CN"/>
        </w:rPr>
      </w:pPr>
      <w:r>
        <w:rPr>
          <w:rFonts w:hint="eastAsia" w:ascii="仿宋_GB2312" w:hAnsi="宋体" w:eastAsia="仿宋_GB2312"/>
          <w:sz w:val="32"/>
          <w:szCs w:val="32"/>
          <w:lang w:val="en-US" w:eastAsia="zh-CN"/>
        </w:rPr>
        <w:t>四、项目在发生实际排污行为前，应按照经批准的环境影响文件，全面梳理并确保各项环境保护措施落实到位，依法申领排污许可证，严禁无证排污或不按证排污等各类违法行为。项目建成后须编制突发环境事件应急预案，并按规定程序和标准开展竣工环保验收，及时在“全国建设项目竣工环境保护验收信息平台”填报相关信息。</w:t>
      </w:r>
    </w:p>
    <w:p w14:paraId="285EF010">
      <w:pPr>
        <w:ind w:firstLine="656" w:firstLineChars="205"/>
        <w:rPr>
          <w:rFonts w:hint="eastAsia" w:ascii="仿宋_GB2312" w:eastAsia="仿宋_GB2312"/>
          <w:sz w:val="32"/>
          <w:szCs w:val="32"/>
          <w:lang w:val="en-US" w:eastAsia="zh-CN"/>
        </w:rPr>
      </w:pPr>
      <w:r>
        <w:rPr>
          <w:rFonts w:hint="eastAsia" w:ascii="仿宋_GB2312" w:hAnsi="宋体" w:eastAsia="仿宋_GB2312"/>
          <w:sz w:val="32"/>
          <w:szCs w:val="32"/>
          <w:lang w:val="en-US" w:eastAsia="zh-CN"/>
        </w:rPr>
        <w:t>五</w:t>
      </w:r>
      <w:r>
        <w:rPr>
          <w:rFonts w:hint="eastAsia" w:ascii="仿宋_GB2312" w:hAnsi="宋体" w:eastAsia="仿宋_GB2312"/>
          <w:sz w:val="32"/>
          <w:szCs w:val="32"/>
        </w:rPr>
        <w:t>、《报告表》经批准后，如项目的性质、规模、地点</w:t>
      </w:r>
      <w:r>
        <w:rPr>
          <w:rFonts w:hint="eastAsia" w:ascii="仿宋_GB2312" w:hAnsi="宋体" w:eastAsia="仿宋_GB2312"/>
          <w:sz w:val="32"/>
          <w:szCs w:val="32"/>
          <w:lang w:eastAsia="zh-CN"/>
        </w:rPr>
        <w:t>、</w:t>
      </w:r>
      <w:r>
        <w:rPr>
          <w:rFonts w:hint="eastAsia" w:ascii="仿宋_GB2312" w:hAnsi="宋体" w:eastAsia="仿宋_GB2312"/>
          <w:sz w:val="32"/>
          <w:szCs w:val="32"/>
          <w:lang w:val="en-US" w:eastAsia="zh-CN"/>
        </w:rPr>
        <w:t>采</w:t>
      </w:r>
      <w:r>
        <w:rPr>
          <w:rFonts w:hint="eastAsia" w:ascii="仿宋_GB2312" w:hAnsi="宋体" w:eastAsia="仿宋_GB2312"/>
          <w:sz w:val="32"/>
          <w:szCs w:val="32"/>
        </w:rPr>
        <w:t>用</w:t>
      </w:r>
      <w:r>
        <w:rPr>
          <w:rFonts w:hint="eastAsia" w:ascii="仿宋_GB2312" w:hAnsi="宋体" w:eastAsia="仿宋_GB2312"/>
          <w:sz w:val="32"/>
          <w:szCs w:val="32"/>
          <w:lang w:val="en-US" w:eastAsia="zh-CN"/>
        </w:rPr>
        <w:t>的生产工艺或者</w:t>
      </w:r>
      <w:r>
        <w:rPr>
          <w:rFonts w:hint="eastAsia" w:ascii="仿宋_GB2312" w:hAnsi="宋体" w:eastAsia="仿宋_GB2312"/>
          <w:sz w:val="32"/>
          <w:szCs w:val="32"/>
        </w:rPr>
        <w:t>防治污染</w:t>
      </w:r>
      <w:r>
        <w:rPr>
          <w:rFonts w:hint="eastAsia" w:ascii="仿宋_GB2312" w:hAnsi="宋体" w:eastAsia="仿宋_GB2312"/>
          <w:sz w:val="32"/>
          <w:szCs w:val="32"/>
          <w:lang w:eastAsia="zh-CN"/>
        </w:rPr>
        <w:t>、</w:t>
      </w:r>
      <w:r>
        <w:rPr>
          <w:rFonts w:hint="eastAsia" w:ascii="仿宋_GB2312" w:hAnsi="宋体" w:eastAsia="仿宋_GB2312"/>
          <w:sz w:val="32"/>
          <w:szCs w:val="32"/>
        </w:rPr>
        <w:t>防止生态破坏的措施发生重大变</w:t>
      </w:r>
      <w:r>
        <w:rPr>
          <w:rFonts w:hint="eastAsia" w:ascii="仿宋_GB2312" w:hAnsi="宋体" w:eastAsia="仿宋_GB2312"/>
          <w:sz w:val="32"/>
          <w:szCs w:val="32"/>
          <w:lang w:val="en-US" w:eastAsia="zh-CN"/>
        </w:rPr>
        <w:t>动的，应重新报批环境影响评价文件。本项目</w:t>
      </w:r>
      <w:r>
        <w:rPr>
          <w:rFonts w:hint="eastAsia" w:ascii="仿宋_GB2312" w:hAnsi="宋体" w:eastAsia="仿宋_GB2312"/>
          <w:sz w:val="32"/>
          <w:szCs w:val="32"/>
        </w:rPr>
        <w:t>自批准之日起满5年</w:t>
      </w:r>
      <w:r>
        <w:rPr>
          <w:rFonts w:hint="eastAsia" w:ascii="仿宋_GB2312" w:hAnsi="宋体" w:eastAsia="仿宋_GB2312"/>
          <w:sz w:val="32"/>
          <w:szCs w:val="32"/>
          <w:lang w:val="en-US" w:eastAsia="zh-CN"/>
        </w:rPr>
        <w:t>方决定</w:t>
      </w:r>
      <w:r>
        <w:rPr>
          <w:rFonts w:hint="eastAsia" w:ascii="仿宋_GB2312" w:hAnsi="宋体" w:eastAsia="仿宋_GB2312"/>
          <w:sz w:val="32"/>
          <w:szCs w:val="32"/>
        </w:rPr>
        <w:t>才开工建设</w:t>
      </w:r>
      <w:r>
        <w:rPr>
          <w:rFonts w:hint="eastAsia" w:ascii="仿宋_GB2312" w:hAnsi="宋体" w:eastAsia="仿宋_GB2312"/>
          <w:sz w:val="32"/>
          <w:szCs w:val="32"/>
          <w:lang w:val="en-US" w:eastAsia="zh-CN"/>
        </w:rPr>
        <w:t>的</w:t>
      </w:r>
      <w:r>
        <w:rPr>
          <w:rFonts w:hint="eastAsia" w:ascii="仿宋_GB2312" w:hAnsi="宋体" w:eastAsia="仿宋_GB2312"/>
          <w:sz w:val="32"/>
          <w:szCs w:val="32"/>
        </w:rPr>
        <w:t>，须报我局重新审</w:t>
      </w:r>
      <w:r>
        <w:rPr>
          <w:rFonts w:hint="eastAsia" w:ascii="仿宋_GB2312" w:hAnsi="宋体" w:eastAsia="仿宋_GB2312"/>
          <w:sz w:val="32"/>
          <w:szCs w:val="32"/>
          <w:lang w:val="en-US" w:eastAsia="zh-CN"/>
        </w:rPr>
        <w:t>核</w:t>
      </w:r>
      <w:r>
        <w:rPr>
          <w:rFonts w:hint="eastAsia" w:ascii="仿宋_GB2312" w:hAnsi="宋体" w:eastAsia="仿宋_GB2312"/>
          <w:sz w:val="32"/>
          <w:szCs w:val="32"/>
        </w:rPr>
        <w:t>。</w:t>
      </w:r>
    </w:p>
    <w:p w14:paraId="1BC78FA4">
      <w:pPr>
        <w:ind w:firstLine="5120" w:firstLineChars="1600"/>
        <w:jc w:val="both"/>
        <w:rPr>
          <w:rFonts w:ascii="仿宋_GB2312" w:eastAsia="仿宋_GB2312"/>
          <w:sz w:val="32"/>
          <w:szCs w:val="32"/>
        </w:rPr>
      </w:pPr>
      <w:r>
        <w:rPr>
          <w:rFonts w:hint="eastAsia" w:ascii="仿宋_GB2312" w:eastAsia="仿宋_GB2312"/>
          <w:sz w:val="32"/>
          <w:szCs w:val="32"/>
          <w:lang w:val="en-US" w:eastAsia="zh-CN"/>
        </w:rPr>
        <w:t>怀化市生态环境局</w:t>
      </w:r>
    </w:p>
    <w:p w14:paraId="712DCD83">
      <w:pPr>
        <w:ind w:right="640"/>
        <w:jc w:val="right"/>
        <w:rPr>
          <w:rFonts w:ascii="仿宋_GB2312" w:eastAsia="仿宋_GB2312"/>
          <w:sz w:val="32"/>
          <w:szCs w:val="32"/>
        </w:rPr>
      </w:pPr>
      <w:r>
        <w:rPr>
          <w:rFonts w:hint="eastAsia" w:ascii="仿宋_GB2312" w:eastAsia="仿宋_GB2312"/>
          <w:sz w:val="32"/>
          <w:szCs w:val="32"/>
          <w:lang w:val="en-US" w:eastAsia="zh-CN"/>
        </w:rPr>
        <w:t xml:space="preserve">    </w:t>
      </w:r>
      <w:r>
        <w:rPr>
          <w:rFonts w:hint="eastAsia" w:ascii="仿宋_GB2312" w:eastAsia="仿宋_GB2312"/>
          <w:sz w:val="32"/>
          <w:szCs w:val="32"/>
        </w:rPr>
        <w:t>20</w:t>
      </w:r>
      <w:r>
        <w:rPr>
          <w:rFonts w:hint="eastAsia" w:ascii="仿宋_GB2312" w:eastAsia="仿宋_GB2312"/>
          <w:sz w:val="32"/>
          <w:szCs w:val="32"/>
          <w:lang w:val="en-US" w:eastAsia="zh-CN"/>
        </w:rPr>
        <w:t>26</w:t>
      </w:r>
      <w:r>
        <w:rPr>
          <w:rFonts w:hint="eastAsia" w:ascii="仿宋_GB2312" w:eastAsia="仿宋_GB2312"/>
          <w:sz w:val="32"/>
          <w:szCs w:val="32"/>
        </w:rPr>
        <w:t>年</w:t>
      </w:r>
      <w:r>
        <w:rPr>
          <w:rFonts w:hint="eastAsia" w:ascii="仿宋_GB2312" w:eastAsia="仿宋_GB2312"/>
          <w:sz w:val="32"/>
          <w:szCs w:val="32"/>
          <w:lang w:val="en-US" w:eastAsia="zh-CN"/>
        </w:rPr>
        <w:t>7</w:t>
      </w:r>
      <w:r>
        <w:rPr>
          <w:rFonts w:hint="eastAsia" w:ascii="仿宋_GB2312" w:eastAsia="仿宋_GB2312"/>
          <w:sz w:val="32"/>
          <w:szCs w:val="32"/>
        </w:rPr>
        <w:t>月</w:t>
      </w:r>
      <w:r>
        <w:rPr>
          <w:rFonts w:hint="eastAsia" w:ascii="仿宋_GB2312" w:eastAsia="仿宋_GB2312"/>
          <w:sz w:val="32"/>
          <w:szCs w:val="32"/>
          <w:lang w:val="en-US" w:eastAsia="zh-CN"/>
        </w:rPr>
        <w:t>28</w:t>
      </w:r>
      <w:r>
        <w:rPr>
          <w:rFonts w:hint="eastAsia" w:ascii="仿宋_GB2312" w:eastAsia="仿宋_GB2312"/>
          <w:sz w:val="32"/>
          <w:szCs w:val="32"/>
        </w:rPr>
        <w:t>日</w:t>
      </w: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02"/>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18030">
    <w:altName w:val="Times New Roman"/>
    <w:panose1 w:val="00000000000000000000"/>
    <w:charset w:val="00"/>
    <w:family w:val="auto"/>
    <w:pitch w:val="default"/>
    <w:sig w:usb0="00000000" w:usb1="00000000" w:usb2="00000000" w:usb3="00000000" w:csb0="0000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02329A">
    <w:pPr>
      <w:pStyle w:val="5"/>
    </w:pPr>
    <w:r>
      <w:rPr>
        <w:sz w:val="18"/>
      </w:rPr>
      <w:pict>
        <v:shape id="_x0000_s4097" o:spid="_x0000_s4097"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61FEBF66">
                <w:pPr>
                  <w:pStyle w:val="5"/>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oNotDisplayPageBoundaries w:val="1"/>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EF434E"/>
    <w:rsid w:val="000560CA"/>
    <w:rsid w:val="000A6BC3"/>
    <w:rsid w:val="0011068D"/>
    <w:rsid w:val="00273B5C"/>
    <w:rsid w:val="002A5B70"/>
    <w:rsid w:val="0036094E"/>
    <w:rsid w:val="003A4C14"/>
    <w:rsid w:val="003D523C"/>
    <w:rsid w:val="00532CC4"/>
    <w:rsid w:val="00542575"/>
    <w:rsid w:val="005E64A0"/>
    <w:rsid w:val="00610DC2"/>
    <w:rsid w:val="00614EB7"/>
    <w:rsid w:val="00647715"/>
    <w:rsid w:val="006D754E"/>
    <w:rsid w:val="008F595D"/>
    <w:rsid w:val="009A40B6"/>
    <w:rsid w:val="009E6D44"/>
    <w:rsid w:val="009F5388"/>
    <w:rsid w:val="00A21373"/>
    <w:rsid w:val="00A24DDB"/>
    <w:rsid w:val="00A33632"/>
    <w:rsid w:val="00A35F10"/>
    <w:rsid w:val="00A8564E"/>
    <w:rsid w:val="00AA40AA"/>
    <w:rsid w:val="00B7489C"/>
    <w:rsid w:val="00BD376F"/>
    <w:rsid w:val="00C020A5"/>
    <w:rsid w:val="00C14F97"/>
    <w:rsid w:val="00CF0D69"/>
    <w:rsid w:val="00D1127A"/>
    <w:rsid w:val="00D70B6A"/>
    <w:rsid w:val="00DE35A6"/>
    <w:rsid w:val="00E0300D"/>
    <w:rsid w:val="00E24F69"/>
    <w:rsid w:val="00EE0C36"/>
    <w:rsid w:val="00EF434E"/>
    <w:rsid w:val="00F61211"/>
    <w:rsid w:val="00F74593"/>
    <w:rsid w:val="0455229F"/>
    <w:rsid w:val="06D166DC"/>
    <w:rsid w:val="23171209"/>
    <w:rsid w:val="30CF726B"/>
    <w:rsid w:val="3C1D69EB"/>
    <w:rsid w:val="3D576D51"/>
    <w:rsid w:val="433F2E64"/>
    <w:rsid w:val="47F53686"/>
    <w:rsid w:val="4FA608ED"/>
    <w:rsid w:val="582E56FD"/>
    <w:rsid w:val="5BBF75DF"/>
    <w:rsid w:val="5C010F11"/>
    <w:rsid w:val="5F776B45"/>
    <w:rsid w:val="6BD77A42"/>
    <w:rsid w:val="7C3853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4">
    <w:name w:val="heading 4"/>
    <w:basedOn w:val="1"/>
    <w:next w:val="1"/>
    <w:qFormat/>
    <w:uiPriority w:val="9"/>
    <w:pPr>
      <w:keepNext/>
      <w:keepLines/>
      <w:jc w:val="left"/>
      <w:outlineLvl w:val="3"/>
    </w:pPr>
    <w:rPr>
      <w:rFonts w:ascii="Cambria" w:hAnsi="Cambria"/>
      <w:b/>
      <w:kern w:val="0"/>
      <w:sz w:val="28"/>
      <w:szCs w:val="28"/>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99"/>
    <w:pPr>
      <w:spacing w:after="120"/>
    </w:pPr>
    <w:rPr>
      <w:kern w:val="0"/>
      <w:sz w:val="20"/>
      <w:szCs w:val="20"/>
    </w:rPr>
  </w:style>
  <w:style w:type="paragraph" w:customStyle="1" w:styleId="3">
    <w:name w:val="xl27"/>
    <w:basedOn w:val="1"/>
    <w:qFormat/>
    <w:uiPriority w:val="99"/>
    <w:pPr>
      <w:widowControl/>
      <w:pBdr>
        <w:top w:val="single" w:color="auto" w:sz="4" w:space="0"/>
        <w:left w:val="single" w:color="auto" w:sz="8" w:space="0"/>
        <w:bottom w:val="single" w:color="auto" w:sz="4" w:space="0"/>
        <w:right w:val="single" w:color="auto" w:sz="4" w:space="0"/>
      </w:pBdr>
      <w:spacing w:before="100" w:beforeAutospacing="1" w:after="100" w:afterAutospacing="1"/>
      <w:jc w:val="center"/>
    </w:pPr>
    <w:rPr>
      <w:rFonts w:ascii="???-18030" w:hAnsi="???-18030" w:cs="???-18030"/>
      <w:kern w:val="0"/>
    </w:rPr>
  </w:style>
  <w:style w:type="paragraph" w:styleId="5">
    <w:name w:val="footer"/>
    <w:basedOn w:val="1"/>
    <w:link w:val="18"/>
    <w:semiHidden/>
    <w:unhideWhenUsed/>
    <w:qFormat/>
    <w:uiPriority w:val="99"/>
    <w:pPr>
      <w:tabs>
        <w:tab w:val="center" w:pos="4153"/>
        <w:tab w:val="right" w:pos="8306"/>
      </w:tabs>
      <w:snapToGrid w:val="0"/>
      <w:jc w:val="left"/>
    </w:pPr>
    <w:rPr>
      <w:sz w:val="18"/>
      <w:szCs w:val="18"/>
    </w:rPr>
  </w:style>
  <w:style w:type="paragraph" w:styleId="6">
    <w:name w:val="header"/>
    <w:basedOn w:val="1"/>
    <w:link w:val="1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9">
    <w:name w:val="Default"/>
    <w:basedOn w:val="10"/>
    <w:next w:val="11"/>
    <w:qFormat/>
    <w:uiPriority w:val="0"/>
    <w:pPr>
      <w:keepNext w:val="0"/>
      <w:keepLines w:val="0"/>
      <w:widowControl w:val="0"/>
      <w:suppressLineNumbers w:val="0"/>
      <w:autoSpaceDE w:val="0"/>
      <w:autoSpaceDN w:val="0"/>
      <w:adjustRightInd w:val="0"/>
      <w:spacing w:before="0" w:beforeLines="0" w:beforeAutospacing="0" w:after="0" w:afterLines="0" w:afterAutospacing="0"/>
      <w:ind w:left="0" w:right="0"/>
      <w:jc w:val="left"/>
    </w:pPr>
    <w:rPr>
      <w:rFonts w:hint="eastAsia" w:ascii="宋体" w:hAnsi="Times New Roman" w:eastAsia="宋体" w:cs="宋体"/>
      <w:color w:val="000000"/>
      <w:kern w:val="0"/>
      <w:sz w:val="24"/>
      <w:szCs w:val="24"/>
      <w:lang w:val="en-US" w:eastAsia="zh-CN" w:bidi="ar"/>
    </w:rPr>
  </w:style>
  <w:style w:type="paragraph" w:customStyle="1" w:styleId="10">
    <w:name w:val="纯文本1"/>
    <w:basedOn w:val="1"/>
    <w:qFormat/>
    <w:uiPriority w:val="0"/>
    <w:pPr>
      <w:adjustRightInd w:val="0"/>
    </w:pPr>
    <w:rPr>
      <w:rFonts w:ascii="宋体" w:hAnsi="Courier New"/>
      <w:szCs w:val="20"/>
    </w:rPr>
  </w:style>
  <w:style w:type="paragraph" w:customStyle="1" w:styleId="11">
    <w:name w:val="样式35"/>
    <w:basedOn w:val="12"/>
    <w:next w:val="16"/>
    <w:qFormat/>
    <w:uiPriority w:val="0"/>
    <w:pPr>
      <w:tabs>
        <w:tab w:val="left" w:pos="0"/>
        <w:tab w:val="left" w:pos="360"/>
        <w:tab w:val="left" w:pos="540"/>
        <w:tab w:val="left" w:pos="567"/>
        <w:tab w:val="left" w:pos="992"/>
      </w:tabs>
      <w:ind w:hanging="567"/>
    </w:pPr>
  </w:style>
  <w:style w:type="paragraph" w:customStyle="1" w:styleId="12">
    <w:name w:val="样式26"/>
    <w:basedOn w:val="13"/>
    <w:qFormat/>
    <w:uiPriority w:val="0"/>
    <w:pPr>
      <w:tabs>
        <w:tab w:val="left" w:pos="0"/>
        <w:tab w:val="left" w:pos="360"/>
        <w:tab w:val="left" w:pos="540"/>
        <w:tab w:val="left" w:pos="567"/>
      </w:tabs>
    </w:pPr>
  </w:style>
  <w:style w:type="paragraph" w:customStyle="1" w:styleId="13">
    <w:name w:val="样式21"/>
    <w:basedOn w:val="14"/>
    <w:qFormat/>
    <w:uiPriority w:val="0"/>
    <w:pPr>
      <w:tabs>
        <w:tab w:val="left" w:pos="360"/>
        <w:tab w:val="left" w:pos="567"/>
      </w:tabs>
      <w:spacing w:before="120" w:beforeLines="0" w:after="120" w:afterLines="0"/>
      <w:ind w:hanging="992"/>
    </w:pPr>
    <w:rPr>
      <w:kern w:val="0"/>
    </w:rPr>
  </w:style>
  <w:style w:type="paragraph" w:customStyle="1" w:styleId="14">
    <w:name w:val="样式5"/>
    <w:basedOn w:val="15"/>
    <w:qFormat/>
    <w:uiPriority w:val="0"/>
    <w:pPr>
      <w:tabs>
        <w:tab w:val="left" w:pos="360"/>
        <w:tab w:val="left" w:pos="567"/>
      </w:tabs>
      <w:ind w:hanging="567" w:firstLineChars="0"/>
    </w:pPr>
    <w:rPr>
      <w:rFonts w:cs="Times New Roman"/>
    </w:rPr>
  </w:style>
  <w:style w:type="paragraph" w:customStyle="1" w:styleId="15">
    <w:name w:val="样式12"/>
    <w:basedOn w:val="1"/>
    <w:qFormat/>
    <w:uiPriority w:val="0"/>
    <w:pPr>
      <w:keepNext/>
      <w:keepLines/>
      <w:tabs>
        <w:tab w:val="left" w:pos="360"/>
      </w:tabs>
      <w:adjustRightInd w:val="0"/>
      <w:snapToGrid w:val="0"/>
      <w:spacing w:before="156" w:beforeLines="50" w:after="156" w:afterLines="50" w:line="360" w:lineRule="auto"/>
      <w:ind w:left="567" w:hanging="992" w:firstLineChars="200"/>
      <w:outlineLvl w:val="1"/>
    </w:pPr>
    <w:rPr>
      <w:rFonts w:eastAsia="黑体"/>
      <w:sz w:val="28"/>
      <w:szCs w:val="28"/>
    </w:rPr>
  </w:style>
  <w:style w:type="paragraph" w:customStyle="1" w:styleId="16">
    <w:name w:val="font6"/>
    <w:basedOn w:val="1"/>
    <w:qFormat/>
    <w:uiPriority w:val="0"/>
    <w:pPr>
      <w:widowControl/>
      <w:spacing w:before="100" w:beforeAutospacing="1" w:after="100" w:afterAutospacing="1"/>
      <w:jc w:val="left"/>
    </w:pPr>
    <w:rPr>
      <w:rFonts w:cs="Calibri"/>
      <w:color w:val="000000"/>
      <w:kern w:val="0"/>
      <w:szCs w:val="21"/>
    </w:rPr>
  </w:style>
  <w:style w:type="character" w:customStyle="1" w:styleId="17">
    <w:name w:val="页眉 Char"/>
    <w:basedOn w:val="8"/>
    <w:link w:val="6"/>
    <w:semiHidden/>
    <w:qFormat/>
    <w:uiPriority w:val="99"/>
    <w:rPr>
      <w:sz w:val="18"/>
      <w:szCs w:val="18"/>
    </w:rPr>
  </w:style>
  <w:style w:type="character" w:customStyle="1" w:styleId="18">
    <w:name w:val="页脚 Char"/>
    <w:basedOn w:val="8"/>
    <w:link w:val="5"/>
    <w:semiHidden/>
    <w:qFormat/>
    <w:uiPriority w:val="99"/>
    <w:rPr>
      <w:sz w:val="18"/>
      <w:szCs w:val="18"/>
    </w:rPr>
  </w:style>
  <w:style w:type="paragraph" w:customStyle="1" w:styleId="19">
    <w:name w:val="1"/>
    <w:basedOn w:val="1"/>
    <w:qFormat/>
    <w:uiPriority w:val="0"/>
    <w:pPr>
      <w:jc w:val="center"/>
    </w:pPr>
    <w:rPr>
      <w:rFonts w:cs="宋体"/>
      <w:color w:val="000000"/>
      <w:sz w:val="24"/>
      <w:szCs w:val="20"/>
    </w:rPr>
  </w:style>
  <w:style w:type="paragraph" w:customStyle="1" w:styleId="20">
    <w:name w:val="lh-正文-报告表"/>
    <w:basedOn w:val="1"/>
    <w:qFormat/>
    <w:uiPriority w:val="0"/>
    <w:pPr>
      <w:spacing w:line="360" w:lineRule="auto"/>
      <w:ind w:firstLine="480" w:firstLineChars="200"/>
    </w:pPr>
    <w:rPr>
      <w:kern w:val="0"/>
      <w:sz w:val="24"/>
      <w:szCs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4097"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27D8E0D-DD43-4EBE-BE02-D55855948CBF}">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Pages>
  <Words>973</Words>
  <Characters>1095</Characters>
  <Lines>6</Lines>
  <Paragraphs>1</Paragraphs>
  <TotalTime>39</TotalTime>
  <ScaleCrop>false</ScaleCrop>
  <LinksUpToDate>false</LinksUpToDate>
  <CharactersWithSpaces>1095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2017-06-06T00:26:00Z</dcterms:created>
  <dc:creator>lenovo</dc:creator>
  <cp:lastModifiedBy>WPS_1655630879</cp:lastModifiedBy>
  <cp:lastPrinted>2024-03-20T03:01:00Z</cp:lastPrinted>
  <dcterms:modified xsi:type="dcterms:W3CDTF">2026-08-06T07:00:12Z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eyJoZGlkIjoiNDAwZDdkMTQ0OTMwYjJjMzdhN2VlZGIyZGFmMjY5MmQiLCJ1c2VySWQiOiIxMzg1ODMyNzUxIn0=</vt:lpwstr>
  </property>
  <property fmtid="{D5CDD505-2E9C-101B-9397-08002B2CF9AE}" pid="4" name="ICV">
    <vt:lpwstr>B7ED3CAF98F744F186A7E9CB6F268E32_12</vt:lpwstr>
  </property>
</Properties>
</file>