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CC" w:rsidRPr="005679CC" w:rsidRDefault="005679CC" w:rsidP="005679CC">
      <w:pPr>
        <w:widowControl/>
        <w:spacing w:line="72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通道侗族自治县第七次全国人口普查公报</w:t>
      </w:r>
      <w:r w:rsidRPr="005679CC">
        <w:rPr>
          <w:rFonts w:ascii="Times New Roman" w:eastAsia="宋体" w:hAnsi="Times New Roman" w:cs="Times New Roman"/>
          <w:color w:val="000000"/>
          <w:kern w:val="0"/>
          <w:sz w:val="44"/>
          <w:szCs w:val="44"/>
          <w:vertAlign w:val="superscript"/>
        </w:rPr>
        <w:t>[1]</w:t>
      </w:r>
    </w:p>
    <w:p w:rsidR="005679CC" w:rsidRPr="005679CC" w:rsidRDefault="005679CC" w:rsidP="005679CC">
      <w:pPr>
        <w:widowControl/>
        <w:spacing w:line="72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bookmarkStart w:id="0" w:name="_GoBack"/>
      <w:r w:rsidRPr="005679CC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（第四号）</w:t>
      </w:r>
    </w:p>
    <w:bookmarkEnd w:id="0"/>
    <w:p w:rsidR="005679CC" w:rsidRPr="005679CC" w:rsidRDefault="005679CC" w:rsidP="005679CC">
      <w:pPr>
        <w:widowControl/>
        <w:spacing w:before="100" w:line="56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——</w:t>
      </w:r>
      <w:r w:rsidRPr="005679CC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人口受教育情况</w:t>
      </w:r>
    </w:p>
    <w:p w:rsidR="005679CC" w:rsidRPr="005679CC" w:rsidRDefault="005679CC" w:rsidP="005679CC">
      <w:pPr>
        <w:widowControl/>
        <w:spacing w:line="56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通道侗族自治县统计局</w:t>
      </w:r>
    </w:p>
    <w:p w:rsidR="005679CC" w:rsidRPr="005679CC" w:rsidRDefault="005679CC" w:rsidP="005679CC">
      <w:pPr>
        <w:widowControl/>
        <w:spacing w:line="56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通道侗族自治县第七次全国人口普查领导小组办公室</w:t>
      </w:r>
    </w:p>
    <w:p w:rsidR="005679CC" w:rsidRPr="005679CC" w:rsidRDefault="005679CC" w:rsidP="005679CC">
      <w:pPr>
        <w:widowControl/>
        <w:spacing w:line="56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2021</w:t>
      </w:r>
      <w:r w:rsidRPr="005679CC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年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r w:rsidRPr="005679CC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月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5679CC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日</w:t>
      </w:r>
    </w:p>
    <w:p w:rsidR="005679CC" w:rsidRPr="005679CC" w:rsidRDefault="005679CC" w:rsidP="005679CC">
      <w:pPr>
        <w:widowControl/>
        <w:spacing w:line="72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5679CC" w:rsidRPr="005679CC" w:rsidRDefault="005679CC" w:rsidP="005679CC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根据第七次全国人口普查结果，现将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2020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月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日零时通道县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个乡镇的常住人口受教育基本情况公布如下：</w:t>
      </w:r>
    </w:p>
    <w:p w:rsidR="005679CC" w:rsidRPr="005679CC" w:rsidRDefault="005679CC" w:rsidP="005679CC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一、受教育程度人口</w:t>
      </w:r>
    </w:p>
    <w:p w:rsidR="005679CC" w:rsidRPr="005679CC" w:rsidRDefault="005679CC" w:rsidP="005679CC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全县常住人口中，拥有大学（指大专及以上）文化程度的人口为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14435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人；拥有高中（含中专）文化程度的人口为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19775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人；拥有初中文化程度的人口为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72666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人；拥有小学文化程度的人口为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71623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人（以上各种受教育程度的人包括各类学校的毕业生、</w:t>
      </w:r>
      <w:proofErr w:type="gramStart"/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肄业</w:t>
      </w:r>
      <w:proofErr w:type="gramEnd"/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生和在校生）。与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2010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年第六次全国人口普查相比，拥有大学（指大专及以上）文化程度的人口增加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5875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人；拥有高中（含中专）文化程度的人口增加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4783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人；拥有初中文化程度的人口减少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677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人；拥有小学文化程度的人口减少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6366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人。</w:t>
      </w:r>
    </w:p>
    <w:p w:rsidR="005679CC" w:rsidRPr="005679CC" w:rsidRDefault="005679CC" w:rsidP="005679CC">
      <w:pPr>
        <w:widowControl/>
        <w:spacing w:line="60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5679CC" w:rsidRPr="005679CC" w:rsidRDefault="005679CC" w:rsidP="005679CC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表</w:t>
      </w:r>
      <w:r w:rsidRPr="005679C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 xml:space="preserve">4-1 </w:t>
      </w:r>
      <w:r w:rsidRPr="005679C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 </w:t>
      </w:r>
      <w:r w:rsidRPr="005679C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 </w:t>
      </w:r>
      <w:r w:rsidRPr="005679CC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各乡镇拥有的各类受教育程度人数</w:t>
      </w:r>
    </w:p>
    <w:p w:rsidR="005679CC" w:rsidRPr="005679CC" w:rsidRDefault="005679CC" w:rsidP="005679CC">
      <w:pPr>
        <w:widowControl/>
        <w:ind w:firstLine="736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单位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: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</w:t>
      </w:r>
    </w:p>
    <w:tbl>
      <w:tblPr>
        <w:tblW w:w="882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2190"/>
        <w:gridCol w:w="1811"/>
        <w:gridCol w:w="1309"/>
        <w:gridCol w:w="1231"/>
      </w:tblGrid>
      <w:tr w:rsidR="005679CC" w:rsidRPr="005679CC" w:rsidTr="005679CC">
        <w:trPr>
          <w:trHeight w:val="66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>乡镇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>大学</w:t>
            </w:r>
            <w:r w:rsidRPr="005679CC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br/>
            </w:r>
            <w:r w:rsidRPr="005679CC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>（大专及以上）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>高中</w:t>
            </w:r>
            <w:r w:rsidRPr="005679CC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br/>
            </w:r>
            <w:r w:rsidRPr="005679CC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>（含中专）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>初中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>小学</w:t>
            </w:r>
          </w:p>
        </w:tc>
      </w:tr>
      <w:tr w:rsidR="005679CC" w:rsidRPr="005679CC" w:rsidTr="005679CC">
        <w:trPr>
          <w:trHeight w:val="729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总计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14435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19775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72666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71623</w:t>
            </w:r>
          </w:p>
        </w:tc>
      </w:tr>
      <w:tr w:rsidR="005679CC" w:rsidRPr="005679CC" w:rsidTr="005679CC">
        <w:trPr>
          <w:trHeight w:val="729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双江镇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10371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22237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19033</w:t>
            </w:r>
          </w:p>
        </w:tc>
      </w:tr>
      <w:tr w:rsidR="005679CC" w:rsidRPr="005679CC" w:rsidTr="005679CC">
        <w:trPr>
          <w:trHeight w:val="730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县溪镇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8297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7813</w:t>
            </w:r>
          </w:p>
        </w:tc>
      </w:tr>
      <w:tr w:rsidR="005679CC" w:rsidRPr="005679CC" w:rsidTr="005679CC">
        <w:trPr>
          <w:trHeight w:val="729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播阳镇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371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4804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5656</w:t>
            </w:r>
          </w:p>
        </w:tc>
      </w:tr>
      <w:tr w:rsidR="005679CC" w:rsidRPr="005679CC" w:rsidTr="005679CC">
        <w:trPr>
          <w:trHeight w:val="729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牙屯堡</w:t>
            </w:r>
            <w:proofErr w:type="gramEnd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443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5002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6653</w:t>
            </w:r>
          </w:p>
        </w:tc>
      </w:tr>
      <w:tr w:rsidR="005679CC" w:rsidRPr="005679CC" w:rsidTr="005679CC">
        <w:trPr>
          <w:trHeight w:val="730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菁芜</w:t>
            </w:r>
            <w:proofErr w:type="gramEnd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洲镇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4795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5018</w:t>
            </w:r>
          </w:p>
        </w:tc>
      </w:tr>
      <w:tr w:rsidR="005679CC" w:rsidRPr="005679CC" w:rsidTr="005679CC">
        <w:trPr>
          <w:trHeight w:val="729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溪口镇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5556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3855</w:t>
            </w:r>
          </w:p>
        </w:tc>
      </w:tr>
      <w:tr w:rsidR="005679CC" w:rsidRPr="005679CC" w:rsidTr="005679CC">
        <w:trPr>
          <w:trHeight w:val="729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陇</w:t>
            </w:r>
            <w:proofErr w:type="gramEnd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城镇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294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5316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6031</w:t>
            </w:r>
          </w:p>
        </w:tc>
      </w:tr>
      <w:tr w:rsidR="005679CC" w:rsidRPr="005679CC" w:rsidTr="005679CC">
        <w:trPr>
          <w:trHeight w:val="730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万佛山镇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7723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6728</w:t>
            </w:r>
          </w:p>
        </w:tc>
      </w:tr>
      <w:tr w:rsidR="005679CC" w:rsidRPr="005679CC" w:rsidTr="005679CC">
        <w:trPr>
          <w:trHeight w:val="729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独坡镇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294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4329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4971</w:t>
            </w:r>
          </w:p>
        </w:tc>
      </w:tr>
      <w:tr w:rsidR="005679CC" w:rsidRPr="005679CC" w:rsidTr="005679CC">
        <w:trPr>
          <w:trHeight w:val="729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大高坪苗族乡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1023</w:t>
            </w:r>
          </w:p>
        </w:tc>
      </w:tr>
      <w:tr w:rsidR="005679CC" w:rsidRPr="005679CC" w:rsidTr="005679CC">
        <w:trPr>
          <w:trHeight w:val="730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坪坦乡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274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597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4031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4733</w:t>
            </w:r>
          </w:p>
        </w:tc>
      </w:tr>
      <w:tr w:rsidR="005679CC" w:rsidRPr="005679CC" w:rsidTr="005679CC">
        <w:trPr>
          <w:trHeight w:val="729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通道县地连林场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  <w:tr w:rsidR="005679CC" w:rsidRPr="005679CC" w:rsidTr="005679CC">
        <w:trPr>
          <w:trHeight w:val="730"/>
        </w:trPr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通道</w:t>
            </w:r>
            <w:proofErr w:type="gramStart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县播阳</w:t>
            </w:r>
            <w:proofErr w:type="gramEnd"/>
            <w:r w:rsidRPr="005679CC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农场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106</w:t>
            </w:r>
          </w:p>
        </w:tc>
      </w:tr>
    </w:tbl>
    <w:p w:rsidR="005679CC" w:rsidRPr="005679CC" w:rsidRDefault="005679CC" w:rsidP="005679CC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二、平均受教育年限</w:t>
      </w:r>
      <w:r w:rsidRPr="005679C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vertAlign w:val="superscript"/>
        </w:rPr>
        <w:t>[2]</w:t>
      </w:r>
    </w:p>
    <w:p w:rsidR="005679CC" w:rsidRPr="005679CC" w:rsidRDefault="005679CC" w:rsidP="005679CC">
      <w:pPr>
        <w:widowControl/>
        <w:spacing w:line="56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与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2010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年第六次全国人口普查相比，全县常住人口中，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岁及以上人口的平均受教育年限由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7.77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年上升至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8.57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年。</w:t>
      </w:r>
    </w:p>
    <w:p w:rsidR="005679CC" w:rsidRPr="005679CC" w:rsidRDefault="005679CC" w:rsidP="005679CC">
      <w:pPr>
        <w:widowControl/>
        <w:spacing w:line="56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个乡镇中，平均受教育年限在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年以上的有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个，在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年至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年之间的有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个。</w:t>
      </w:r>
    </w:p>
    <w:p w:rsidR="005679CC" w:rsidRPr="005679CC" w:rsidRDefault="005679CC" w:rsidP="005679CC">
      <w:pPr>
        <w:widowControl/>
        <w:spacing w:line="66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表</w:t>
      </w:r>
      <w:r w:rsidRPr="005679C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 xml:space="preserve">4-2 </w:t>
      </w:r>
      <w:r w:rsidRPr="005679C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 </w:t>
      </w:r>
      <w:r w:rsidRPr="005679C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 </w:t>
      </w:r>
      <w:r w:rsidRPr="005679CC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各乡镇</w:t>
      </w:r>
      <w:r w:rsidRPr="005679C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15</w:t>
      </w:r>
      <w:r w:rsidRPr="005679CC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岁及以上人口平均受教育年限</w:t>
      </w:r>
    </w:p>
    <w:tbl>
      <w:tblPr>
        <w:tblW w:w="8907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4989"/>
      </w:tblGrid>
      <w:tr w:rsidR="005679CC" w:rsidRPr="005679CC" w:rsidTr="005679CC">
        <w:trPr>
          <w:trHeight w:val="517"/>
        </w:trPr>
        <w:tc>
          <w:tcPr>
            <w:tcW w:w="8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1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单位：年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4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Pr="005679CC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全县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8.57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双江镇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10.12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县溪镇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8.1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proofErr w:type="gramStart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播阳镇</w:t>
            </w:r>
            <w:proofErr w:type="gramEnd"/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7.76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proofErr w:type="gramStart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牙屯堡</w:t>
            </w:r>
            <w:proofErr w:type="gramEnd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7.33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proofErr w:type="gramStart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菁芜</w:t>
            </w:r>
            <w:proofErr w:type="gramEnd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洲镇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7.66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溪口镇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8.54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proofErr w:type="gramStart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陇</w:t>
            </w:r>
            <w:proofErr w:type="gramEnd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城镇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7.46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万佛山镇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proofErr w:type="gramStart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独坡镇</w:t>
            </w:r>
            <w:proofErr w:type="gramEnd"/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7.12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大高坪苗族乡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6.13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proofErr w:type="gramStart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坪坦乡</w:t>
            </w:r>
            <w:proofErr w:type="gramEnd"/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7.8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通道县地连林场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8.83</w:t>
            </w:r>
          </w:p>
        </w:tc>
      </w:tr>
      <w:tr w:rsidR="005679CC" w:rsidRPr="005679CC" w:rsidTr="005679CC">
        <w:trPr>
          <w:trHeight w:val="539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通道</w:t>
            </w:r>
            <w:proofErr w:type="gramStart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县播阳</w:t>
            </w:r>
            <w:proofErr w:type="gramEnd"/>
            <w:r w:rsidRPr="005679CC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农场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9CC" w:rsidRPr="005679CC" w:rsidRDefault="005679CC" w:rsidP="005679CC">
            <w:pPr>
              <w:widowControl/>
              <w:spacing w:line="520" w:lineRule="atLeast"/>
              <w:jc w:val="center"/>
              <w:textAlignment w:val="bottom"/>
              <w:rPr>
                <w:rFonts w:ascii="Calibri" w:eastAsia="宋体" w:hAnsi="Calibri" w:cs="Calibri"/>
                <w:kern w:val="0"/>
                <w:szCs w:val="21"/>
              </w:rPr>
            </w:pPr>
            <w:r w:rsidRPr="005679C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9.81</w:t>
            </w:r>
          </w:p>
        </w:tc>
      </w:tr>
    </w:tbl>
    <w:p w:rsidR="005679CC" w:rsidRPr="005679CC" w:rsidRDefault="005679CC" w:rsidP="005679CC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lastRenderedPageBreak/>
        <w:t>三、文盲人口</w:t>
      </w:r>
    </w:p>
    <w:p w:rsidR="005679CC" w:rsidRPr="005679CC" w:rsidRDefault="005679CC" w:rsidP="005679CC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全县常住人口中，文盲人口（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岁及以上不识字的人）为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7538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人，与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2010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年第六次全国人口普查相比，文盲人口减少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5663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人，文盲率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  <w:vertAlign w:val="superscript"/>
        </w:rPr>
        <w:t>[3]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由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6.39%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下降为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3.75%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，下降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2.64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个百分点。</w:t>
      </w:r>
    </w:p>
    <w:p w:rsidR="005679CC" w:rsidRPr="005679CC" w:rsidRDefault="005679CC" w:rsidP="005679CC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5679CC" w:rsidRPr="005679CC" w:rsidRDefault="005679CC" w:rsidP="005679CC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注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释：</w:t>
      </w:r>
    </w:p>
    <w:p w:rsidR="005679CC" w:rsidRPr="005679CC" w:rsidRDefault="005679CC" w:rsidP="005679CC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[1]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本公报数据为初步汇总数据。</w:t>
      </w:r>
    </w:p>
    <w:p w:rsidR="005679CC" w:rsidRPr="005679CC" w:rsidRDefault="005679CC" w:rsidP="005679CC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[2]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平均受教育年限是将各种受教育程度</w:t>
      </w:r>
      <w:proofErr w:type="gramStart"/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折算成受教育</w:t>
      </w:r>
      <w:proofErr w:type="gramEnd"/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年限计算平均数得出的，具体的折算标准是：小学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=6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年，初中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=9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年，高中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=12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年，大专及以上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=16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年。</w:t>
      </w:r>
    </w:p>
    <w:p w:rsidR="005679CC" w:rsidRPr="005679CC" w:rsidRDefault="005679CC" w:rsidP="005679CC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[3]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文盲率是指常住人口中</w:t>
      </w:r>
      <w:r w:rsidRPr="005679CC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15</w:t>
      </w:r>
      <w:r w:rsidRPr="005679CC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岁及以上不识字人口所占比例。</w:t>
      </w:r>
    </w:p>
    <w:p w:rsidR="005679CC" w:rsidRPr="005679CC" w:rsidRDefault="005679CC" w:rsidP="005679CC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5679CC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FE26C5" w:rsidRDefault="00FE26C5">
      <w:pPr>
        <w:rPr>
          <w:rFonts w:hint="eastAsia"/>
        </w:rPr>
      </w:pPr>
    </w:p>
    <w:sectPr w:rsidR="00FE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C"/>
    <w:rsid w:val="005679CC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1</cp:revision>
  <dcterms:created xsi:type="dcterms:W3CDTF">2021-07-15T01:57:00Z</dcterms:created>
  <dcterms:modified xsi:type="dcterms:W3CDTF">2021-07-15T01:57:00Z</dcterms:modified>
</cp:coreProperties>
</file>