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hint="eastAsia"/>
        </w:rPr>
      </w:pPr>
      <w:r>
        <w:rPr>
          <w:rFonts w:hint="eastAsia"/>
        </w:rPr>
        <w:t>附件6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连锁便利店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523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对连锁便利店从事烟草专卖品经营业务的检查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2.是否在当地的烟草专卖批发企业进货，并接受烟草专卖许可证发证机关的监督管理。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3.是否存在销售伪劣的烟草专卖品的行为。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4.是否存在销售未使用注册商标、假冒他人注册商标烟草制品。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</w:t>
            </w:r>
            <w:r>
              <w:rPr>
                <w:rFonts w:ascii="CESI仿宋-GB2312" w:eastAsia="CESI仿宋-GB2312"/>
                <w:shd w:val="clear" w:color="auto" w:fill="auto"/>
              </w:rPr>
              <w:t>6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</w:t>
            </w:r>
            <w:r>
              <w:rPr>
                <w:rFonts w:ascii="CESI仿宋-GB2312" w:eastAsia="CESI仿宋-GB2312"/>
                <w:shd w:val="clear" w:color="auto" w:fill="auto"/>
              </w:rPr>
              <w:t>1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日-2026年</w:t>
            </w:r>
            <w:r>
              <w:rPr>
                <w:rFonts w:ascii="CESI仿宋-GB2312" w:eastAsia="CESI仿宋-GB2312"/>
                <w:shd w:val="clear" w:color="auto" w:fill="auto"/>
              </w:rPr>
              <w:t>12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月</w:t>
            </w:r>
            <w:r>
              <w:rPr>
                <w:rFonts w:ascii="CESI仿宋-GB2312" w:eastAsia="CESI仿宋-GB2312"/>
                <w:shd w:val="clear" w:color="auto" w:fill="auto"/>
              </w:rPr>
              <w:t>31</w:t>
            </w:r>
            <w:bookmarkStart w:id="0" w:name="_GoBack"/>
            <w:bookmarkEnd w:id="0"/>
            <w:r>
              <w:rPr>
                <w:rFonts w:ascii="CESI仿宋-GB2312" w:eastAsia="CESI仿宋-GB2312" w:hint="eastAsia"/>
                <w:shd w:val="clear" w:color="auto" w:fill="auto"/>
              </w:rPr>
              <w:t>日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范围内经营模式为连锁便利店的烟草制品零售经营主体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通道侗族自治县烟草专卖局专卖监督管理股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  <w:lang w:eastAsia="zh-CN"/>
              </w:rPr>
              <w:t>通道侗族自治县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2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269</Words>
  <Characters>282</Characters>
  <Lines>44</Lines>
  <Paragraphs>21</Paragraphs>
  <CharactersWithSpaces>282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yangjie</cp:lastModifiedBy>
  <cp:revision>6</cp:revision>
  <cp:lastPrinted>2026-04-21T15:10:00Z</cp:lastPrinted>
  <dcterms:created xsi:type="dcterms:W3CDTF">2026-03-10T07:08:00Z</dcterms:created>
  <dcterms:modified xsi:type="dcterms:W3CDTF">2026-05-25T08:35:20Z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2052-11.1.0.11711</vt:lpwstr>
  </property>
</Properties>
</file>